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sz w:val="72"/>
        </w:rPr>
      </w:pPr>
      <w:r>
        <w:rPr>
          <w:rFonts w:hint="eastAsia" w:eastAsia="黑体"/>
          <w:sz w:val="72"/>
        </w:rPr>
        <w:tab/>
      </w:r>
    </w:p>
    <w:p>
      <w:pPr>
        <w:jc w:val="center"/>
        <w:outlineLvl w:val="0"/>
        <w:rPr>
          <w:rFonts w:eastAsia="黑体"/>
          <w:sz w:val="72"/>
        </w:rPr>
      </w:pPr>
      <w:bookmarkStart w:id="2" w:name="_GoBack"/>
      <w:bookmarkEnd w:id="2"/>
    </w:p>
    <w:p>
      <w:pPr>
        <w:pStyle w:val="24"/>
        <w:rPr>
          <w:color w:val="auto"/>
        </w:rPr>
      </w:pPr>
    </w:p>
    <w:p>
      <w:pPr>
        <w:jc w:val="center"/>
        <w:rPr>
          <w:rFonts w:ascii="黑体" w:hAnsi="黑体" w:eastAsia="黑体" w:cs="黑体"/>
          <w:b/>
          <w:sz w:val="72"/>
        </w:rPr>
      </w:pPr>
      <w:r>
        <w:rPr>
          <w:rFonts w:hint="eastAsia" w:ascii="黑体" w:hAnsi="黑体" w:eastAsia="黑体" w:cs="黑体"/>
          <w:b/>
          <w:sz w:val="72"/>
        </w:rPr>
        <w:t>建设项目环境影响报告表</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（污染影响类）</w:t>
      </w:r>
    </w:p>
    <w:p>
      <w:pPr>
        <w:pStyle w:val="24"/>
        <w:rPr>
          <w:color w:val="auto"/>
        </w:rPr>
      </w:pPr>
    </w:p>
    <w:p>
      <w:pPr>
        <w:spacing w:line="360" w:lineRule="auto"/>
        <w:jc w:val="center"/>
        <w:rPr>
          <w:sz w:val="32"/>
        </w:rPr>
      </w:pPr>
    </w:p>
    <w:p>
      <w:pPr>
        <w:spacing w:line="360" w:lineRule="auto"/>
        <w:jc w:val="center"/>
        <w:rPr>
          <w:sz w:val="32"/>
        </w:rPr>
      </w:pPr>
    </w:p>
    <w:p>
      <w:pPr>
        <w:spacing w:line="360" w:lineRule="auto"/>
        <w:jc w:val="center"/>
        <w:rPr>
          <w:sz w:val="32"/>
        </w:rPr>
      </w:pPr>
    </w:p>
    <w:p>
      <w:pPr>
        <w:pStyle w:val="24"/>
        <w:rPr>
          <w:color w:val="auto"/>
        </w:rPr>
      </w:pPr>
    </w:p>
    <w:p>
      <w:pPr>
        <w:pStyle w:val="24"/>
        <w:rPr>
          <w:color w:val="auto"/>
        </w:rPr>
      </w:pPr>
    </w:p>
    <w:p>
      <w:pPr>
        <w:pStyle w:val="24"/>
        <w:rPr>
          <w:color w:val="auto"/>
        </w:rPr>
      </w:pPr>
    </w:p>
    <w:p>
      <w:pPr>
        <w:spacing w:line="360" w:lineRule="auto"/>
        <w:jc w:val="center"/>
        <w:rPr>
          <w:sz w:val="32"/>
        </w:rPr>
      </w:pPr>
    </w:p>
    <w:p>
      <w:pPr>
        <w:tabs>
          <w:tab w:val="left" w:pos="8080"/>
        </w:tabs>
        <w:spacing w:line="360" w:lineRule="auto"/>
        <w:ind w:left="1563" w:hanging="1568" w:hangingChars="800"/>
        <w:rPr>
          <w:rFonts w:ascii="黑体" w:hAnsi="黑体" w:eastAsia="黑体" w:cs="黑体"/>
          <w:b/>
          <w:sz w:val="36"/>
          <w:szCs w:val="36"/>
          <w:u w:val="single"/>
        </w:rPr>
      </w:pPr>
      <w:r>
        <w:rPr>
          <w:sz w:val="20"/>
        </w:rPr>
        <mc:AlternateContent>
          <mc:Choice Requires="wps">
            <w:drawing>
              <wp:anchor distT="0" distB="0" distL="114300" distR="114300" simplePos="0" relativeHeight="251667456" behindDoc="0" locked="0" layoutInCell="1" allowOverlap="1">
                <wp:simplePos x="0" y="0"/>
                <wp:positionH relativeFrom="column">
                  <wp:posOffset>1120140</wp:posOffset>
                </wp:positionH>
                <wp:positionV relativeFrom="paragraph">
                  <wp:posOffset>374650</wp:posOffset>
                </wp:positionV>
                <wp:extent cx="3876675" cy="635"/>
                <wp:effectExtent l="0" t="0" r="0" b="0"/>
                <wp:wrapNone/>
                <wp:docPr id="1" name="直线 2"/>
                <wp:cNvGraphicFramePr/>
                <a:graphic xmlns:a="http://schemas.openxmlformats.org/drawingml/2006/main">
                  <a:graphicData uri="http://schemas.microsoft.com/office/word/2010/wordprocessingShape">
                    <wps:wsp>
                      <wps:cNvCnPr/>
                      <wps:spPr>
                        <a:xfrm>
                          <a:off x="0" y="0"/>
                          <a:ext cx="38766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8.2pt;margin-top:29.5pt;height:0.05pt;width:305.25pt;z-index:251667456;mso-width-relative:page;mso-height-relative:page;" filled="f" stroked="t" coordsize="21600,21600" o:gfxdata="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K6MsrXAAAACQEAAA8AAAAA&#10;AAAAAQAgAAAAOAAAAGRycy9kb3ducmV2LnhtbFBLAQIUABQAAAAIAIdO4kBYLIvfxgEAAIMDAAAO&#10;AAAAAAAAAAEAIAAAADwBAABkcnMvZTJvRG9jLnhtbFBLBQYAAAAABgAGAFkBAAB0BQAAAAA=&#10;">
                <v:fill on="f" focussize="0,0"/>
                <v:stroke color="#000000" joinstyle="round"/>
                <v:imagedata o:title=""/>
                <o:lock v:ext="edit" aspectratio="f"/>
              </v:line>
            </w:pict>
          </mc:Fallback>
        </mc:AlternateContent>
      </w:r>
      <w:r>
        <w:rPr>
          <w:rFonts w:hint="eastAsia" w:ascii="黑体" w:hAnsi="黑体" w:eastAsia="黑体" w:cs="黑体"/>
          <w:b/>
          <w:sz w:val="36"/>
          <w:szCs w:val="36"/>
        </w:rPr>
        <w:t>项目名称：高低压电力设备制造项目</w:t>
      </w:r>
    </w:p>
    <w:p>
      <w:pPr>
        <w:spacing w:line="360" w:lineRule="auto"/>
        <w:rPr>
          <w:rFonts w:ascii="黑体" w:hAnsi="黑体" w:eastAsia="黑体" w:cs="黑体"/>
          <w:b/>
          <w:sz w:val="36"/>
          <w:szCs w:val="36"/>
        </w:rPr>
      </w:pPr>
      <w:r>
        <w:rPr>
          <w:sz w:val="20"/>
        </w:rPr>
        <mc:AlternateContent>
          <mc:Choice Requires="wps">
            <w:drawing>
              <wp:anchor distT="0" distB="0" distL="114300" distR="114300" simplePos="0" relativeHeight="251668480" behindDoc="0" locked="0" layoutInCell="1" allowOverlap="1">
                <wp:simplePos x="0" y="0"/>
                <wp:positionH relativeFrom="column">
                  <wp:posOffset>1977390</wp:posOffset>
                </wp:positionH>
                <wp:positionV relativeFrom="paragraph">
                  <wp:posOffset>359410</wp:posOffset>
                </wp:positionV>
                <wp:extent cx="3076575" cy="8890"/>
                <wp:effectExtent l="0" t="0" r="0" b="0"/>
                <wp:wrapNone/>
                <wp:docPr id="2" name="直线 3"/>
                <wp:cNvGraphicFramePr/>
                <a:graphic xmlns:a="http://schemas.openxmlformats.org/drawingml/2006/main">
                  <a:graphicData uri="http://schemas.microsoft.com/office/word/2010/wordprocessingShape">
                    <wps:wsp>
                      <wps:cNvCnPr/>
                      <wps:spPr>
                        <a:xfrm>
                          <a:off x="0" y="0"/>
                          <a:ext cx="3076575"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55.7pt;margin-top:28.3pt;height:0.7pt;width:242.25pt;z-index:251668480;mso-width-relative:page;mso-height-relative:page;" filled="f" stroked="t" coordsize="21600,21600" o:gfxdata="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VcAzt2AAAAAkBAAAP&#10;AAAAAAAAAAEAIAAAADgAAABkcnMvZG93bnJldi54bWxQSwECFAAUAAAACACHTuJAZ7qkzckBAACE&#10;AwAADgAAAAAAAAABACAAAAA9AQAAZHJzL2Uyb0RvYy54bWxQSwUGAAAAAAYABgBZAQAAeAUAAAAA&#10;">
                <v:fill on="f" focussize="0,0"/>
                <v:stroke color="#000000" joinstyle="round"/>
                <v:imagedata o:title=""/>
                <o:lock v:ext="edit" aspectratio="f"/>
              </v:line>
            </w:pict>
          </mc:Fallback>
        </mc:AlternateContent>
      </w:r>
      <w:r>
        <w:rPr>
          <w:rFonts w:hint="eastAsia" w:ascii="黑体" w:hAnsi="黑体" w:eastAsia="黑体" w:cs="黑体"/>
          <w:b/>
          <w:sz w:val="36"/>
          <w:szCs w:val="36"/>
        </w:rPr>
        <w:t>建设单位（盖章）：河北和赢电</w:t>
      </w:r>
      <w:r>
        <w:rPr>
          <w:rFonts w:hint="eastAsia" w:ascii="黑体" w:hAnsi="黑体" w:eastAsia="黑体" w:cs="黑体"/>
          <w:b/>
          <w:sz w:val="36"/>
          <w:szCs w:val="36"/>
          <w:lang w:val="en-US" w:eastAsia="zh-CN"/>
        </w:rPr>
        <w:t>气</w:t>
      </w:r>
      <w:r>
        <w:rPr>
          <w:rFonts w:hint="eastAsia" w:ascii="黑体" w:hAnsi="黑体" w:eastAsia="黑体" w:cs="黑体"/>
          <w:b/>
          <w:sz w:val="36"/>
          <w:szCs w:val="36"/>
        </w:rPr>
        <w:t>有限责任公司</w:t>
      </w:r>
    </w:p>
    <w:p>
      <w:pPr>
        <w:spacing w:line="360" w:lineRule="auto"/>
        <w:rPr>
          <w:rFonts w:ascii="黑体" w:hAnsi="黑体" w:eastAsia="黑体" w:cs="黑体"/>
          <w:b/>
          <w:bCs/>
          <w:sz w:val="36"/>
          <w:szCs w:val="36"/>
        </w:rPr>
      </w:pPr>
      <w:r>
        <w:rPr>
          <w:sz w:val="20"/>
        </w:rPr>
        <mc:AlternateContent>
          <mc:Choice Requires="wps">
            <w:drawing>
              <wp:anchor distT="0" distB="0" distL="114300" distR="114300" simplePos="0" relativeHeight="251669504" behindDoc="0" locked="0" layoutInCell="1" allowOverlap="1">
                <wp:simplePos x="0" y="0"/>
                <wp:positionH relativeFrom="column">
                  <wp:posOffset>1139190</wp:posOffset>
                </wp:positionH>
                <wp:positionV relativeFrom="paragraph">
                  <wp:posOffset>343535</wp:posOffset>
                </wp:positionV>
                <wp:extent cx="3933190" cy="8890"/>
                <wp:effectExtent l="0" t="0" r="0" b="0"/>
                <wp:wrapNone/>
                <wp:docPr id="3" name="直线 4"/>
                <wp:cNvGraphicFramePr/>
                <a:graphic xmlns:a="http://schemas.openxmlformats.org/drawingml/2006/main">
                  <a:graphicData uri="http://schemas.microsoft.com/office/word/2010/wordprocessingShape">
                    <wps:wsp>
                      <wps:cNvCnPr/>
                      <wps:spPr>
                        <a:xfrm>
                          <a:off x="0" y="0"/>
                          <a:ext cx="3933190"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89.7pt;margin-top:27.05pt;height:0.7pt;width:309.7pt;z-index:251669504;mso-width-relative:page;mso-height-relative:page;" filled="f" stroked="t" coordsize="21600,21600" o:gfxdata="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EhJnktcAAAAJAQAADwAAAAAA&#10;AAABACAAAAA4AAAAZHJzL2Rvd25yZXYueG1sUEsBAhQAFAAAAAgAh07iQA6nwrPFAQAAhAMAAA4A&#10;AAAAAAAAAQAgAAAAPAEAAGRycy9lMm9Eb2MueG1sUEsFBgAAAAAGAAYAWQEAAHMFAAAAAA==&#10;">
                <v:fill on="f" focussize="0,0"/>
                <v:stroke color="#000000" joinstyle="round"/>
                <v:imagedata o:title=""/>
                <o:lock v:ext="edit" aspectratio="f"/>
              </v:line>
            </w:pict>
          </mc:Fallback>
        </mc:AlternateContent>
      </w:r>
      <w:r>
        <w:rPr>
          <w:rFonts w:hint="eastAsia" w:ascii="黑体" w:hAnsi="黑体" w:eastAsia="黑体" w:cs="黑体"/>
          <w:b/>
          <w:bCs/>
          <w:sz w:val="36"/>
          <w:szCs w:val="36"/>
        </w:rPr>
        <w:t>编制日期：</w:t>
      </w:r>
      <w:r>
        <w:rPr>
          <w:rFonts w:hint="eastAsia" w:ascii="黑体" w:hAnsi="黑体" w:eastAsia="黑体" w:cs="黑体"/>
          <w:sz w:val="36"/>
          <w:szCs w:val="36"/>
        </w:rPr>
        <w:t xml:space="preserve">          </w:t>
      </w:r>
      <w:r>
        <w:rPr>
          <w:rFonts w:hint="eastAsia" w:ascii="黑体" w:hAnsi="黑体" w:eastAsia="黑体" w:cs="黑体"/>
          <w:b/>
          <w:bCs/>
          <w:sz w:val="36"/>
          <w:szCs w:val="36"/>
        </w:rPr>
        <w:t xml:space="preserve">2023年 </w:t>
      </w:r>
      <w:r>
        <w:rPr>
          <w:rFonts w:hint="eastAsia" w:ascii="黑体" w:hAnsi="黑体" w:eastAsia="黑体" w:cs="黑体"/>
          <w:b/>
          <w:bCs/>
          <w:sz w:val="36"/>
          <w:szCs w:val="36"/>
          <w:lang w:val="en-US" w:eastAsia="zh-CN"/>
        </w:rPr>
        <w:t>5</w:t>
      </w:r>
      <w:r>
        <w:rPr>
          <w:rFonts w:hint="eastAsia" w:ascii="黑体" w:hAnsi="黑体" w:eastAsia="黑体" w:cs="黑体"/>
          <w:b/>
          <w:bCs/>
          <w:sz w:val="36"/>
          <w:szCs w:val="36"/>
        </w:rPr>
        <w:t>月</w:t>
      </w:r>
    </w:p>
    <w:p>
      <w:pPr>
        <w:spacing w:line="360" w:lineRule="auto"/>
        <w:jc w:val="center"/>
        <w:rPr>
          <w:rFonts w:ascii="黑体" w:hAnsi="黑体" w:eastAsia="黑体" w:cs="黑体"/>
          <w:b/>
          <w:bCs/>
          <w:sz w:val="36"/>
          <w:szCs w:val="36"/>
        </w:rPr>
      </w:pPr>
    </w:p>
    <w:p>
      <w:pPr>
        <w:pStyle w:val="24"/>
        <w:rPr>
          <w:rFonts w:ascii="黑体" w:hAnsi="黑体" w:eastAsia="黑体" w:cs="黑体"/>
          <w:color w:val="auto"/>
        </w:rPr>
      </w:pPr>
    </w:p>
    <w:p>
      <w:pPr>
        <w:spacing w:line="360" w:lineRule="auto"/>
        <w:jc w:val="center"/>
        <w:rPr>
          <w:rFonts w:ascii="黑体" w:hAnsi="黑体" w:eastAsia="黑体" w:cs="黑体"/>
          <w:b/>
          <w:bCs/>
          <w:sz w:val="32"/>
          <w:szCs w:val="32"/>
        </w:rPr>
      </w:pPr>
      <w:r>
        <w:rPr>
          <w:rFonts w:hint="eastAsia" w:ascii="黑体" w:hAnsi="黑体" w:eastAsia="黑体" w:cs="黑体"/>
          <w:b/>
          <w:bCs/>
          <w:sz w:val="36"/>
          <w:szCs w:val="36"/>
        </w:rPr>
        <w:t>中华人民共和国生态环境部制</w:t>
      </w:r>
    </w:p>
    <w:p>
      <w:pPr>
        <w:pStyle w:val="14"/>
        <w:rPr>
          <w:rFonts w:eastAsia="黑体"/>
          <w:b/>
          <w:sz w:val="32"/>
          <w:szCs w:val="32"/>
        </w:rPr>
        <w:sectPr>
          <w:headerReference r:id="rId3" w:type="default"/>
          <w:pgSz w:w="11906" w:h="16838"/>
          <w:pgMar w:top="1304" w:right="1701" w:bottom="1418" w:left="1701" w:header="851" w:footer="851" w:gutter="0"/>
          <w:pgBorders>
            <w:top w:val="none" w:sz="0" w:space="0"/>
            <w:left w:val="none" w:sz="0" w:space="0"/>
            <w:bottom w:val="none" w:sz="0" w:space="0"/>
            <w:right w:val="none" w:sz="0" w:space="0"/>
          </w:pgBorders>
          <w:pgNumType w:start="1"/>
          <w:cols w:space="720" w:num="1"/>
          <w:docGrid w:type="linesAndChars" w:linePitch="380" w:charSpace="-948"/>
        </w:sectPr>
      </w:pPr>
    </w:p>
    <w:p>
      <w:pPr>
        <w:pStyle w:val="14"/>
        <w:jc w:val="center"/>
        <w:rPr>
          <w:rFonts w:eastAsia="黑体"/>
          <w:b/>
          <w:sz w:val="32"/>
          <w:szCs w:val="32"/>
        </w:rPr>
      </w:pPr>
      <w:r>
        <w:rPr>
          <w:rFonts w:hint="eastAsia" w:eastAsia="黑体"/>
          <w:b/>
          <w:sz w:val="32"/>
          <w:szCs w:val="32"/>
        </w:rPr>
        <w:t>一、</w:t>
      </w:r>
      <w:r>
        <w:rPr>
          <w:rFonts w:eastAsia="黑体"/>
          <w:b/>
          <w:sz w:val="32"/>
          <w:szCs w:val="32"/>
        </w:rPr>
        <w:t>建设项目基本情况</w:t>
      </w:r>
    </w:p>
    <w:tbl>
      <w:tblPr>
        <w:tblStyle w:val="1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611"/>
        <w:gridCol w:w="19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建设项目名称</w:t>
            </w:r>
          </w:p>
        </w:tc>
        <w:tc>
          <w:tcPr>
            <w:tcW w:w="7441" w:type="dxa"/>
            <w:gridSpan w:val="3"/>
            <w:vAlign w:val="center"/>
          </w:tcPr>
          <w:p>
            <w:pPr>
              <w:jc w:val="center"/>
              <w:rPr>
                <w:color w:val="auto"/>
                <w:sz w:val="24"/>
                <w:szCs w:val="24"/>
              </w:rPr>
            </w:pPr>
            <w:r>
              <w:rPr>
                <w:rFonts w:hint="eastAsia" w:eastAsiaTheme="minorEastAsia"/>
                <w:color w:val="auto"/>
                <w:sz w:val="24"/>
                <w:szCs w:val="24"/>
                <w:lang w:val="zh-CN"/>
              </w:rPr>
              <w:t>高低压电力设备制造项目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项目代码</w:t>
            </w:r>
          </w:p>
        </w:tc>
        <w:tc>
          <w:tcPr>
            <w:tcW w:w="7441" w:type="dxa"/>
            <w:gridSpan w:val="3"/>
            <w:vAlign w:val="center"/>
          </w:tcPr>
          <w:p>
            <w:pPr>
              <w:jc w:val="center"/>
              <w:rPr>
                <w:color w:val="auto"/>
                <w:sz w:val="24"/>
                <w:szCs w:val="24"/>
              </w:rPr>
            </w:pPr>
            <w:r>
              <w:rPr>
                <w:rFonts w:hint="eastAsia"/>
                <w:color w:val="auto"/>
                <w:sz w:val="24"/>
                <w:szCs w:val="24"/>
              </w:rPr>
              <w:t>2301-130434-89-01-442139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建设单位</w:t>
            </w:r>
          </w:p>
          <w:p>
            <w:pPr>
              <w:jc w:val="center"/>
              <w:rPr>
                <w:rFonts w:eastAsiaTheme="minorEastAsia"/>
                <w:b/>
                <w:color w:val="auto"/>
                <w:sz w:val="24"/>
                <w:szCs w:val="24"/>
              </w:rPr>
            </w:pPr>
            <w:r>
              <w:rPr>
                <w:b/>
                <w:color w:val="auto"/>
                <w:sz w:val="24"/>
                <w:szCs w:val="24"/>
              </w:rPr>
              <w:t>联系人</w:t>
            </w:r>
          </w:p>
        </w:tc>
        <w:tc>
          <w:tcPr>
            <w:tcW w:w="2611" w:type="dxa"/>
            <w:vAlign w:val="center"/>
          </w:tcPr>
          <w:p>
            <w:pPr>
              <w:jc w:val="center"/>
              <w:rPr>
                <w:rFonts w:eastAsiaTheme="minorEastAsia"/>
                <w:color w:val="auto"/>
                <w:sz w:val="24"/>
                <w:szCs w:val="24"/>
              </w:rPr>
            </w:pPr>
            <w:r>
              <w:rPr>
                <w:rFonts w:hint="eastAsia" w:eastAsiaTheme="minorEastAsia"/>
                <w:color w:val="auto"/>
                <w:sz w:val="24"/>
                <w:szCs w:val="24"/>
              </w:rPr>
              <w:t>王宁宁</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联系方式</w:t>
            </w:r>
          </w:p>
        </w:tc>
        <w:tc>
          <w:tcPr>
            <w:tcW w:w="2910" w:type="dxa"/>
            <w:vAlign w:val="center"/>
          </w:tcPr>
          <w:p>
            <w:pPr>
              <w:jc w:val="center"/>
              <w:rPr>
                <w:rFonts w:eastAsiaTheme="minorEastAsia"/>
                <w:color w:val="auto"/>
                <w:sz w:val="24"/>
                <w:szCs w:val="24"/>
              </w:rPr>
            </w:pPr>
            <w:r>
              <w:rPr>
                <w:rFonts w:hint="eastAsia" w:eastAsiaTheme="minorEastAsia"/>
                <w:color w:val="auto"/>
                <w:sz w:val="24"/>
                <w:szCs w:val="24"/>
              </w:rPr>
              <w:t>13831099403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建设地点</w:t>
            </w:r>
          </w:p>
        </w:tc>
        <w:tc>
          <w:tcPr>
            <w:tcW w:w="7441" w:type="dxa"/>
            <w:gridSpan w:val="3"/>
            <w:vAlign w:val="center"/>
          </w:tcPr>
          <w:p>
            <w:pPr>
              <w:jc w:val="center"/>
              <w:rPr>
                <w:rFonts w:eastAsiaTheme="minorEastAsia"/>
                <w:color w:val="auto"/>
                <w:sz w:val="24"/>
                <w:szCs w:val="24"/>
              </w:rPr>
            </w:pPr>
            <w:r>
              <w:rPr>
                <w:rFonts w:hint="eastAsia" w:eastAsiaTheme="minorEastAsia"/>
                <w:color w:val="auto"/>
                <w:sz w:val="24"/>
                <w:szCs w:val="24"/>
              </w:rPr>
              <w:t>河北省邯郸市魏县经济开发区天雨路2997号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ind w:right="-107" w:rightChars="-52"/>
              <w:jc w:val="center"/>
              <w:rPr>
                <w:rFonts w:eastAsiaTheme="minorEastAsia"/>
                <w:b/>
                <w:color w:val="auto"/>
                <w:sz w:val="24"/>
                <w:szCs w:val="24"/>
              </w:rPr>
            </w:pPr>
            <w:r>
              <w:rPr>
                <w:rFonts w:eastAsiaTheme="minorEastAsia"/>
                <w:b/>
                <w:color w:val="auto"/>
                <w:sz w:val="24"/>
                <w:szCs w:val="24"/>
              </w:rPr>
              <w:t>地理坐标</w:t>
            </w:r>
          </w:p>
        </w:tc>
        <w:tc>
          <w:tcPr>
            <w:tcW w:w="7441" w:type="dxa"/>
            <w:gridSpan w:val="3"/>
            <w:vAlign w:val="center"/>
          </w:tcPr>
          <w:p>
            <w:pPr>
              <w:jc w:val="center"/>
              <w:rPr>
                <w:rFonts w:eastAsiaTheme="minorEastAsia"/>
                <w:color w:val="auto"/>
                <w:sz w:val="24"/>
                <w:szCs w:val="24"/>
              </w:rPr>
            </w:pPr>
            <w:r>
              <w:rPr>
                <w:rFonts w:eastAsiaTheme="minorEastAsia"/>
                <w:color w:val="auto"/>
                <w:sz w:val="24"/>
                <w:szCs w:val="24"/>
              </w:rPr>
              <w:t>（东径：</w:t>
            </w:r>
            <w:r>
              <w:rPr>
                <w:rFonts w:hint="eastAsia" w:eastAsiaTheme="minorEastAsia"/>
                <w:color w:val="auto"/>
                <w:sz w:val="24"/>
                <w:szCs w:val="24"/>
                <w:u w:val="single"/>
              </w:rPr>
              <w:t>114</w:t>
            </w:r>
            <w:r>
              <w:rPr>
                <w:rFonts w:eastAsiaTheme="minorEastAsia"/>
                <w:color w:val="auto"/>
                <w:sz w:val="24"/>
                <w:szCs w:val="24"/>
              </w:rPr>
              <w:t>度</w:t>
            </w:r>
            <w:r>
              <w:rPr>
                <w:rFonts w:hint="eastAsia" w:eastAsiaTheme="minorEastAsia"/>
                <w:color w:val="auto"/>
                <w:sz w:val="24"/>
                <w:szCs w:val="24"/>
                <w:u w:val="single"/>
              </w:rPr>
              <w:t>58</w:t>
            </w:r>
            <w:r>
              <w:rPr>
                <w:rFonts w:eastAsiaTheme="minorEastAsia"/>
                <w:color w:val="auto"/>
                <w:sz w:val="24"/>
                <w:szCs w:val="24"/>
              </w:rPr>
              <w:t>分</w:t>
            </w:r>
            <w:r>
              <w:rPr>
                <w:rFonts w:eastAsiaTheme="minorEastAsia"/>
                <w:color w:val="auto"/>
                <w:sz w:val="24"/>
                <w:szCs w:val="24"/>
                <w:u w:val="single"/>
              </w:rPr>
              <w:t xml:space="preserve"> </w:t>
            </w:r>
            <w:r>
              <w:rPr>
                <w:rFonts w:hint="eastAsia" w:eastAsiaTheme="minorEastAsia"/>
                <w:color w:val="auto"/>
                <w:sz w:val="24"/>
                <w:szCs w:val="24"/>
                <w:u w:val="single"/>
              </w:rPr>
              <w:t>44.465</w:t>
            </w:r>
            <w:r>
              <w:rPr>
                <w:rFonts w:hint="eastAsia" w:eastAsiaTheme="minorEastAsia"/>
                <w:color w:val="auto"/>
                <w:sz w:val="24"/>
                <w:szCs w:val="24"/>
              </w:rPr>
              <w:t>秒</w:t>
            </w:r>
            <w:r>
              <w:rPr>
                <w:rFonts w:eastAsiaTheme="minorEastAsia"/>
                <w:color w:val="auto"/>
                <w:sz w:val="24"/>
                <w:szCs w:val="24"/>
              </w:rPr>
              <w:t>，北纬：</w:t>
            </w:r>
            <w:r>
              <w:rPr>
                <w:rFonts w:eastAsiaTheme="minorEastAsia"/>
                <w:color w:val="auto"/>
                <w:sz w:val="24"/>
                <w:szCs w:val="24"/>
                <w:u w:val="single"/>
              </w:rPr>
              <w:t xml:space="preserve"> </w:t>
            </w:r>
            <w:r>
              <w:rPr>
                <w:rFonts w:hint="eastAsia" w:eastAsiaTheme="minorEastAsia"/>
                <w:color w:val="auto"/>
                <w:sz w:val="24"/>
                <w:szCs w:val="24"/>
                <w:u w:val="single"/>
              </w:rPr>
              <w:t>36</w:t>
            </w:r>
            <w:r>
              <w:rPr>
                <w:rFonts w:eastAsiaTheme="minorEastAsia"/>
                <w:color w:val="auto"/>
                <w:sz w:val="24"/>
                <w:szCs w:val="24"/>
              </w:rPr>
              <w:t>度</w:t>
            </w:r>
            <w:r>
              <w:rPr>
                <w:rFonts w:eastAsiaTheme="minorEastAsia"/>
                <w:color w:val="auto"/>
                <w:sz w:val="24"/>
                <w:szCs w:val="24"/>
                <w:u w:val="single"/>
              </w:rPr>
              <w:t xml:space="preserve"> </w:t>
            </w:r>
            <w:r>
              <w:rPr>
                <w:rFonts w:hint="eastAsia" w:eastAsiaTheme="minorEastAsia"/>
                <w:color w:val="auto"/>
                <w:sz w:val="24"/>
                <w:szCs w:val="24"/>
                <w:u w:val="single"/>
              </w:rPr>
              <w:t>19</w:t>
            </w:r>
            <w:r>
              <w:rPr>
                <w:rFonts w:eastAsiaTheme="minorEastAsia"/>
                <w:color w:val="auto"/>
                <w:sz w:val="24"/>
                <w:szCs w:val="24"/>
                <w:u w:val="single"/>
              </w:rPr>
              <w:t xml:space="preserve"> </w:t>
            </w:r>
            <w:r>
              <w:rPr>
                <w:rFonts w:eastAsiaTheme="minorEastAsia"/>
                <w:color w:val="auto"/>
                <w:sz w:val="24"/>
                <w:szCs w:val="24"/>
              </w:rPr>
              <w:t>分</w:t>
            </w:r>
            <w:r>
              <w:rPr>
                <w:rFonts w:hint="eastAsia" w:eastAsiaTheme="minorEastAsia"/>
                <w:color w:val="auto"/>
                <w:sz w:val="24"/>
                <w:szCs w:val="24"/>
                <w:u w:val="single"/>
              </w:rPr>
              <w:t>49.595</w:t>
            </w:r>
            <w:r>
              <w:rPr>
                <w:rFonts w:hint="eastAsia" w:eastAsiaTheme="minorEastAsia"/>
                <w:color w:val="auto"/>
                <w:sz w:val="24"/>
                <w:szCs w:val="24"/>
              </w:rPr>
              <w:t>秒</w:t>
            </w:r>
            <w:r>
              <w:rPr>
                <w:rFonts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国民经济</w:t>
            </w:r>
          </w:p>
          <w:p>
            <w:pPr>
              <w:jc w:val="center"/>
              <w:rPr>
                <w:rFonts w:eastAsiaTheme="minorEastAsia"/>
                <w:b/>
                <w:color w:val="auto"/>
                <w:sz w:val="24"/>
                <w:szCs w:val="24"/>
              </w:rPr>
            </w:pPr>
            <w:r>
              <w:rPr>
                <w:rFonts w:eastAsiaTheme="minorEastAsia"/>
                <w:b/>
                <w:color w:val="auto"/>
                <w:sz w:val="24"/>
                <w:szCs w:val="24"/>
              </w:rPr>
              <w:t>行业类别</w:t>
            </w:r>
          </w:p>
        </w:tc>
        <w:tc>
          <w:tcPr>
            <w:tcW w:w="2611" w:type="dxa"/>
            <w:vAlign w:val="center"/>
          </w:tcPr>
          <w:p>
            <w:pPr>
              <w:pStyle w:val="14"/>
              <w:jc w:val="center"/>
              <w:rPr>
                <w:rFonts w:eastAsiaTheme="minorEastAsia"/>
                <w:color w:val="auto"/>
                <w:sz w:val="24"/>
                <w:szCs w:val="24"/>
              </w:rPr>
            </w:pPr>
            <w:r>
              <w:rPr>
                <w:rFonts w:eastAsiaTheme="minorEastAsia"/>
                <w:color w:val="auto"/>
                <w:sz w:val="24"/>
                <w:szCs w:val="24"/>
              </w:rPr>
              <w:t xml:space="preserve">C3823 </w:t>
            </w:r>
            <w:r>
              <w:rPr>
                <w:rFonts w:hint="eastAsia" w:eastAsiaTheme="minorEastAsia"/>
                <w:color w:val="auto"/>
                <w:sz w:val="24"/>
                <w:szCs w:val="24"/>
              </w:rPr>
              <w:t>配电开关控制设备制造</w:t>
            </w:r>
          </w:p>
        </w:tc>
        <w:tc>
          <w:tcPr>
            <w:tcW w:w="1920" w:type="dxa"/>
            <w:vAlign w:val="center"/>
          </w:tcPr>
          <w:p>
            <w:pPr>
              <w:pStyle w:val="14"/>
              <w:jc w:val="center"/>
              <w:rPr>
                <w:rFonts w:eastAsiaTheme="minorEastAsia"/>
                <w:b/>
                <w:bCs/>
                <w:color w:val="auto"/>
                <w:sz w:val="24"/>
                <w:szCs w:val="24"/>
              </w:rPr>
            </w:pPr>
            <w:r>
              <w:rPr>
                <w:rFonts w:eastAsiaTheme="minorEastAsia"/>
                <w:b/>
                <w:bCs/>
                <w:color w:val="auto"/>
                <w:sz w:val="24"/>
                <w:szCs w:val="24"/>
              </w:rPr>
              <w:t>建设项目</w:t>
            </w:r>
          </w:p>
          <w:p>
            <w:pPr>
              <w:pStyle w:val="14"/>
              <w:jc w:val="center"/>
              <w:rPr>
                <w:rFonts w:eastAsiaTheme="minorEastAsia"/>
                <w:color w:val="auto"/>
                <w:sz w:val="24"/>
                <w:szCs w:val="24"/>
              </w:rPr>
            </w:pPr>
            <w:r>
              <w:rPr>
                <w:rFonts w:eastAsiaTheme="minorEastAsia"/>
                <w:b/>
                <w:bCs/>
                <w:color w:val="auto"/>
                <w:sz w:val="24"/>
                <w:szCs w:val="24"/>
              </w:rPr>
              <w:t>行业类别</w:t>
            </w:r>
          </w:p>
        </w:tc>
        <w:tc>
          <w:tcPr>
            <w:tcW w:w="2910" w:type="dxa"/>
            <w:vAlign w:val="center"/>
          </w:tcPr>
          <w:p>
            <w:pPr>
              <w:pStyle w:val="14"/>
              <w:jc w:val="center"/>
              <w:rPr>
                <w:rFonts w:eastAsiaTheme="minorEastAsia"/>
                <w:color w:val="auto"/>
                <w:sz w:val="24"/>
                <w:szCs w:val="24"/>
              </w:rPr>
            </w:pPr>
            <w:r>
              <w:rPr>
                <w:rFonts w:hint="eastAsia" w:eastAsiaTheme="minorEastAsia"/>
                <w:color w:val="auto"/>
                <w:sz w:val="24"/>
                <w:szCs w:val="24"/>
              </w:rPr>
              <w:t>三十五、电气机械和器材制造业38，77输配电及控制设备制造38，2其他（仅分割、焊接、组装除外；年用非溶剂性低VOCs含量涂料10吨以下的除外）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建设性质</w:t>
            </w:r>
          </w:p>
        </w:tc>
        <w:tc>
          <w:tcPr>
            <w:tcW w:w="2611" w:type="dxa"/>
            <w:vAlign w:val="center"/>
          </w:tcPr>
          <w:p>
            <w:pPr>
              <w:jc w:val="left"/>
              <w:rPr>
                <w:color w:val="auto"/>
                <w:sz w:val="24"/>
                <w:szCs w:val="24"/>
              </w:rPr>
            </w:pPr>
            <w:r>
              <w:rPr>
                <w:rFonts w:hint="eastAsia"/>
                <w:color w:val="auto"/>
                <w:sz w:val="24"/>
                <w:szCs w:val="24"/>
                <w:lang w:eastAsia="zh-CN"/>
              </w:rPr>
              <w:t>☑</w:t>
            </w: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t>□扩建</w:t>
            </w:r>
          </w:p>
          <w:p>
            <w:pPr>
              <w:jc w:val="left"/>
              <w:rPr>
                <w:rFonts w:eastAsiaTheme="minorEastAsia"/>
                <w:color w:val="auto"/>
                <w:sz w:val="24"/>
                <w:szCs w:val="24"/>
              </w:rPr>
            </w:pPr>
            <w:r>
              <w:rPr>
                <w:color w:val="auto"/>
                <w:sz w:val="24"/>
                <w:szCs w:val="24"/>
              </w:rPr>
              <w:t>□技术改造</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建设项目</w:t>
            </w:r>
          </w:p>
          <w:p>
            <w:pPr>
              <w:jc w:val="center"/>
              <w:rPr>
                <w:rFonts w:eastAsiaTheme="minorEastAsia"/>
                <w:b/>
                <w:color w:val="auto"/>
                <w:sz w:val="24"/>
                <w:szCs w:val="24"/>
              </w:rPr>
            </w:pPr>
            <w:r>
              <w:rPr>
                <w:rFonts w:eastAsiaTheme="minorEastAsia"/>
                <w:b/>
                <w:color w:val="auto"/>
                <w:sz w:val="24"/>
                <w:szCs w:val="24"/>
              </w:rPr>
              <w:t>申报情形</w:t>
            </w:r>
          </w:p>
        </w:tc>
        <w:tc>
          <w:tcPr>
            <w:tcW w:w="2910" w:type="dxa"/>
            <w:vAlign w:val="center"/>
          </w:tcPr>
          <w:p>
            <w:pPr>
              <w:jc w:val="left"/>
              <w:rPr>
                <w:color w:val="auto"/>
              </w:rPr>
            </w:pPr>
            <w:r>
              <w:rPr>
                <w:color w:val="auto"/>
                <w:sz w:val="24"/>
                <w:szCs w:val="24"/>
              </w:rPr>
              <w:t>☑</w:t>
            </w:r>
            <w:r>
              <w:rPr>
                <w:color w:val="auto"/>
              </w:rPr>
              <w:t>首次申报项目</w:t>
            </w:r>
          </w:p>
          <w:p>
            <w:pPr>
              <w:pStyle w:val="24"/>
              <w:rPr>
                <w:color w:val="auto"/>
              </w:rPr>
            </w:pPr>
            <w:r>
              <w:rPr>
                <w:color w:val="auto"/>
                <w:szCs w:val="24"/>
              </w:rPr>
              <w:t>□</w:t>
            </w:r>
            <w:r>
              <w:rPr>
                <w:rFonts w:eastAsiaTheme="minorEastAsia"/>
                <w:color w:val="auto"/>
                <w:szCs w:val="24"/>
              </w:rPr>
              <w:t>不予批准后再次</w:t>
            </w:r>
            <w:r>
              <w:rPr>
                <w:color w:val="auto"/>
              </w:rPr>
              <w:t>申报项目</w:t>
            </w:r>
          </w:p>
          <w:p>
            <w:pPr>
              <w:pStyle w:val="24"/>
              <w:rPr>
                <w:color w:val="auto"/>
              </w:rPr>
            </w:pPr>
            <w:r>
              <w:rPr>
                <w:color w:val="auto"/>
                <w:szCs w:val="24"/>
              </w:rPr>
              <w:t>□</w:t>
            </w:r>
            <w:r>
              <w:rPr>
                <w:color w:val="auto"/>
              </w:rPr>
              <w:t>超五年重新审核项目</w:t>
            </w:r>
          </w:p>
          <w:p>
            <w:pPr>
              <w:pStyle w:val="24"/>
              <w:rPr>
                <w:color w:val="auto"/>
              </w:rPr>
            </w:pPr>
            <w:r>
              <w:rPr>
                <w:color w:val="auto"/>
                <w:szCs w:val="24"/>
              </w:rPr>
              <w:t>□</w:t>
            </w:r>
            <w:r>
              <w:rPr>
                <w:color w:val="auto"/>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项目审批（核准/备案）部门</w:t>
            </w:r>
          </w:p>
        </w:tc>
        <w:tc>
          <w:tcPr>
            <w:tcW w:w="2611" w:type="dxa"/>
            <w:vAlign w:val="center"/>
          </w:tcPr>
          <w:p>
            <w:pPr>
              <w:jc w:val="center"/>
              <w:rPr>
                <w:color w:val="auto"/>
                <w:sz w:val="24"/>
                <w:szCs w:val="24"/>
              </w:rPr>
            </w:pPr>
            <w:r>
              <w:rPr>
                <w:rFonts w:hint="eastAsia" w:hAnsiTheme="minorEastAsia" w:eastAsiaTheme="minorEastAsia"/>
                <w:bCs/>
                <w:color w:val="auto"/>
                <w:sz w:val="24"/>
                <w:szCs w:val="24"/>
              </w:rPr>
              <w:t>魏县</w:t>
            </w:r>
            <w:r>
              <w:rPr>
                <w:rFonts w:hAnsiTheme="minorEastAsia" w:eastAsiaTheme="minorEastAsia"/>
                <w:bCs/>
                <w:color w:val="auto"/>
                <w:sz w:val="24"/>
              </w:rPr>
              <w:t>行政审批局</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项目审批（核准/备案）文号</w:t>
            </w:r>
          </w:p>
        </w:tc>
        <w:tc>
          <w:tcPr>
            <w:tcW w:w="2910" w:type="dxa"/>
            <w:vAlign w:val="center"/>
          </w:tcPr>
          <w:p>
            <w:pPr>
              <w:pStyle w:val="24"/>
              <w:jc w:val="center"/>
              <w:rPr>
                <w:color w:val="auto"/>
                <w:szCs w:val="24"/>
              </w:rPr>
            </w:pPr>
            <w:r>
              <w:rPr>
                <w:color w:val="auto"/>
                <w:szCs w:val="24"/>
              </w:rPr>
              <w:t>魏</w:t>
            </w:r>
            <w:r>
              <w:rPr>
                <w:rFonts w:hint="eastAsia"/>
                <w:color w:val="auto"/>
                <w:szCs w:val="24"/>
              </w:rPr>
              <w:t>审批备字</w:t>
            </w:r>
            <w:r>
              <w:rPr>
                <w:color w:val="auto"/>
                <w:szCs w:val="24"/>
              </w:rPr>
              <w:t>(20</w:t>
            </w:r>
            <w:r>
              <w:rPr>
                <w:rFonts w:hint="eastAsia"/>
                <w:color w:val="auto"/>
                <w:szCs w:val="24"/>
              </w:rPr>
              <w:t>23</w:t>
            </w:r>
            <w:r>
              <w:rPr>
                <w:color w:val="auto"/>
                <w:szCs w:val="24"/>
              </w:rPr>
              <w:t>)</w:t>
            </w:r>
            <w:r>
              <w:rPr>
                <w:rFonts w:hint="eastAsia"/>
                <w:color w:val="auto"/>
                <w:szCs w:val="24"/>
              </w:rPr>
              <w:t>04</w:t>
            </w:r>
            <w:r>
              <w:rPr>
                <w:color w:val="auto"/>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总投资(万元)</w:t>
            </w:r>
          </w:p>
        </w:tc>
        <w:tc>
          <w:tcPr>
            <w:tcW w:w="2611" w:type="dxa"/>
            <w:vAlign w:val="center"/>
          </w:tcPr>
          <w:p>
            <w:pPr>
              <w:jc w:val="center"/>
              <w:rPr>
                <w:color w:val="auto"/>
                <w:sz w:val="24"/>
                <w:szCs w:val="24"/>
              </w:rPr>
            </w:pPr>
            <w:r>
              <w:rPr>
                <w:rFonts w:hint="eastAsia"/>
                <w:color w:val="auto"/>
                <w:sz w:val="24"/>
                <w:szCs w:val="24"/>
              </w:rPr>
              <w:t>6760</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环保投资(万元)</w:t>
            </w:r>
          </w:p>
        </w:tc>
        <w:tc>
          <w:tcPr>
            <w:tcW w:w="2910" w:type="dxa"/>
            <w:vAlign w:val="center"/>
          </w:tcPr>
          <w:p>
            <w:pPr>
              <w:pStyle w:val="24"/>
              <w:jc w:val="center"/>
              <w:rPr>
                <w:color w:val="auto"/>
                <w:szCs w:val="24"/>
              </w:rPr>
            </w:pPr>
            <w:r>
              <w:rPr>
                <w:rFonts w:hint="eastAsia"/>
                <w:color w:val="auto"/>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环保投资</w:t>
            </w:r>
          </w:p>
          <w:p>
            <w:pPr>
              <w:jc w:val="center"/>
              <w:rPr>
                <w:rFonts w:eastAsiaTheme="minorEastAsia"/>
                <w:b/>
                <w:color w:val="auto"/>
                <w:sz w:val="24"/>
                <w:szCs w:val="24"/>
              </w:rPr>
            </w:pPr>
            <w:r>
              <w:rPr>
                <w:rFonts w:eastAsiaTheme="minorEastAsia"/>
                <w:b/>
                <w:color w:val="auto"/>
                <w:sz w:val="24"/>
                <w:szCs w:val="24"/>
              </w:rPr>
              <w:t>占比（%）</w:t>
            </w:r>
          </w:p>
        </w:tc>
        <w:tc>
          <w:tcPr>
            <w:tcW w:w="2611" w:type="dxa"/>
            <w:vAlign w:val="center"/>
          </w:tcPr>
          <w:p>
            <w:pPr>
              <w:jc w:val="center"/>
              <w:rPr>
                <w:color w:val="auto"/>
                <w:sz w:val="24"/>
                <w:szCs w:val="24"/>
              </w:rPr>
            </w:pPr>
            <w:r>
              <w:rPr>
                <w:rFonts w:hint="eastAsia"/>
                <w:color w:val="auto"/>
                <w:sz w:val="24"/>
                <w:szCs w:val="24"/>
              </w:rPr>
              <w:t>2.96</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施工工期</w:t>
            </w:r>
          </w:p>
        </w:tc>
        <w:tc>
          <w:tcPr>
            <w:tcW w:w="2910" w:type="dxa"/>
            <w:vAlign w:val="center"/>
          </w:tcPr>
          <w:p>
            <w:pPr>
              <w:pStyle w:val="24"/>
              <w:jc w:val="center"/>
              <w:rPr>
                <w:color w:val="auto"/>
                <w:szCs w:val="24"/>
              </w:rPr>
            </w:pPr>
            <w:r>
              <w:rPr>
                <w:rFonts w:hint="eastAsia"/>
                <w:color w:val="auto"/>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是否开工建设</w:t>
            </w:r>
          </w:p>
        </w:tc>
        <w:tc>
          <w:tcPr>
            <w:tcW w:w="2611" w:type="dxa"/>
            <w:vAlign w:val="center"/>
          </w:tcPr>
          <w:p>
            <w:pPr>
              <w:rPr>
                <w:color w:val="auto"/>
              </w:rPr>
            </w:pPr>
            <w:r>
              <w:rPr>
                <w:color w:val="auto"/>
                <w:sz w:val="24"/>
                <w:szCs w:val="24"/>
              </w:rPr>
              <w:t>☑</w:t>
            </w:r>
            <w:r>
              <w:rPr>
                <w:color w:val="auto"/>
              </w:rPr>
              <w:t>否</w:t>
            </w:r>
          </w:p>
          <w:p>
            <w:pPr>
              <w:pStyle w:val="24"/>
              <w:rPr>
                <w:color w:val="auto"/>
              </w:rPr>
            </w:pPr>
            <w:r>
              <w:rPr>
                <w:color w:val="auto"/>
                <w:szCs w:val="24"/>
              </w:rPr>
              <w:t>□是</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用地面积</w:t>
            </w:r>
          </w:p>
        </w:tc>
        <w:tc>
          <w:tcPr>
            <w:tcW w:w="2910" w:type="dxa"/>
            <w:vAlign w:val="center"/>
          </w:tcPr>
          <w:p>
            <w:pPr>
              <w:pStyle w:val="24"/>
              <w:jc w:val="center"/>
              <w:rPr>
                <w:color w:val="auto"/>
                <w:szCs w:val="24"/>
              </w:rPr>
            </w:pPr>
            <w:r>
              <w:rPr>
                <w:rFonts w:hint="eastAsia"/>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专项评价</w:t>
            </w:r>
          </w:p>
          <w:p>
            <w:pPr>
              <w:jc w:val="center"/>
              <w:rPr>
                <w:rFonts w:eastAsiaTheme="minorEastAsia"/>
                <w:b/>
                <w:color w:val="auto"/>
                <w:sz w:val="24"/>
                <w:szCs w:val="24"/>
              </w:rPr>
            </w:pPr>
            <w:r>
              <w:rPr>
                <w:rFonts w:hint="eastAsia" w:eastAsiaTheme="minorEastAsia"/>
                <w:b/>
                <w:color w:val="auto"/>
                <w:sz w:val="24"/>
                <w:szCs w:val="24"/>
              </w:rPr>
              <w:t>设置情况</w:t>
            </w:r>
          </w:p>
        </w:tc>
        <w:tc>
          <w:tcPr>
            <w:tcW w:w="7441" w:type="dxa"/>
            <w:gridSpan w:val="3"/>
            <w:vAlign w:val="center"/>
          </w:tcPr>
          <w:p>
            <w:pPr>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规划情况</w:t>
            </w:r>
          </w:p>
        </w:tc>
        <w:tc>
          <w:tcPr>
            <w:tcW w:w="7441" w:type="dxa"/>
            <w:gridSpan w:val="3"/>
            <w:vAlign w:val="center"/>
          </w:tcPr>
          <w:p>
            <w:pPr>
              <w:spacing w:line="480" w:lineRule="exact"/>
              <w:rPr>
                <w:rFonts w:eastAsiaTheme="minorEastAsia"/>
                <w:color w:val="auto"/>
                <w:sz w:val="24"/>
                <w:szCs w:val="24"/>
              </w:rPr>
            </w:pPr>
            <w:r>
              <w:rPr>
                <w:rFonts w:hint="eastAsia" w:eastAsiaTheme="minorEastAsia"/>
                <w:color w:val="auto"/>
                <w:sz w:val="24"/>
                <w:szCs w:val="24"/>
              </w:rPr>
              <w:t>规划名称：</w:t>
            </w:r>
            <w:r>
              <w:rPr>
                <w:rFonts w:hint="eastAsia" w:eastAsiaTheme="minorEastAsia"/>
                <w:color w:val="auto"/>
                <w:sz w:val="24"/>
                <w:szCs w:val="24"/>
                <w:u w:val="single"/>
              </w:rPr>
              <w:t>《河北魏县经济开发区总体规划（2019-2030）》</w:t>
            </w:r>
            <w:r>
              <w:rPr>
                <w:rFonts w:hint="eastAsia" w:eastAsiaTheme="minorEastAsia"/>
                <w:color w:val="auto"/>
                <w:sz w:val="24"/>
                <w:szCs w:val="24"/>
              </w:rPr>
              <w:t>；</w:t>
            </w:r>
          </w:p>
          <w:p>
            <w:pPr>
              <w:spacing w:line="480" w:lineRule="exact"/>
              <w:rPr>
                <w:rFonts w:eastAsiaTheme="minorEastAsia"/>
                <w:color w:val="auto"/>
                <w:sz w:val="24"/>
                <w:szCs w:val="24"/>
                <w:u w:val="single"/>
              </w:rPr>
            </w:pPr>
            <w:r>
              <w:rPr>
                <w:rFonts w:hint="eastAsia" w:eastAsiaTheme="minorEastAsia"/>
                <w:color w:val="auto"/>
                <w:sz w:val="24"/>
                <w:szCs w:val="24"/>
              </w:rPr>
              <w:t>审批机关：</w:t>
            </w:r>
            <w:r>
              <w:rPr>
                <w:rFonts w:hint="eastAsia" w:eastAsiaTheme="minorEastAsia"/>
                <w:color w:val="auto"/>
                <w:sz w:val="24"/>
                <w:szCs w:val="24"/>
                <w:u w:val="single"/>
              </w:rPr>
              <w:t>魏县人民政府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规划环境影响</w:t>
            </w:r>
          </w:p>
          <w:p>
            <w:pPr>
              <w:jc w:val="center"/>
              <w:rPr>
                <w:rFonts w:eastAsiaTheme="minorEastAsia"/>
                <w:b/>
                <w:color w:val="auto"/>
                <w:sz w:val="24"/>
                <w:szCs w:val="24"/>
              </w:rPr>
            </w:pPr>
            <w:r>
              <w:rPr>
                <w:rFonts w:hint="eastAsia" w:eastAsiaTheme="minorEastAsia"/>
                <w:b/>
                <w:color w:val="auto"/>
                <w:sz w:val="24"/>
                <w:szCs w:val="24"/>
              </w:rPr>
              <w:t>评价情况</w:t>
            </w:r>
          </w:p>
        </w:tc>
        <w:tc>
          <w:tcPr>
            <w:tcW w:w="7441" w:type="dxa"/>
            <w:gridSpan w:val="3"/>
            <w:vAlign w:val="center"/>
          </w:tcPr>
          <w:p>
            <w:pPr>
              <w:spacing w:line="480" w:lineRule="exact"/>
              <w:rPr>
                <w:rFonts w:eastAsiaTheme="minorEastAsia"/>
                <w:color w:val="auto"/>
                <w:sz w:val="24"/>
                <w:szCs w:val="24"/>
              </w:rPr>
            </w:pPr>
            <w:r>
              <w:rPr>
                <w:rFonts w:eastAsiaTheme="minorEastAsia"/>
                <w:color w:val="auto"/>
                <w:sz w:val="24"/>
                <w:szCs w:val="24"/>
              </w:rPr>
              <w:t>规划环境影响评价文件名称：</w:t>
            </w:r>
            <w:r>
              <w:rPr>
                <w:bCs/>
                <w:color w:val="auto"/>
                <w:sz w:val="24"/>
                <w:szCs w:val="22"/>
                <w:u w:val="single"/>
              </w:rPr>
              <w:t>《</w:t>
            </w:r>
            <w:r>
              <w:rPr>
                <w:rFonts w:hint="eastAsia"/>
                <w:bCs/>
                <w:color w:val="auto"/>
                <w:sz w:val="24"/>
                <w:szCs w:val="22"/>
                <w:u w:val="single"/>
              </w:rPr>
              <w:t>河北魏县经济开发区总体规划（2019-2030）</w:t>
            </w:r>
            <w:r>
              <w:rPr>
                <w:bCs/>
                <w:color w:val="auto"/>
                <w:sz w:val="24"/>
                <w:szCs w:val="22"/>
                <w:u w:val="single"/>
              </w:rPr>
              <w:t>环境影响报告书》</w:t>
            </w:r>
            <w:r>
              <w:rPr>
                <w:rFonts w:eastAsiaTheme="minorEastAsia"/>
                <w:color w:val="auto"/>
                <w:sz w:val="24"/>
                <w:szCs w:val="24"/>
              </w:rPr>
              <w:t>；</w:t>
            </w:r>
          </w:p>
          <w:p>
            <w:pPr>
              <w:spacing w:line="480" w:lineRule="exact"/>
              <w:rPr>
                <w:rFonts w:eastAsiaTheme="minorEastAsia"/>
                <w:color w:val="auto"/>
                <w:sz w:val="24"/>
                <w:szCs w:val="24"/>
              </w:rPr>
            </w:pPr>
            <w:r>
              <w:rPr>
                <w:rFonts w:eastAsiaTheme="minorEastAsia"/>
                <w:color w:val="auto"/>
                <w:sz w:val="24"/>
                <w:szCs w:val="24"/>
              </w:rPr>
              <w:t>召集审查机关：</w:t>
            </w:r>
            <w:r>
              <w:rPr>
                <w:rFonts w:eastAsiaTheme="minorEastAsia"/>
                <w:color w:val="auto"/>
                <w:sz w:val="24"/>
                <w:szCs w:val="24"/>
                <w:u w:val="single"/>
              </w:rPr>
              <w:t>河北省</w:t>
            </w:r>
            <w:r>
              <w:rPr>
                <w:rFonts w:hint="eastAsia" w:eastAsiaTheme="minorEastAsia"/>
                <w:color w:val="auto"/>
                <w:sz w:val="24"/>
                <w:szCs w:val="24"/>
                <w:u w:val="single"/>
              </w:rPr>
              <w:t>生态环境</w:t>
            </w:r>
            <w:r>
              <w:rPr>
                <w:rFonts w:eastAsiaTheme="minorEastAsia"/>
                <w:color w:val="auto"/>
                <w:sz w:val="24"/>
                <w:szCs w:val="24"/>
                <w:u w:val="single"/>
              </w:rPr>
              <w:t>厅</w:t>
            </w:r>
            <w:r>
              <w:rPr>
                <w:rFonts w:eastAsiaTheme="minorEastAsia"/>
                <w:color w:val="auto"/>
                <w:sz w:val="24"/>
                <w:szCs w:val="24"/>
              </w:rPr>
              <w:t>；</w:t>
            </w:r>
          </w:p>
          <w:p>
            <w:pPr>
              <w:spacing w:line="440" w:lineRule="exact"/>
              <w:jc w:val="left"/>
              <w:rPr>
                <w:rFonts w:eastAsiaTheme="minorEastAsia"/>
                <w:color w:val="auto"/>
                <w:sz w:val="24"/>
                <w:szCs w:val="24"/>
                <w:u w:val="single"/>
              </w:rPr>
            </w:pPr>
            <w:r>
              <w:rPr>
                <w:rFonts w:eastAsiaTheme="minorEastAsia"/>
                <w:color w:val="auto"/>
                <w:sz w:val="24"/>
                <w:szCs w:val="24"/>
              </w:rPr>
              <w:t>审查文件名称及文号：</w:t>
            </w:r>
            <w:r>
              <w:rPr>
                <w:rFonts w:eastAsiaTheme="minorEastAsia"/>
                <w:color w:val="auto"/>
                <w:sz w:val="24"/>
                <w:szCs w:val="24"/>
                <w:u w:val="single"/>
              </w:rPr>
              <w:t>《关于</w:t>
            </w:r>
            <w:r>
              <w:rPr>
                <w:rFonts w:hint="eastAsia" w:eastAsiaTheme="minorEastAsia"/>
                <w:bCs/>
                <w:color w:val="auto"/>
                <w:sz w:val="24"/>
                <w:szCs w:val="22"/>
                <w:u w:val="single"/>
              </w:rPr>
              <w:t>转送</w:t>
            </w:r>
            <w:r>
              <w:rPr>
                <w:rFonts w:hint="eastAsia"/>
                <w:bCs/>
                <w:color w:val="auto"/>
                <w:sz w:val="24"/>
                <w:szCs w:val="22"/>
                <w:u w:val="single"/>
              </w:rPr>
              <w:t>河北魏县经济开发区总体规划（2019-2030）</w:t>
            </w:r>
            <w:r>
              <w:rPr>
                <w:bCs/>
                <w:color w:val="auto"/>
                <w:sz w:val="24"/>
                <w:szCs w:val="22"/>
                <w:u w:val="single"/>
              </w:rPr>
              <w:t>环境影响报告书</w:t>
            </w:r>
            <w:r>
              <w:rPr>
                <w:rFonts w:eastAsiaTheme="minorEastAsia"/>
                <w:color w:val="auto"/>
                <w:sz w:val="24"/>
                <w:szCs w:val="24"/>
                <w:u w:val="single"/>
              </w:rPr>
              <w:t>审查意见的函》（冀环评函[20</w:t>
            </w:r>
            <w:r>
              <w:rPr>
                <w:rFonts w:hint="eastAsia" w:eastAsiaTheme="minorEastAsia"/>
                <w:color w:val="auto"/>
                <w:sz w:val="24"/>
                <w:szCs w:val="24"/>
                <w:u w:val="single"/>
              </w:rPr>
              <w:t>21</w:t>
            </w:r>
            <w:r>
              <w:rPr>
                <w:rFonts w:eastAsiaTheme="minorEastAsia"/>
                <w:color w:val="auto"/>
                <w:sz w:val="24"/>
                <w:szCs w:val="24"/>
                <w:u w:val="single"/>
              </w:rPr>
              <w:t>]5</w:t>
            </w:r>
            <w:r>
              <w:rPr>
                <w:rFonts w:hint="eastAsia" w:eastAsiaTheme="minorEastAsia"/>
                <w:color w:val="auto"/>
                <w:sz w:val="24"/>
                <w:szCs w:val="24"/>
                <w:u w:val="single"/>
              </w:rPr>
              <w:t>49</w:t>
            </w:r>
            <w:r>
              <w:rPr>
                <w:rFonts w:eastAsiaTheme="minorEastAsia"/>
                <w:color w:val="auto"/>
                <w:sz w:val="24"/>
                <w:szCs w:val="24"/>
                <w:u w:val="single"/>
              </w:rPr>
              <w:t>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规划及规划环境影响评价符合性分析</w:t>
            </w:r>
          </w:p>
        </w:tc>
        <w:tc>
          <w:tcPr>
            <w:tcW w:w="7441" w:type="dxa"/>
            <w:gridSpan w:val="3"/>
          </w:tcPr>
          <w:p>
            <w:pPr>
              <w:pStyle w:val="24"/>
              <w:spacing w:line="480" w:lineRule="exact"/>
              <w:rPr>
                <w:b/>
                <w:color w:val="auto"/>
                <w:szCs w:val="24"/>
              </w:rPr>
            </w:pPr>
            <w:r>
              <w:rPr>
                <w:rFonts w:hint="eastAsia"/>
                <w:b/>
                <w:color w:val="auto"/>
                <w:szCs w:val="24"/>
              </w:rPr>
              <w:t>一、与《河北魏县经济开发区总体规划（2019-2030）》符合性分析</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1、产业定位与产业布局符合性分析</w:t>
            </w:r>
          </w:p>
          <w:p>
            <w:pPr>
              <w:widowControl/>
              <w:spacing w:line="360" w:lineRule="auto"/>
              <w:ind w:firstLine="472" w:firstLineChars="200"/>
              <w:jc w:val="left"/>
              <w:rPr>
                <w:rFonts w:eastAsiaTheme="minorEastAsia"/>
                <w:color w:val="auto"/>
                <w:sz w:val="24"/>
                <w:szCs w:val="24"/>
              </w:rPr>
            </w:pPr>
            <w:r>
              <w:rPr>
                <w:rFonts w:hint="eastAsia" w:eastAsiaTheme="minorEastAsia"/>
                <w:color w:val="auto"/>
                <w:sz w:val="24"/>
                <w:szCs w:val="24"/>
              </w:rPr>
              <w:t>河北魏县经济开发区分东区和西区两个区</w:t>
            </w:r>
            <w:r>
              <w:rPr>
                <w:rFonts w:hint="eastAsia" w:eastAsiaTheme="minorEastAsia"/>
                <w:color w:val="auto"/>
                <w:sz w:val="24"/>
                <w:szCs w:val="24"/>
                <w:lang w:eastAsia="zh-CN"/>
              </w:rPr>
              <w:t>，</w:t>
            </w:r>
            <w:r>
              <w:rPr>
                <w:rFonts w:hint="eastAsia" w:eastAsiaTheme="minorEastAsia"/>
                <w:color w:val="auto"/>
                <w:sz w:val="24"/>
                <w:szCs w:val="24"/>
              </w:rPr>
              <w:t xml:space="preserve">规划主导产业为商贸物流、装备制造业、再生资源产业、金属压延加工及金属制造产业。西区距离中心城区较近，主要用地类型为居住用地，后续发展以生活居住、物流为主，不再发展工业企业；东区以装备制造业、再生资源深加工产业、金属压延加工及金属制造业为主导产业。 </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highlight w:val="none"/>
                <w:lang w:eastAsia="zh-CN"/>
              </w:rPr>
              <w:t>河北和赢电气有限责任公司</w:t>
            </w:r>
            <w:r>
              <w:rPr>
                <w:rFonts w:hint="eastAsia" w:eastAsiaTheme="minorEastAsia"/>
                <w:b/>
                <w:bCs/>
                <w:color w:val="auto"/>
                <w:sz w:val="24"/>
                <w:szCs w:val="24"/>
                <w:highlight w:val="none"/>
              </w:rPr>
              <w:t>位于河北魏县经济开发区分东区</w:t>
            </w:r>
            <w:r>
              <w:rPr>
                <w:rFonts w:hint="eastAsia" w:eastAsiaTheme="minorEastAsia"/>
                <w:b/>
                <w:bCs/>
                <w:color w:val="auto"/>
                <w:sz w:val="24"/>
                <w:szCs w:val="24"/>
                <w:highlight w:val="none"/>
                <w:lang w:val="en-US" w:eastAsia="zh-CN"/>
              </w:rPr>
              <w:t>内</w:t>
            </w:r>
            <w:r>
              <w:rPr>
                <w:rFonts w:hint="eastAsia" w:eastAsiaTheme="minorEastAsia"/>
                <w:b/>
                <w:bCs/>
                <w:color w:val="auto"/>
                <w:sz w:val="24"/>
                <w:szCs w:val="24"/>
                <w:highlight w:val="none"/>
              </w:rPr>
              <w:t>天雨路2997号，</w:t>
            </w:r>
            <w:r>
              <w:rPr>
                <w:rFonts w:hint="eastAsia" w:eastAsiaTheme="minorEastAsia"/>
                <w:b/>
                <w:bCs/>
                <w:color w:val="auto"/>
                <w:sz w:val="24"/>
                <w:szCs w:val="24"/>
              </w:rPr>
              <w:t>属于</w:t>
            </w:r>
            <w:r>
              <w:rPr>
                <w:rFonts w:hint="eastAsia" w:eastAsiaTheme="minorEastAsia"/>
                <w:b/>
                <w:bCs/>
                <w:color w:val="auto"/>
                <w:sz w:val="24"/>
                <w:szCs w:val="24"/>
                <w:lang w:val="en-US" w:eastAsia="zh-CN"/>
              </w:rPr>
              <w:t>装备制造</w:t>
            </w:r>
            <w:r>
              <w:rPr>
                <w:rFonts w:hint="eastAsia" w:eastAsiaTheme="minorEastAsia"/>
                <w:b/>
                <w:bCs/>
                <w:color w:val="auto"/>
                <w:sz w:val="24"/>
                <w:szCs w:val="24"/>
              </w:rPr>
              <w:t>产业园区。本项目为</w:t>
            </w:r>
            <w:r>
              <w:rPr>
                <w:rFonts w:hint="eastAsia" w:eastAsiaTheme="minorEastAsia"/>
                <w:b/>
                <w:bCs/>
                <w:color w:val="auto"/>
                <w:sz w:val="24"/>
                <w:szCs w:val="24"/>
                <w:lang w:val="zh-CN"/>
              </w:rPr>
              <w:t>高低压电力设备制造项目</w:t>
            </w:r>
            <w:r>
              <w:rPr>
                <w:rFonts w:hint="eastAsia" w:eastAsiaTheme="minorEastAsia"/>
                <w:b/>
                <w:bCs/>
                <w:color w:val="auto"/>
                <w:sz w:val="24"/>
                <w:szCs w:val="24"/>
              </w:rPr>
              <w:t>，属于魏县经济开发区主导的</w:t>
            </w:r>
            <w:r>
              <w:rPr>
                <w:rFonts w:hint="eastAsia" w:eastAsiaTheme="minorEastAsia"/>
                <w:b/>
                <w:bCs/>
                <w:color w:val="auto"/>
                <w:sz w:val="24"/>
                <w:szCs w:val="24"/>
                <w:lang w:val="en-US" w:eastAsia="zh-CN"/>
              </w:rPr>
              <w:t>装备</w:t>
            </w:r>
            <w:r>
              <w:rPr>
                <w:rFonts w:hint="eastAsia" w:eastAsiaTheme="minorEastAsia"/>
                <w:b/>
                <w:bCs/>
                <w:color w:val="auto"/>
                <w:sz w:val="24"/>
                <w:szCs w:val="24"/>
              </w:rPr>
              <w:t>制造产业；项目租赁河北聚银企业管理服务有限公司设备制造区C厂区，用地性质属于工业用地。综上，本项目符合园区用地布局及产业布局规划要求。</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 xml:space="preserve"> 2、基础设施依托的可行性分析</w:t>
            </w:r>
          </w:p>
          <w:p>
            <w:pPr>
              <w:pStyle w:val="24"/>
              <w:autoSpaceDE/>
              <w:autoSpaceDN/>
              <w:adjustRightInd/>
              <w:spacing w:line="440" w:lineRule="exact"/>
              <w:ind w:firstLine="480"/>
              <w:rPr>
                <w:rFonts w:eastAsiaTheme="minorEastAsia"/>
                <w:color w:val="auto"/>
                <w:szCs w:val="24"/>
              </w:rPr>
            </w:pPr>
            <w:r>
              <w:rPr>
                <w:rFonts w:hint="eastAsia" w:eastAsiaTheme="minorEastAsia"/>
                <w:color w:val="auto"/>
                <w:szCs w:val="24"/>
              </w:rPr>
              <w:t>（1）给水</w:t>
            </w:r>
          </w:p>
          <w:p>
            <w:pPr>
              <w:widowControl/>
              <w:spacing w:line="360" w:lineRule="auto"/>
              <w:ind w:firstLine="472" w:firstLineChars="200"/>
              <w:jc w:val="left"/>
              <w:rPr>
                <w:rFonts w:eastAsiaTheme="minorEastAsia"/>
                <w:color w:val="auto"/>
                <w:sz w:val="24"/>
                <w:szCs w:val="24"/>
              </w:rPr>
            </w:pPr>
            <w:r>
              <w:rPr>
                <w:rFonts w:hint="eastAsia" w:eastAsiaTheme="minorEastAsia"/>
                <w:color w:val="auto"/>
                <w:sz w:val="24"/>
                <w:szCs w:val="24"/>
              </w:rPr>
              <w:t>河北魏县经济开发区水源以魏县南水北调配套水厂以及中水回用工程相结合。根据邯郸市《关于南水北调配套工程规划有关问题的通知》，魏县属于受水区范围，分配水量为</w:t>
            </w:r>
            <w:r>
              <w:rPr>
                <w:rFonts w:eastAsiaTheme="minorEastAsia"/>
                <w:color w:val="auto"/>
                <w:sz w:val="24"/>
                <w:szCs w:val="24"/>
              </w:rPr>
              <w:t>2100</w:t>
            </w:r>
            <w:r>
              <w:rPr>
                <w:rFonts w:hint="eastAsia" w:eastAsiaTheme="minorEastAsia"/>
                <w:color w:val="auto"/>
                <w:sz w:val="24"/>
                <w:szCs w:val="24"/>
              </w:rPr>
              <w:t>万立方米。除此之外在园区内留有工业用水口。根据魏县水利局出具的《关于</w:t>
            </w:r>
            <w:r>
              <w:rPr>
                <w:rFonts w:eastAsiaTheme="minorEastAsia"/>
                <w:color w:val="auto"/>
                <w:sz w:val="24"/>
                <w:szCs w:val="24"/>
              </w:rPr>
              <w:t>&lt;</w:t>
            </w:r>
            <w:r>
              <w:rPr>
                <w:rFonts w:hint="eastAsia" w:eastAsiaTheme="minorEastAsia"/>
                <w:color w:val="auto"/>
                <w:sz w:val="24"/>
                <w:szCs w:val="24"/>
              </w:rPr>
              <w:t>河北魏县经济开发区规划（</w:t>
            </w:r>
            <w:r>
              <w:rPr>
                <w:rFonts w:eastAsiaTheme="minorEastAsia"/>
                <w:color w:val="auto"/>
                <w:sz w:val="24"/>
                <w:szCs w:val="24"/>
              </w:rPr>
              <w:t>2019-2030</w:t>
            </w:r>
            <w:r>
              <w:rPr>
                <w:rFonts w:hint="eastAsia" w:eastAsiaTheme="minorEastAsia"/>
                <w:color w:val="auto"/>
                <w:sz w:val="24"/>
                <w:szCs w:val="24"/>
              </w:rPr>
              <w:t>）</w:t>
            </w:r>
            <w:r>
              <w:rPr>
                <w:rFonts w:eastAsiaTheme="minorEastAsia"/>
                <w:color w:val="auto"/>
                <w:sz w:val="24"/>
                <w:szCs w:val="24"/>
              </w:rPr>
              <w:t>&gt;</w:t>
            </w:r>
            <w:r>
              <w:rPr>
                <w:rFonts w:hint="eastAsia" w:eastAsiaTheme="minorEastAsia"/>
                <w:color w:val="auto"/>
                <w:sz w:val="24"/>
                <w:szCs w:val="24"/>
              </w:rPr>
              <w:t>实施的意见》可知，规划近期（</w:t>
            </w:r>
            <w:r>
              <w:rPr>
                <w:rFonts w:eastAsiaTheme="minorEastAsia"/>
                <w:color w:val="auto"/>
                <w:sz w:val="24"/>
                <w:szCs w:val="24"/>
              </w:rPr>
              <w:t>2025</w:t>
            </w:r>
            <w:r>
              <w:rPr>
                <w:rFonts w:hint="eastAsia" w:eastAsiaTheme="minorEastAsia"/>
                <w:color w:val="auto"/>
                <w:sz w:val="24"/>
                <w:szCs w:val="24"/>
              </w:rPr>
              <w:t xml:space="preserve">年）可为河北魏县经济开发区分配水量为 </w:t>
            </w:r>
            <w:r>
              <w:rPr>
                <w:rFonts w:eastAsiaTheme="minorEastAsia"/>
                <w:color w:val="auto"/>
                <w:sz w:val="24"/>
                <w:szCs w:val="24"/>
              </w:rPr>
              <w:t>500</w:t>
            </w:r>
            <w:r>
              <w:rPr>
                <w:rFonts w:hint="eastAsia" w:eastAsiaTheme="minorEastAsia"/>
                <w:color w:val="auto"/>
                <w:sz w:val="24"/>
                <w:szCs w:val="24"/>
              </w:rPr>
              <w:t>万</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int="eastAsia" w:eastAsiaTheme="minorEastAsia"/>
                <w:color w:val="auto"/>
                <w:sz w:val="24"/>
                <w:szCs w:val="24"/>
              </w:rPr>
              <w:t>，规划远期（</w:t>
            </w:r>
            <w:r>
              <w:rPr>
                <w:rFonts w:eastAsiaTheme="minorEastAsia"/>
                <w:color w:val="auto"/>
                <w:sz w:val="24"/>
                <w:szCs w:val="24"/>
              </w:rPr>
              <w:t>2030</w:t>
            </w:r>
            <w:r>
              <w:rPr>
                <w:rFonts w:hint="eastAsia" w:eastAsiaTheme="minorEastAsia"/>
                <w:color w:val="auto"/>
                <w:sz w:val="24"/>
                <w:szCs w:val="24"/>
              </w:rPr>
              <w:t>年）可为河北魏县经济开发区分配水量为</w:t>
            </w:r>
            <w:r>
              <w:rPr>
                <w:rFonts w:eastAsiaTheme="minorEastAsia"/>
                <w:color w:val="auto"/>
                <w:sz w:val="24"/>
                <w:szCs w:val="24"/>
              </w:rPr>
              <w:t>850</w:t>
            </w:r>
            <w:r>
              <w:rPr>
                <w:rFonts w:hint="eastAsia" w:eastAsiaTheme="minorEastAsia"/>
                <w:color w:val="auto"/>
                <w:sz w:val="24"/>
                <w:szCs w:val="24"/>
              </w:rPr>
              <w:t>万</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int="eastAsia" w:eastAsiaTheme="minorEastAsia"/>
                <w:color w:val="auto"/>
                <w:sz w:val="24"/>
                <w:szCs w:val="24"/>
              </w:rPr>
              <w:t>。</w:t>
            </w:r>
          </w:p>
          <w:p>
            <w:pPr>
              <w:widowControl/>
              <w:spacing w:line="360" w:lineRule="auto"/>
              <w:ind w:firstLine="472" w:firstLineChars="200"/>
              <w:jc w:val="left"/>
              <w:rPr>
                <w:rFonts w:eastAsiaTheme="minorEastAsia"/>
                <w:b/>
                <w:bCs/>
                <w:color w:val="auto"/>
                <w:sz w:val="24"/>
                <w:szCs w:val="24"/>
              </w:rPr>
            </w:pPr>
            <w:r>
              <w:rPr>
                <w:rFonts w:hint="eastAsia" w:eastAsiaTheme="minorEastAsia"/>
                <w:b/>
                <w:bCs/>
                <w:color w:val="auto"/>
                <w:sz w:val="24"/>
                <w:szCs w:val="24"/>
              </w:rPr>
              <w:t>本项目用水主要为喷塑前处理水洗用水、</w:t>
            </w:r>
            <w:r>
              <w:rPr>
                <w:rFonts w:hint="eastAsia" w:eastAsiaTheme="minorEastAsia"/>
                <w:b/>
                <w:bCs/>
                <w:color w:val="auto"/>
                <w:sz w:val="24"/>
                <w:szCs w:val="24"/>
                <w:lang w:val="en-US" w:eastAsia="zh-CN"/>
              </w:rPr>
              <w:t>脱脂后</w:t>
            </w:r>
            <w:r>
              <w:rPr>
                <w:rFonts w:hint="eastAsia" w:eastAsiaTheme="minorEastAsia"/>
                <w:b/>
                <w:bCs/>
                <w:color w:val="auto"/>
                <w:sz w:val="24"/>
                <w:szCs w:val="24"/>
              </w:rPr>
              <w:t>清洗用水和日常生活用水，依托聚银现有供水系统，由开发区给水管网集中供应，可以满足生活和生产需求。</w:t>
            </w:r>
          </w:p>
          <w:p>
            <w:pPr>
              <w:pStyle w:val="24"/>
              <w:autoSpaceDE/>
              <w:autoSpaceDN/>
              <w:adjustRightInd/>
              <w:spacing w:line="440" w:lineRule="exact"/>
              <w:ind w:firstLine="480"/>
              <w:rPr>
                <w:rFonts w:eastAsiaTheme="minorEastAsia"/>
                <w:color w:val="auto"/>
                <w:szCs w:val="24"/>
              </w:rPr>
            </w:pPr>
            <w:r>
              <w:rPr>
                <w:rFonts w:hint="eastAsia" w:eastAsiaTheme="minorEastAsia"/>
                <w:color w:val="auto"/>
                <w:szCs w:val="24"/>
              </w:rPr>
              <w:t>（2）排水</w:t>
            </w:r>
          </w:p>
          <w:p>
            <w:pPr>
              <w:pStyle w:val="24"/>
              <w:spacing w:line="520" w:lineRule="exact"/>
              <w:ind w:firstLine="472" w:firstLineChars="200"/>
              <w:rPr>
                <w:color w:val="auto"/>
              </w:rPr>
            </w:pPr>
            <w:r>
              <w:rPr>
                <w:rFonts w:hint="eastAsia"/>
                <w:color w:val="auto"/>
              </w:rPr>
              <w:t xml:space="preserve">魏县开发区现状有污水处理厂两座，分别为魏县污水处理厂和魏县开发区污水处理厂。魏县污水处理厂设计处理能力为 </w:t>
            </w:r>
            <w:r>
              <w:rPr>
                <w:color w:val="auto"/>
              </w:rPr>
              <w:t>3.0</w:t>
            </w:r>
            <w:r>
              <w:rPr>
                <w:rFonts w:hint="eastAsia"/>
                <w:color w:val="auto"/>
              </w:rPr>
              <w:t xml:space="preserve">万 </w:t>
            </w:r>
            <w:r>
              <w:rPr>
                <w:color w:val="auto"/>
              </w:rPr>
              <w:t>m</w:t>
            </w:r>
            <w:r>
              <w:rPr>
                <w:color w:val="auto"/>
                <w:vertAlign w:val="superscript"/>
              </w:rPr>
              <w:t>3</w:t>
            </w:r>
            <w:r>
              <w:rPr>
                <w:color w:val="auto"/>
              </w:rPr>
              <w:t>/d</w:t>
            </w:r>
            <w:r>
              <w:rPr>
                <w:rFonts w:hint="eastAsia"/>
                <w:color w:val="auto"/>
              </w:rPr>
              <w:t>，魏县开发区污水处理厂现状处理能力为</w:t>
            </w:r>
            <w:r>
              <w:rPr>
                <w:color w:val="auto"/>
              </w:rPr>
              <w:t>1.5</w:t>
            </w:r>
            <w:r>
              <w:rPr>
                <w:rFonts w:hint="eastAsia"/>
                <w:color w:val="auto"/>
              </w:rPr>
              <w:t>万</w:t>
            </w:r>
            <w:r>
              <w:rPr>
                <w:color w:val="auto"/>
              </w:rPr>
              <w:t>m</w:t>
            </w:r>
            <w:r>
              <w:rPr>
                <w:color w:val="auto"/>
                <w:vertAlign w:val="superscript"/>
              </w:rPr>
              <w:t>3</w:t>
            </w:r>
            <w:r>
              <w:rPr>
                <w:color w:val="auto"/>
              </w:rPr>
              <w:t>/d</w:t>
            </w:r>
            <w:r>
              <w:rPr>
                <w:rFonts w:hint="eastAsia"/>
                <w:color w:val="auto"/>
              </w:rPr>
              <w:t>，二期扩建完成后为</w:t>
            </w:r>
            <w:r>
              <w:rPr>
                <w:color w:val="auto"/>
              </w:rPr>
              <w:t>3.0</w:t>
            </w:r>
            <w:r>
              <w:rPr>
                <w:rFonts w:hint="eastAsia"/>
                <w:color w:val="auto"/>
              </w:rPr>
              <w:t>万</w:t>
            </w:r>
            <w:r>
              <w:rPr>
                <w:color w:val="auto"/>
              </w:rPr>
              <w:t>m</w:t>
            </w:r>
            <w:r>
              <w:rPr>
                <w:color w:val="auto"/>
                <w:vertAlign w:val="superscript"/>
              </w:rPr>
              <w:t>3</w:t>
            </w:r>
            <w:r>
              <w:rPr>
                <w:color w:val="auto"/>
              </w:rPr>
              <w:t>/d</w:t>
            </w:r>
            <w:r>
              <w:rPr>
                <w:rFonts w:hint="eastAsia"/>
                <w:color w:val="auto"/>
              </w:rPr>
              <w:t>。魏县开发区污水处理厂位于河北魏县经济开发区南侧，建设项目总占地 60亩，其中一期占地50亩，主要建设粗格栅槽及进水泵房、细格栅槽及沉淀池、水解酸化池、CASS 生化反应池、絮凝沉淀池、滤池、消毒池、出水井、污泥浓缩池、脱水泵房、综合楼、总配电室、检修间等，总建(构)筑物面积4800m</w:t>
            </w:r>
            <w:r>
              <w:rPr>
                <w:rFonts w:hint="eastAsia"/>
                <w:color w:val="auto"/>
                <w:vertAlign w:val="superscript"/>
              </w:rPr>
              <w:t>2</w:t>
            </w:r>
            <w:r>
              <w:rPr>
                <w:rFonts w:hint="eastAsia"/>
                <w:color w:val="auto"/>
              </w:rPr>
              <w:t>。一期工程设计日处理污水1.5万m</w:t>
            </w:r>
            <w:r>
              <w:rPr>
                <w:rFonts w:hint="eastAsia"/>
                <w:color w:val="auto"/>
                <w:vertAlign w:val="superscript"/>
              </w:rPr>
              <w:t>3</w:t>
            </w:r>
            <w:r>
              <w:rPr>
                <w:rFonts w:hint="eastAsia"/>
                <w:color w:val="auto"/>
              </w:rPr>
              <w:t>/d，现污水实际处理量约为1万m</w:t>
            </w:r>
            <w:r>
              <w:rPr>
                <w:rFonts w:hint="eastAsia"/>
                <w:color w:val="auto"/>
                <w:vertAlign w:val="superscript"/>
              </w:rPr>
              <w:t>3</w:t>
            </w:r>
            <w:r>
              <w:rPr>
                <w:rFonts w:hint="eastAsia"/>
                <w:color w:val="auto"/>
              </w:rPr>
              <w:t>/d，采用“预处理+水解酸化+CASS+絮凝沉淀+过滤”工艺。开发区工业污水处理厂污水经处理后满足《城镇污水处理厂污染物排放标准》（GB18918-2002）表 1一级 A 标准要求，排入魏大馆渠。目前，魏县开发区污水处理厂二期工程正在进行环境影响评价工作。</w:t>
            </w:r>
          </w:p>
          <w:p>
            <w:pPr>
              <w:pStyle w:val="24"/>
              <w:spacing w:line="520" w:lineRule="exact"/>
              <w:ind w:firstLine="472" w:firstLineChars="200"/>
              <w:rPr>
                <w:b/>
                <w:bCs/>
                <w:color w:val="auto"/>
              </w:rPr>
            </w:pPr>
            <w:r>
              <w:rPr>
                <w:rFonts w:hint="eastAsia"/>
                <w:b/>
                <w:bCs/>
                <w:color w:val="auto"/>
              </w:rPr>
              <w:t>本项目喷塑线生产废水经自建的一体化污水处理设施处理排入园区污水管网，最终进入魏县开发区污水处理厂处理；员工日常生活产生的生活废水依托</w:t>
            </w:r>
            <w:r>
              <w:rPr>
                <w:rFonts w:hint="eastAsia" w:eastAsiaTheme="minorEastAsia"/>
                <w:b/>
                <w:bCs/>
                <w:color w:val="auto"/>
                <w:szCs w:val="24"/>
              </w:rPr>
              <w:t>聚银化粪池处理后排入</w:t>
            </w:r>
            <w:r>
              <w:rPr>
                <w:rFonts w:hint="eastAsia"/>
                <w:b/>
                <w:bCs/>
                <w:color w:val="auto"/>
              </w:rPr>
              <w:t>园区污水管网，最终进入魏县开发区污水处理厂处理。</w:t>
            </w:r>
          </w:p>
          <w:p>
            <w:pPr>
              <w:pStyle w:val="24"/>
              <w:spacing w:line="520" w:lineRule="exact"/>
              <w:ind w:firstLine="472" w:firstLineChars="200"/>
              <w:rPr>
                <w:color w:val="auto"/>
              </w:rPr>
            </w:pPr>
            <w:r>
              <w:rPr>
                <w:rFonts w:hint="eastAsia"/>
                <w:color w:val="auto"/>
              </w:rPr>
              <w:t>（3）供电</w:t>
            </w:r>
          </w:p>
          <w:p>
            <w:pPr>
              <w:pStyle w:val="24"/>
              <w:spacing w:line="520" w:lineRule="exact"/>
              <w:ind w:firstLine="472" w:firstLineChars="200"/>
              <w:rPr>
                <w:color w:val="auto"/>
              </w:rPr>
            </w:pPr>
            <w:r>
              <w:rPr>
                <w:rFonts w:hint="eastAsia"/>
                <w:color w:val="auto"/>
              </w:rPr>
              <w:t xml:space="preserve">魏县开发区现状 </w:t>
            </w:r>
            <w:r>
              <w:rPr>
                <w:color w:val="auto"/>
              </w:rPr>
              <w:t xml:space="preserve">110KV </w:t>
            </w:r>
            <w:r>
              <w:rPr>
                <w:rFonts w:hint="eastAsia"/>
                <w:color w:val="auto"/>
              </w:rPr>
              <w:t xml:space="preserve">变电站一座，位于园区东部，占地 </w:t>
            </w:r>
            <w:r>
              <w:rPr>
                <w:color w:val="auto"/>
              </w:rPr>
              <w:t xml:space="preserve">0.89 </w:t>
            </w:r>
            <w:r>
              <w:rPr>
                <w:rFonts w:hint="eastAsia"/>
                <w:color w:val="auto"/>
              </w:rPr>
              <w:t xml:space="preserve">公顷，电源引自东代固 </w:t>
            </w:r>
            <w:r>
              <w:rPr>
                <w:color w:val="auto"/>
              </w:rPr>
              <w:t xml:space="preserve">110KV </w:t>
            </w:r>
            <w:r>
              <w:rPr>
                <w:rFonts w:hint="eastAsia"/>
                <w:color w:val="auto"/>
              </w:rPr>
              <w:t>变电站。另外在园区南部建设固体废物综合处理厂，用于并网发电。</w:t>
            </w:r>
          </w:p>
          <w:p>
            <w:pPr>
              <w:pStyle w:val="24"/>
              <w:spacing w:line="520" w:lineRule="exact"/>
              <w:ind w:firstLine="472" w:firstLineChars="200"/>
              <w:rPr>
                <w:b/>
                <w:bCs/>
                <w:color w:val="auto"/>
              </w:rPr>
            </w:pPr>
            <w:r>
              <w:rPr>
                <w:b/>
                <w:bCs/>
                <w:color w:val="auto"/>
              </w:rPr>
              <w:t>本项目供电</w:t>
            </w:r>
            <w:r>
              <w:rPr>
                <w:rFonts w:hint="eastAsia"/>
                <w:b/>
                <w:bCs/>
                <w:color w:val="auto"/>
              </w:rPr>
              <w:t>依托聚银现有的供电设施，由</w:t>
            </w:r>
            <w:r>
              <w:rPr>
                <w:b/>
                <w:bCs/>
                <w:color w:val="auto"/>
              </w:rPr>
              <w:t>开发区变电站</w:t>
            </w:r>
            <w:r>
              <w:rPr>
                <w:rFonts w:hint="eastAsia"/>
                <w:b/>
                <w:bCs/>
                <w:color w:val="auto"/>
              </w:rPr>
              <w:t>供给</w:t>
            </w:r>
            <w:r>
              <w:rPr>
                <w:b/>
                <w:bCs/>
                <w:color w:val="auto"/>
              </w:rPr>
              <w:t>，满足项目用电所需。</w:t>
            </w:r>
          </w:p>
          <w:p>
            <w:pPr>
              <w:pStyle w:val="24"/>
              <w:spacing w:line="520" w:lineRule="exact"/>
              <w:ind w:firstLine="472" w:firstLineChars="200"/>
              <w:rPr>
                <w:color w:val="auto"/>
              </w:rPr>
            </w:pPr>
            <w:r>
              <w:rPr>
                <w:rFonts w:hint="eastAsia"/>
                <w:color w:val="auto"/>
              </w:rPr>
              <w:t>（4）</w:t>
            </w:r>
            <w:r>
              <w:rPr>
                <w:color w:val="auto"/>
              </w:rPr>
              <w:t>供热</w:t>
            </w:r>
          </w:p>
          <w:p>
            <w:pPr>
              <w:pStyle w:val="24"/>
              <w:spacing w:line="520" w:lineRule="exact"/>
              <w:ind w:firstLine="472" w:firstLineChars="200"/>
              <w:rPr>
                <w:color w:val="auto"/>
              </w:rPr>
            </w:pPr>
            <w:r>
              <w:rPr>
                <w:rFonts w:hint="eastAsia"/>
                <w:color w:val="auto"/>
              </w:rPr>
              <w:t>魏县开发区规划园区供热采用城区集中供热以及需热单位自建天然气锅炉提供。园区的热力系统由热源、热力管道构成。热力管道采用地埋敷设。与道路绿化带相结合（置在道路人行道与道路红线的绿带之间）。热力管道分别布置在南北向道路中心线的东侧和东西向道路中心线的南侧。</w:t>
            </w:r>
            <w:r>
              <w:rPr>
                <w:color w:val="auto"/>
              </w:rPr>
              <w:t>目前，开发区集中供热管网</w:t>
            </w:r>
            <w:r>
              <w:rPr>
                <w:rFonts w:hint="eastAsia"/>
                <w:color w:val="auto"/>
              </w:rPr>
              <w:t>正在铺设过程中</w:t>
            </w:r>
            <w:r>
              <w:rPr>
                <w:color w:val="auto"/>
              </w:rPr>
              <w:t>。</w:t>
            </w:r>
          </w:p>
          <w:p>
            <w:pPr>
              <w:pStyle w:val="24"/>
              <w:spacing w:line="520" w:lineRule="exact"/>
              <w:ind w:firstLine="472" w:firstLineChars="200"/>
              <w:rPr>
                <w:b/>
                <w:bCs/>
                <w:color w:val="auto"/>
              </w:rPr>
            </w:pPr>
            <w:r>
              <w:rPr>
                <w:rFonts w:hint="eastAsia"/>
                <w:b/>
                <w:bCs/>
                <w:color w:val="auto"/>
              </w:rPr>
              <w:t>本项目办公室供暖制冷均采用空调，生产过程中喷塑生产线水洗后烘干、喷塑后固化采用天然气加热，由</w:t>
            </w:r>
            <w:r>
              <w:rPr>
                <w:b/>
                <w:bCs/>
                <w:color w:val="auto"/>
              </w:rPr>
              <w:t>开发区</w:t>
            </w:r>
            <w:r>
              <w:rPr>
                <w:rFonts w:hint="eastAsia"/>
                <w:b/>
                <w:bCs/>
                <w:color w:val="auto"/>
              </w:rPr>
              <w:t>天然气供气管网供给。</w:t>
            </w:r>
          </w:p>
          <w:p>
            <w:pPr>
              <w:pStyle w:val="24"/>
              <w:spacing w:line="520" w:lineRule="exact"/>
              <w:ind w:firstLine="472" w:firstLineChars="200"/>
              <w:rPr>
                <w:color w:val="auto"/>
              </w:rPr>
            </w:pPr>
            <w:r>
              <w:rPr>
                <w:rFonts w:hint="eastAsia"/>
                <w:color w:val="auto"/>
              </w:rPr>
              <w:t>（5）</w:t>
            </w:r>
            <w:r>
              <w:rPr>
                <w:color w:val="auto"/>
              </w:rPr>
              <w:t>燃气工程</w:t>
            </w:r>
          </w:p>
          <w:p>
            <w:pPr>
              <w:pStyle w:val="24"/>
              <w:spacing w:line="520" w:lineRule="exact"/>
              <w:ind w:firstLine="472" w:firstLineChars="200"/>
              <w:rPr>
                <w:color w:val="auto"/>
              </w:rPr>
            </w:pPr>
            <w:r>
              <w:rPr>
                <w:rFonts w:hint="eastAsia"/>
                <w:color w:val="auto"/>
              </w:rPr>
              <w:t>魏县开发区规划在邯大路与乐业大街交叉口西南角布置一座天然气门站，供气能力每年1亿立方米，气源为华运集团大名天然气站，占地10亩。燃气管道采用环状与枝状相结合的布局方式，管道采用地下直埋。燃气管道布置布置在南北向道路中心线的西侧和东西向道路中心线的北侧。</w:t>
            </w:r>
          </w:p>
          <w:p>
            <w:pPr>
              <w:pStyle w:val="24"/>
              <w:spacing w:line="520" w:lineRule="exact"/>
              <w:ind w:firstLine="472" w:firstLineChars="200"/>
              <w:rPr>
                <w:b/>
                <w:bCs/>
                <w:color w:val="auto"/>
              </w:rPr>
            </w:pPr>
            <w:r>
              <w:rPr>
                <w:b/>
                <w:bCs/>
                <w:color w:val="auto"/>
              </w:rPr>
              <w:t>本项目</w:t>
            </w:r>
            <w:r>
              <w:rPr>
                <w:rFonts w:hint="eastAsia"/>
                <w:b/>
                <w:bCs/>
                <w:color w:val="auto"/>
              </w:rPr>
              <w:t>生产过程中喷塑生产线水洗后烘干、喷塑后固化采用天然气，由</w:t>
            </w:r>
            <w:r>
              <w:rPr>
                <w:b/>
                <w:bCs/>
                <w:color w:val="auto"/>
              </w:rPr>
              <w:t>开发区</w:t>
            </w:r>
            <w:r>
              <w:rPr>
                <w:rFonts w:hint="eastAsia"/>
                <w:b/>
                <w:bCs/>
                <w:color w:val="auto"/>
              </w:rPr>
              <w:t>天然气供气管网供给。</w:t>
            </w:r>
          </w:p>
          <w:p>
            <w:pPr>
              <w:pStyle w:val="24"/>
              <w:spacing w:line="520" w:lineRule="exact"/>
              <w:ind w:firstLine="472" w:firstLineChars="200"/>
              <w:rPr>
                <w:color w:val="auto"/>
              </w:rPr>
            </w:pPr>
            <w:r>
              <w:rPr>
                <w:rFonts w:hint="eastAsia"/>
                <w:color w:val="auto"/>
              </w:rPr>
              <w:t>（6）</w:t>
            </w:r>
            <w:r>
              <w:rPr>
                <w:color w:val="auto"/>
              </w:rPr>
              <w:t>环卫工程</w:t>
            </w:r>
          </w:p>
          <w:p>
            <w:pPr>
              <w:pStyle w:val="24"/>
              <w:spacing w:line="520" w:lineRule="exact"/>
              <w:ind w:firstLine="472" w:firstLineChars="200"/>
              <w:rPr>
                <w:color w:val="auto"/>
              </w:rPr>
            </w:pPr>
            <w:r>
              <w:rPr>
                <w:rFonts w:hint="eastAsia"/>
                <w:color w:val="auto"/>
              </w:rPr>
              <w:t xml:space="preserve">魏县开发区垃圾收集转运设施规划：交通干道上按每 </w:t>
            </w:r>
            <w:r>
              <w:rPr>
                <w:color w:val="auto"/>
              </w:rPr>
              <w:t>50</w:t>
            </w:r>
            <w:r>
              <w:rPr>
                <w:rFonts w:hint="eastAsia"/>
                <w:color w:val="auto"/>
              </w:rPr>
              <w:t>－</w:t>
            </w:r>
            <w:r>
              <w:rPr>
                <w:color w:val="auto"/>
              </w:rPr>
              <w:t xml:space="preserve">80 </w:t>
            </w:r>
            <w:r>
              <w:rPr>
                <w:rFonts w:hint="eastAsia"/>
                <w:color w:val="auto"/>
              </w:rPr>
              <w:t xml:space="preserve">米设废物箱，居住区主要道路按每 </w:t>
            </w:r>
            <w:r>
              <w:rPr>
                <w:color w:val="auto"/>
              </w:rPr>
              <w:t xml:space="preserve">100 </w:t>
            </w:r>
            <w:r>
              <w:rPr>
                <w:rFonts w:hint="eastAsia"/>
                <w:color w:val="auto"/>
              </w:rPr>
              <w:t xml:space="preserve">米设置，人流集中的公共场所，根据人流密度具体设置。规划结合开发区实际情况，以 </w:t>
            </w:r>
            <w:r>
              <w:rPr>
                <w:color w:val="auto"/>
              </w:rPr>
              <w:t xml:space="preserve">1000 </w:t>
            </w:r>
            <w:r>
              <w:rPr>
                <w:rFonts w:hint="eastAsia"/>
                <w:color w:val="auto"/>
              </w:rPr>
              <w:t xml:space="preserve">米为半径设置垃圾转运站，规划设置七处垃圾转运站。 </w:t>
            </w:r>
          </w:p>
          <w:p>
            <w:pPr>
              <w:pStyle w:val="24"/>
              <w:spacing w:line="520" w:lineRule="exact"/>
              <w:ind w:firstLine="472" w:firstLineChars="200"/>
              <w:rPr>
                <w:color w:val="auto"/>
              </w:rPr>
            </w:pPr>
            <w:r>
              <w:rPr>
                <w:rFonts w:hint="eastAsia"/>
                <w:b/>
                <w:bCs/>
                <w:color w:val="auto"/>
              </w:rPr>
              <w:t>本项目职工生活垃圾由环卫部门收集后统一处理。</w:t>
            </w:r>
          </w:p>
          <w:p>
            <w:pPr>
              <w:pStyle w:val="24"/>
              <w:spacing w:line="480" w:lineRule="exact"/>
              <w:rPr>
                <w:b/>
                <w:color w:val="auto"/>
                <w:szCs w:val="24"/>
              </w:rPr>
            </w:pPr>
            <w:r>
              <w:rPr>
                <w:rFonts w:hint="eastAsia"/>
                <w:b/>
                <w:color w:val="auto"/>
                <w:szCs w:val="24"/>
              </w:rPr>
              <w:t>二、与《河北魏县经济开发区总体规划（2013-2030）环境影响报告书》审查意见符合性分析</w:t>
            </w:r>
          </w:p>
          <w:p>
            <w:pPr>
              <w:pStyle w:val="24"/>
              <w:spacing w:line="520" w:lineRule="exact"/>
              <w:ind w:firstLine="472" w:firstLineChars="200"/>
              <w:rPr>
                <w:color w:val="auto"/>
              </w:rPr>
            </w:pPr>
            <w:r>
              <w:rPr>
                <w:rFonts w:hint="eastAsia"/>
                <w:color w:val="auto"/>
              </w:rPr>
              <w:t>根据河北省生态环境厅2021年07月02日出具的《关于转送河北魏县经济开发区总体规划（2019-2030）环境影响报告书审查意见的函》（冀环评函[2021]549号）的相关要求，与本项目相关的内容如下：</w:t>
            </w:r>
          </w:p>
          <w:p>
            <w:pPr>
              <w:pStyle w:val="24"/>
              <w:spacing w:line="520" w:lineRule="exact"/>
              <w:ind w:firstLine="472" w:firstLineChars="200"/>
              <w:rPr>
                <w:color w:val="auto"/>
              </w:rPr>
            </w:pPr>
            <w:r>
              <w:rPr>
                <w:rFonts w:hint="eastAsia"/>
                <w:color w:val="auto"/>
              </w:rPr>
              <w:t>（一）严格环境准入，推动产业转型升级和绿色发展。按照环评报告书提出的“三线一单”管理要求，入区企业应符合《关于促进京津冀地区经济社会与生态环境保护协调发展的指导意见》（环办环评〔2018〕24号）、《产业结构调整指导目录（2019年本）》、《河北省新增限制和淘汰类产业目录（2015年本）》（冀政办发〔2015〕7号）等文件规定要求，落实环评报告中生态环境准入清单要求。</w:t>
            </w:r>
          </w:p>
          <w:p>
            <w:pPr>
              <w:pStyle w:val="24"/>
              <w:spacing w:line="520" w:lineRule="exact"/>
              <w:ind w:firstLine="472" w:firstLineChars="200"/>
              <w:rPr>
                <w:b/>
                <w:bCs/>
                <w:color w:val="auto"/>
              </w:rPr>
            </w:pPr>
            <w:r>
              <w:rPr>
                <w:rFonts w:hint="eastAsia"/>
                <w:b/>
                <w:bCs/>
                <w:color w:val="auto"/>
              </w:rPr>
              <w:t>本项目满足规划环评报告书提出的“三线一单”管理要求，符合园区用地布局和产业布局发展要求；符合《关于促进京津冀地区经济社会与生态环境保护协调发展的指导意见》（环办环评〔2018〕24号）内容。对照《产业结构调整指导目录（2019年本）》和《河北省新增限制和淘汰类产业目录(2015年版)》（冀政办发[2015]7号），本项目属于</w:t>
            </w:r>
            <w:r>
              <w:rPr>
                <w:rFonts w:hint="eastAsia" w:eastAsiaTheme="minorEastAsia"/>
                <w:b/>
                <w:bCs/>
                <w:color w:val="auto"/>
                <w:szCs w:val="24"/>
                <w:lang w:val="zh-CN"/>
              </w:rPr>
              <w:t>高低压电力设备制造项目</w:t>
            </w:r>
            <w:r>
              <w:rPr>
                <w:rFonts w:hint="eastAsia" w:eastAsiaTheme="minorEastAsia"/>
                <w:b/>
                <w:bCs/>
                <w:color w:val="auto"/>
                <w:szCs w:val="24"/>
              </w:rPr>
              <w:t>，</w:t>
            </w:r>
            <w:r>
              <w:rPr>
                <w:rFonts w:hint="eastAsia"/>
                <w:b/>
                <w:bCs/>
                <w:color w:val="auto"/>
              </w:rPr>
              <w:t>不属于鼓励类、限制类及淘汰类建设项目，属于国家允许类建设项目。因此，本项目符合上述审查意见要求。</w:t>
            </w:r>
          </w:p>
          <w:p>
            <w:pPr>
              <w:pStyle w:val="24"/>
              <w:spacing w:line="520" w:lineRule="exact"/>
              <w:ind w:firstLine="472" w:firstLineChars="200"/>
              <w:rPr>
                <w:color w:val="auto"/>
              </w:rPr>
            </w:pPr>
            <w:r>
              <w:rPr>
                <w:rFonts w:hint="eastAsia"/>
                <w:color w:val="auto"/>
              </w:rPr>
              <w:t>（二）加强空间管制，优化生产空间和生活空间。落实环评报告中空间管控要求，控制开发区内居住区范围，确保区内企业与敏感点保持足够的环境防护距离，合理选址和优化内部布局。减少突发事件可能对居民区环境产生的影响。严格落实《魏县土地利用总体规划》建设用地空间管制要求，合理控制开发区发展规模和开发强度。</w:t>
            </w:r>
          </w:p>
          <w:p>
            <w:pPr>
              <w:pStyle w:val="24"/>
              <w:spacing w:line="520" w:lineRule="exact"/>
              <w:ind w:firstLine="472" w:firstLineChars="200"/>
              <w:rPr>
                <w:b/>
                <w:bCs/>
                <w:color w:val="auto"/>
              </w:rPr>
            </w:pPr>
            <w:r>
              <w:rPr>
                <w:rFonts w:hint="eastAsia"/>
                <w:b/>
                <w:bCs/>
                <w:color w:val="auto"/>
              </w:rPr>
              <w:t>本项目</w:t>
            </w:r>
            <w:r>
              <w:rPr>
                <w:rFonts w:hint="eastAsia" w:eastAsiaTheme="minorEastAsia"/>
                <w:b/>
                <w:bCs/>
                <w:color w:val="auto"/>
                <w:szCs w:val="24"/>
              </w:rPr>
              <w:t>租赁河北聚银企业管理服务有限公司设备制造区C厂区</w:t>
            </w:r>
            <w:r>
              <w:rPr>
                <w:rFonts w:hint="eastAsia"/>
                <w:b/>
                <w:bCs/>
                <w:color w:val="auto"/>
              </w:rPr>
              <w:t>，用地性质属于工业用地</w:t>
            </w:r>
            <w:r>
              <w:rPr>
                <w:rFonts w:hint="eastAsia"/>
                <w:b/>
                <w:bCs/>
                <w:color w:val="auto"/>
                <w:lang w:eastAsia="zh-CN"/>
              </w:rPr>
              <w:t>。</w:t>
            </w:r>
            <w:r>
              <w:rPr>
                <w:rFonts w:hint="eastAsia"/>
                <w:b/>
                <w:bCs/>
                <w:color w:val="auto"/>
                <w:lang w:val="en-US" w:eastAsia="zh-CN"/>
              </w:rPr>
              <w:t>魏县境内生态保护红线为漳河沿岸带，本项目距离漳河较远，</w:t>
            </w:r>
            <w:r>
              <w:rPr>
                <w:rFonts w:hint="eastAsia"/>
                <w:b/>
                <w:bCs/>
                <w:color w:val="auto"/>
              </w:rPr>
              <w:t>不涉及生态保护红线</w:t>
            </w:r>
            <w:r>
              <w:rPr>
                <w:rFonts w:hint="eastAsia"/>
                <w:b/>
                <w:bCs/>
                <w:color w:val="auto"/>
                <w:lang w:eastAsia="zh-CN"/>
              </w:rPr>
              <w:t>，</w:t>
            </w:r>
            <w:r>
              <w:rPr>
                <w:rFonts w:hint="eastAsia"/>
                <w:b/>
                <w:bCs/>
                <w:color w:val="auto"/>
                <w:lang w:val="en-US" w:eastAsia="zh-CN"/>
              </w:rPr>
              <w:t>占地范围内不涉及</w:t>
            </w:r>
            <w:r>
              <w:rPr>
                <w:rFonts w:hint="eastAsia"/>
                <w:b/>
                <w:bCs/>
                <w:color w:val="auto"/>
              </w:rPr>
              <w:t>文物保护单位和规划居住区，项目运行采取严格风险防控措施，减轻突发事件可能对居民区环境产生的影响。项目距敏感点满足环境防护距离要求。</w:t>
            </w:r>
          </w:p>
          <w:p>
            <w:pPr>
              <w:pStyle w:val="24"/>
              <w:spacing w:line="520" w:lineRule="exact"/>
              <w:ind w:firstLine="472" w:firstLineChars="200"/>
              <w:rPr>
                <w:color w:val="auto"/>
              </w:rPr>
            </w:pPr>
            <w:r>
              <w:rPr>
                <w:rFonts w:hint="eastAsia"/>
                <w:color w:val="auto"/>
              </w:rPr>
              <w:t>（三）加强总量管控，推进环境质量改善。按照最不利条件并预留一定安全余量的原则，环评中提出的污染物排放总量控制上线作为开发区污染物排放总量管控限值。严格落实区域污染物削减方案，不断提升技术工艺及节能节水控污水平，推动环境质量改善。</w:t>
            </w:r>
          </w:p>
          <w:p>
            <w:pPr>
              <w:pStyle w:val="24"/>
              <w:spacing w:line="520" w:lineRule="exact"/>
              <w:ind w:firstLine="472" w:firstLineChars="200"/>
              <w:rPr>
                <w:b/>
                <w:bCs/>
                <w:color w:val="auto"/>
              </w:rPr>
            </w:pPr>
            <w:r>
              <w:rPr>
                <w:rFonts w:hint="eastAsia"/>
                <w:b/>
                <w:bCs/>
                <w:color w:val="auto"/>
              </w:rPr>
              <w:t>本项目生产过程中喷塑生产线水洗后烘干、喷塑后固化采用天然气加热，会产生SO</w:t>
            </w:r>
            <w:r>
              <w:rPr>
                <w:rFonts w:hint="eastAsia"/>
                <w:b/>
                <w:bCs/>
                <w:color w:val="auto"/>
                <w:vertAlign w:val="subscript"/>
                <w:lang w:val="en-US" w:eastAsia="zh-CN"/>
              </w:rPr>
              <w:t>2</w:t>
            </w:r>
            <w:r>
              <w:rPr>
                <w:rFonts w:hint="eastAsia"/>
                <w:b/>
                <w:bCs/>
                <w:color w:val="auto"/>
              </w:rPr>
              <w:t>、NOx和VOCs，经废气治理设备处理后可以实现达标排放，满足园区污染物排放总量管控限值要求。</w:t>
            </w:r>
          </w:p>
          <w:p>
            <w:pPr>
              <w:pStyle w:val="24"/>
              <w:spacing w:line="520" w:lineRule="exact"/>
              <w:ind w:firstLine="472" w:firstLineChars="200"/>
              <w:rPr>
                <w:color w:val="auto"/>
              </w:rPr>
            </w:pPr>
            <w:r>
              <w:rPr>
                <w:rFonts w:hint="eastAsia"/>
                <w:color w:val="auto"/>
              </w:rPr>
              <w:t>（四）加强规划环评与项目环评联动。切实发挥规划环评和项目环评预防环境污染和生态破坏的作用，项目环评文件应落实规划环评提出的各项要求，选址符合性分析、区域大气环境容量及总量控制、配套基础设施可行性可适当简化。同时，应重点开展项目准入条件符合性、工程分析、布局合理性、环保措施的可行性论证、污染物排放量与总量控制指标、大气环境防护距离符合性、清洁生产水平分析，并关注开发区基础设施及应急体系保障能力建设，强化环境监测和环境保护相关措施的落实。</w:t>
            </w:r>
          </w:p>
          <w:p>
            <w:pPr>
              <w:pStyle w:val="24"/>
              <w:spacing w:line="520" w:lineRule="exact"/>
              <w:ind w:firstLine="472" w:firstLineChars="200"/>
              <w:rPr>
                <w:color w:val="auto"/>
              </w:rPr>
            </w:pPr>
            <w:r>
              <w:rPr>
                <w:rFonts w:hint="eastAsia"/>
                <w:b/>
                <w:bCs/>
                <w:color w:val="auto"/>
              </w:rPr>
              <w:t>本次评价重点开展了准入条件符合性、工程分析、布局合理性、环保措施的可行性论证、污染物排放量与总量控制指标、项目选址与示范区空间管控要求符合性等内容，同时按相关规范要求提出了环境监测和环境保护相关措施。</w:t>
            </w:r>
          </w:p>
          <w:p>
            <w:pPr>
              <w:pStyle w:val="24"/>
              <w:spacing w:line="520" w:lineRule="exact"/>
              <w:ind w:firstLine="472" w:firstLineChars="200"/>
              <w:rPr>
                <w:color w:val="auto"/>
              </w:rPr>
            </w:pPr>
            <w:r>
              <w:rPr>
                <w:rFonts w:hint="eastAsia"/>
                <w:color w:val="auto"/>
              </w:rPr>
              <w:t>（五）注重开发区发展与区域资源承载力相协调，统筹规划建设开发区配套的基础设施。开发区集中供水由魏县南水北调水厂供应，现已完成水源切换，规划近期供水规模为500万立方米/年，规划远期供水规模为850万立方米/年。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开发区东区供热由企业自建天然气锅炉供给，西区供热由魏县城区集中供热供给。</w:t>
            </w:r>
          </w:p>
          <w:p>
            <w:pPr>
              <w:pStyle w:val="24"/>
              <w:spacing w:line="520" w:lineRule="exact"/>
              <w:ind w:firstLine="472" w:firstLineChars="200"/>
              <w:rPr>
                <w:color w:val="auto"/>
              </w:rPr>
            </w:pPr>
            <w:r>
              <w:rPr>
                <w:rFonts w:hint="eastAsia"/>
                <w:b/>
                <w:bCs/>
                <w:color w:val="auto"/>
              </w:rPr>
              <w:t>本项目生活用水和生产用水均由魏县南水北调水厂供应。项目位于开发区东区，外排废水送魏县开发区污水处理厂集中处理。项目生产过程中喷塑生产线水洗后烘干、喷塑后固化采用天然气加热，由</w:t>
            </w:r>
            <w:r>
              <w:rPr>
                <w:b/>
                <w:bCs/>
                <w:color w:val="auto"/>
              </w:rPr>
              <w:t>开发区</w:t>
            </w:r>
            <w:r>
              <w:rPr>
                <w:rFonts w:hint="eastAsia"/>
                <w:b/>
                <w:bCs/>
                <w:color w:val="auto"/>
              </w:rPr>
              <w:t>天然气供气管网供给。因此，本项目符合上述审查意见要求。</w:t>
            </w:r>
          </w:p>
          <w:p>
            <w:pPr>
              <w:pStyle w:val="24"/>
              <w:spacing w:line="520" w:lineRule="exact"/>
              <w:ind w:firstLine="472" w:firstLineChars="200"/>
              <w:rPr>
                <w:color w:val="auto"/>
              </w:rPr>
            </w:pPr>
            <w:r>
              <w:rPr>
                <w:rFonts w:hint="eastAsia"/>
                <w:color w:val="auto"/>
              </w:rPr>
              <w:t>（六）鼓励开发区提高清洁能源汽车运输比例或实现大宗物料铁路运输，优化区域运输方式，减轻公路运输产生的不利环境影响。暂不能实现铁路运输的现有涉及大宗物料运输的重点企业应采用新能源汽车或达到国六排放标准的汽车运输；结合秋冬季行业错峰生产和重污染天气应急响应要求，制定应急运输响应方案，在黄色及以上重污染天气预警期间，大宗物料运输的重点用车企业实施应急运输响应。</w:t>
            </w:r>
          </w:p>
          <w:p>
            <w:pPr>
              <w:pStyle w:val="24"/>
              <w:spacing w:line="520" w:lineRule="exact"/>
              <w:ind w:firstLine="472" w:firstLineChars="200"/>
              <w:rPr>
                <w:rFonts w:hint="default"/>
                <w:color w:val="auto"/>
                <w:lang w:val="en-US"/>
              </w:rPr>
            </w:pPr>
            <w:r>
              <w:rPr>
                <w:rFonts w:hint="eastAsia"/>
                <w:b/>
                <w:bCs/>
                <w:color w:val="auto"/>
              </w:rPr>
              <w:t>本项目</w:t>
            </w:r>
            <w:r>
              <w:rPr>
                <w:rFonts w:hint="eastAsia"/>
                <w:b/>
                <w:bCs/>
                <w:color w:val="auto"/>
                <w:lang w:val="en-US" w:eastAsia="zh-CN"/>
              </w:rPr>
              <w:t>不涉及大宗物料物料运输，运输的物料主要为生产过程中冷轧板、五金配件、脱脂剂和塑粉等原辅材料，均采用满足国Ⅵ排放标准的运输货车或者采用清洁能源货车运输，满足相关要求。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其他符合性</w:t>
            </w:r>
          </w:p>
          <w:p>
            <w:pPr>
              <w:jc w:val="center"/>
              <w:rPr>
                <w:rFonts w:eastAsiaTheme="minorEastAsia"/>
                <w:b/>
                <w:color w:val="auto"/>
                <w:sz w:val="24"/>
                <w:szCs w:val="24"/>
              </w:rPr>
            </w:pPr>
            <w:r>
              <w:rPr>
                <w:rFonts w:hint="eastAsia" w:eastAsiaTheme="minorEastAsia"/>
                <w:b/>
                <w:color w:val="auto"/>
                <w:sz w:val="24"/>
                <w:szCs w:val="24"/>
              </w:rPr>
              <w:t>分析</w:t>
            </w:r>
          </w:p>
        </w:tc>
        <w:tc>
          <w:tcPr>
            <w:tcW w:w="7441" w:type="dxa"/>
            <w:gridSpan w:val="3"/>
            <w:vAlign w:val="center"/>
          </w:tcPr>
          <w:p>
            <w:pPr>
              <w:pStyle w:val="24"/>
              <w:spacing w:line="480" w:lineRule="exact"/>
              <w:rPr>
                <w:b/>
                <w:color w:val="auto"/>
                <w:szCs w:val="24"/>
              </w:rPr>
            </w:pPr>
            <w:r>
              <w:rPr>
                <w:rFonts w:hint="eastAsia"/>
                <w:b/>
                <w:color w:val="auto"/>
                <w:szCs w:val="24"/>
              </w:rPr>
              <w:t>一、邯郸市“三线一单”生态环境分区管控准入清单符合性分析：</w:t>
            </w:r>
          </w:p>
          <w:p>
            <w:pPr>
              <w:widowControl/>
              <w:spacing w:line="360" w:lineRule="auto"/>
              <w:ind w:firstLine="472" w:firstLineChars="200"/>
              <w:jc w:val="left"/>
              <w:rPr>
                <w:bCs/>
                <w:color w:val="auto"/>
                <w:sz w:val="24"/>
                <w:szCs w:val="24"/>
              </w:rPr>
            </w:pPr>
            <w:r>
              <w:rPr>
                <w:bCs/>
                <w:color w:val="auto"/>
                <w:sz w:val="24"/>
                <w:szCs w:val="24"/>
              </w:rPr>
              <w:t>根据《</w:t>
            </w:r>
            <w:r>
              <w:rPr>
                <w:rFonts w:hint="eastAsia"/>
                <w:bCs/>
                <w:color w:val="auto"/>
                <w:sz w:val="24"/>
                <w:szCs w:val="24"/>
              </w:rPr>
              <w:t>邯郸市人民政府关于推进“三线一单”生态环境分区管控的实施意见</w:t>
            </w:r>
            <w:r>
              <w:rPr>
                <w:bCs/>
                <w:color w:val="auto"/>
                <w:sz w:val="24"/>
                <w:szCs w:val="24"/>
              </w:rPr>
              <w:t>》</w:t>
            </w:r>
            <w:r>
              <w:rPr>
                <w:rFonts w:hint="eastAsia"/>
                <w:bCs/>
                <w:color w:val="auto"/>
                <w:sz w:val="24"/>
                <w:szCs w:val="24"/>
              </w:rPr>
              <w:t>（邯政字（2021）9号）及关于印发《</w:t>
            </w:r>
            <w:r>
              <w:rPr>
                <w:rFonts w:ascii="FZXiaoBiaoSong-B05" w:hAnsi="FZXiaoBiaoSong-B05" w:eastAsia="FZXiaoBiaoSong-B05" w:cs="FZXiaoBiaoSong-B05"/>
                <w:color w:val="auto"/>
                <w:kern w:val="0"/>
                <w:sz w:val="24"/>
                <w:szCs w:val="24"/>
              </w:rPr>
              <w:t>邯郸市</w:t>
            </w:r>
            <w:r>
              <w:rPr>
                <w:rFonts w:hint="eastAsia" w:ascii="宋体" w:hAnsi="宋体" w:cs="宋体"/>
                <w:color w:val="auto"/>
                <w:kern w:val="0"/>
                <w:sz w:val="24"/>
                <w:szCs w:val="24"/>
              </w:rPr>
              <w:t>“三线一单”</w:t>
            </w:r>
            <w:r>
              <w:rPr>
                <w:rFonts w:ascii="FZXiaoBiaoSong-B05" w:hAnsi="FZXiaoBiaoSong-B05" w:eastAsia="FZXiaoBiaoSong-B05" w:cs="FZXiaoBiaoSong-B05"/>
                <w:color w:val="auto"/>
                <w:kern w:val="0"/>
                <w:sz w:val="24"/>
                <w:szCs w:val="24"/>
              </w:rPr>
              <w:t>生态环境分区管控准入清单</w:t>
            </w:r>
            <w:r>
              <w:rPr>
                <w:rFonts w:hint="eastAsia"/>
                <w:bCs/>
                <w:color w:val="auto"/>
                <w:sz w:val="24"/>
                <w:szCs w:val="24"/>
              </w:rPr>
              <w:t>》的通知</w:t>
            </w:r>
            <w:r>
              <w:rPr>
                <w:bCs/>
                <w:color w:val="auto"/>
                <w:sz w:val="24"/>
                <w:szCs w:val="24"/>
              </w:rPr>
              <w:t>要求，</w:t>
            </w:r>
            <w:r>
              <w:rPr>
                <w:rFonts w:hint="eastAsia"/>
                <w:color w:val="auto"/>
                <w:sz w:val="24"/>
                <w:szCs w:val="24"/>
              </w:rPr>
              <w:t>分析本项目</w:t>
            </w:r>
            <w:r>
              <w:rPr>
                <w:rFonts w:hint="eastAsia"/>
                <w:color w:val="auto"/>
                <w:sz w:val="24"/>
                <w:szCs w:val="24"/>
                <w:lang w:val="en-US" w:eastAsia="zh-CN"/>
              </w:rPr>
              <w:t>与邯郸市生态空间总体管控要求、邯郸市大气环境总体管控要求、邯郸市水环境总体管控要求、邯郸市土壤环境总体管控要求、邯郸市资源利用总体管控要求、邯郸市产业布局总体管控要求</w:t>
            </w:r>
            <w:r>
              <w:rPr>
                <w:rFonts w:hint="eastAsia"/>
                <w:color w:val="auto"/>
                <w:sz w:val="24"/>
                <w:szCs w:val="24"/>
              </w:rPr>
              <w:t>有关的管控要求符合性</w:t>
            </w:r>
            <w:r>
              <w:rPr>
                <w:rFonts w:hint="eastAsia"/>
                <w:color w:val="auto"/>
                <w:sz w:val="24"/>
                <w:szCs w:val="24"/>
                <w:lang w:eastAsia="zh-CN"/>
              </w:rPr>
              <w:t>；</w:t>
            </w:r>
            <w:r>
              <w:rPr>
                <w:rFonts w:hint="eastAsia"/>
                <w:bCs/>
                <w:color w:val="auto"/>
                <w:sz w:val="24"/>
                <w:szCs w:val="24"/>
                <w:lang w:val="en-US" w:eastAsia="zh-CN"/>
              </w:rPr>
              <w:t>本项目位于魏县经济开发区重点管控单元，分析本项目与魏县经济开发区重点管控单元生态环境准入清单符合性，</w:t>
            </w:r>
            <w:r>
              <w:rPr>
                <w:rFonts w:hint="eastAsia"/>
                <w:color w:val="auto"/>
                <w:sz w:val="24"/>
                <w:szCs w:val="24"/>
              </w:rPr>
              <w:t>分析结果如下：</w:t>
            </w:r>
          </w:p>
          <w:p>
            <w:pPr>
              <w:pStyle w:val="5"/>
              <w:adjustRightInd w:val="0"/>
              <w:snapToGrid w:val="0"/>
              <w:ind w:firstLine="482"/>
              <w:jc w:val="center"/>
              <w:rPr>
                <w:b/>
                <w:bCs/>
                <w:color w:val="auto"/>
                <w:szCs w:val="24"/>
              </w:rPr>
            </w:pPr>
            <w:r>
              <w:rPr>
                <w:b/>
                <w:bCs/>
                <w:color w:val="auto"/>
                <w:szCs w:val="24"/>
              </w:rPr>
              <w:t>表</w:t>
            </w:r>
            <w:r>
              <w:rPr>
                <w:rFonts w:hint="eastAsia"/>
                <w:b/>
                <w:bCs/>
                <w:color w:val="auto"/>
                <w:szCs w:val="24"/>
              </w:rPr>
              <w:t>1-1</w:t>
            </w:r>
            <w:r>
              <w:rPr>
                <w:b/>
                <w:bCs/>
                <w:color w:val="auto"/>
                <w:szCs w:val="24"/>
              </w:rPr>
              <w:t xml:space="preserve"> 本项目与</w:t>
            </w:r>
            <w:r>
              <w:rPr>
                <w:rFonts w:hint="eastAsia"/>
                <w:b/>
                <w:bCs/>
                <w:color w:val="auto"/>
                <w:szCs w:val="24"/>
              </w:rPr>
              <w:t>邯郸市生态空间总体管控要求</w:t>
            </w:r>
            <w:r>
              <w:rPr>
                <w:b/>
                <w:bCs/>
                <w:color w:val="auto"/>
                <w:szCs w:val="24"/>
              </w:rPr>
              <w:t>符合性一览表</w:t>
            </w:r>
          </w:p>
          <w:tbl>
            <w:tblPr>
              <w:tblStyle w:val="19"/>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43"/>
              <w:gridCol w:w="442"/>
              <w:gridCol w:w="708"/>
              <w:gridCol w:w="3881"/>
              <w:gridCol w:w="13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pct"/>
                  <w:gridSpan w:val="2"/>
                  <w:vAlign w:val="center"/>
                </w:tcPr>
                <w:p>
                  <w:pPr>
                    <w:adjustRightInd w:val="0"/>
                    <w:snapToGrid w:val="0"/>
                    <w:jc w:val="center"/>
                    <w:rPr>
                      <w:color w:val="auto"/>
                      <w:szCs w:val="21"/>
                    </w:rPr>
                  </w:pPr>
                  <w:r>
                    <w:rPr>
                      <w:rFonts w:hint="eastAsia"/>
                      <w:color w:val="auto"/>
                      <w:szCs w:val="21"/>
                    </w:rPr>
                    <w:t>属性</w:t>
                  </w:r>
                </w:p>
              </w:tc>
              <w:tc>
                <w:tcPr>
                  <w:tcW w:w="796" w:type="pct"/>
                  <w:gridSpan w:val="2"/>
                  <w:vAlign w:val="center"/>
                </w:tcPr>
                <w:p>
                  <w:pPr>
                    <w:adjustRightInd w:val="0"/>
                    <w:snapToGrid w:val="0"/>
                    <w:jc w:val="center"/>
                    <w:rPr>
                      <w:color w:val="auto"/>
                      <w:szCs w:val="21"/>
                    </w:rPr>
                  </w:pPr>
                  <w:r>
                    <w:rPr>
                      <w:rFonts w:hint="eastAsia"/>
                      <w:color w:val="auto"/>
                      <w:szCs w:val="21"/>
                    </w:rPr>
                    <w:t>管控</w:t>
                  </w:r>
                </w:p>
              </w:tc>
              <w:tc>
                <w:tcPr>
                  <w:tcW w:w="2685" w:type="pct"/>
                  <w:vAlign w:val="center"/>
                </w:tcPr>
                <w:p>
                  <w:pPr>
                    <w:adjustRightInd w:val="0"/>
                    <w:snapToGrid w:val="0"/>
                    <w:jc w:val="center"/>
                    <w:rPr>
                      <w:color w:val="auto"/>
                      <w:szCs w:val="21"/>
                    </w:rPr>
                  </w:pPr>
                  <w:r>
                    <w:rPr>
                      <w:rFonts w:hint="eastAsia"/>
                      <w:color w:val="auto"/>
                      <w:szCs w:val="21"/>
                    </w:rPr>
                    <w:t>管控要求</w:t>
                  </w:r>
                </w:p>
              </w:tc>
              <w:tc>
                <w:tcPr>
                  <w:tcW w:w="903"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13" w:type="pct"/>
                  <w:gridSpan w:val="2"/>
                  <w:vMerge w:val="restart"/>
                  <w:vAlign w:val="center"/>
                </w:tcPr>
                <w:p>
                  <w:pPr>
                    <w:adjustRightInd w:val="0"/>
                    <w:snapToGrid w:val="0"/>
                    <w:jc w:val="center"/>
                    <w:rPr>
                      <w:color w:val="auto"/>
                      <w:szCs w:val="21"/>
                    </w:rPr>
                  </w:pPr>
                  <w:r>
                    <w:rPr>
                      <w:rFonts w:hint="eastAsia"/>
                      <w:color w:val="auto"/>
                      <w:szCs w:val="21"/>
                    </w:rPr>
                    <w:t>生态保护红线</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1.生态保护红线原则上按禁止开发区域的要求进行管理。严禁不符合主体功能定位的各类开发活动，严禁任意改变用途。</w:t>
                  </w:r>
                </w:p>
                <w:p>
                  <w:pPr>
                    <w:adjustRightInd w:val="0"/>
                    <w:snapToGrid w:val="0"/>
                    <w:jc w:val="center"/>
                    <w:rPr>
                      <w:color w:val="auto"/>
                      <w:szCs w:val="21"/>
                    </w:rPr>
                  </w:pPr>
                  <w:r>
                    <w:rPr>
                      <w:rFonts w:hint="eastAsia"/>
                      <w:color w:val="auto"/>
                      <w:szCs w:val="21"/>
                    </w:rPr>
                    <w:t>2.严格禁止任何单位和个人擅自占用和改变用地性质。禁止生态保护红线内空间违法转为城镇空间和农业空间。</w:t>
                  </w:r>
                </w:p>
              </w:tc>
              <w:tc>
                <w:tcPr>
                  <w:tcW w:w="903" w:type="pct"/>
                  <w:vMerge w:val="restar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本项目为高低压电力设备制造项目，租赁河北聚银企业管理服务有限公司设备制造区C厂区，用地性质属于工业用地，不在生态保护红线内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3" w:type="pct"/>
                  <w:gridSpan w:val="2"/>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1.因国家重大战略资源勘查需要，在不影响主体功能定位的前提下，经依法批准后予以安排勘查项目。</w:t>
                  </w:r>
                </w:p>
                <w:p>
                  <w:pPr>
                    <w:adjustRightInd w:val="0"/>
                    <w:snapToGrid w:val="0"/>
                    <w:jc w:val="center"/>
                    <w:rPr>
                      <w:color w:val="auto"/>
                      <w:szCs w:val="21"/>
                    </w:rPr>
                  </w:pPr>
                  <w:r>
                    <w:rPr>
                      <w:rFonts w:hint="eastAsia"/>
                      <w:color w:val="auto"/>
                      <w:szCs w:val="21"/>
                    </w:rPr>
                    <w:t>2.鼓励按照规划开展维护、修复和提升生态功能的活动。</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306" w:type="pct"/>
                  <w:vMerge w:val="restart"/>
                  <w:vAlign w:val="center"/>
                </w:tcPr>
                <w:p>
                  <w:pPr>
                    <w:adjustRightInd w:val="0"/>
                    <w:snapToGrid w:val="0"/>
                    <w:jc w:val="center"/>
                    <w:rPr>
                      <w:color w:val="auto"/>
                      <w:szCs w:val="21"/>
                    </w:rPr>
                  </w:pPr>
                  <w:r>
                    <w:rPr>
                      <w:rFonts w:hint="eastAsia"/>
                      <w:color w:val="auto"/>
                      <w:szCs w:val="21"/>
                    </w:rPr>
                    <w:t>一般生态空间</w:t>
                  </w:r>
                </w:p>
              </w:tc>
              <w:tc>
                <w:tcPr>
                  <w:tcW w:w="307" w:type="pct"/>
                  <w:vMerge w:val="restart"/>
                  <w:vAlign w:val="center"/>
                </w:tcPr>
                <w:p>
                  <w:pPr>
                    <w:adjustRightInd w:val="0"/>
                    <w:snapToGrid w:val="0"/>
                    <w:jc w:val="center"/>
                    <w:rPr>
                      <w:color w:val="auto"/>
                      <w:szCs w:val="21"/>
                    </w:rPr>
                  </w:pPr>
                  <w:r>
                    <w:rPr>
                      <w:rFonts w:hint="eastAsia"/>
                      <w:color w:val="auto"/>
                      <w:szCs w:val="21"/>
                    </w:rPr>
                    <w:t>总体要求</w:t>
                  </w:r>
                </w:p>
              </w:tc>
              <w:tc>
                <w:tcPr>
                  <w:tcW w:w="306" w:type="pct"/>
                  <w:vMerge w:val="restart"/>
                  <w:vAlign w:val="center"/>
                </w:tcPr>
                <w:p>
                  <w:pPr>
                    <w:adjustRightInd w:val="0"/>
                    <w:snapToGrid w:val="0"/>
                    <w:jc w:val="center"/>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限制类活动</w:t>
                  </w:r>
                </w:p>
              </w:tc>
              <w:tc>
                <w:tcPr>
                  <w:tcW w:w="2685" w:type="pct"/>
                  <w:vAlign w:val="center"/>
                </w:tcPr>
                <w:p>
                  <w:pPr>
                    <w:adjustRightInd w:val="0"/>
                    <w:snapToGrid w:val="0"/>
                    <w:jc w:val="center"/>
                    <w:rPr>
                      <w:color w:val="auto"/>
                      <w:szCs w:val="21"/>
                    </w:rPr>
                  </w:pPr>
                  <w:r>
                    <w:rPr>
                      <w:rFonts w:hint="eastAsia"/>
                      <w:color w:val="auto"/>
                      <w:szCs w:val="21"/>
                    </w:rPr>
                    <w:t>1.生态保护红线外的生态空间，原则上按限制开发区域的要求进行管理。</w:t>
                  </w:r>
                </w:p>
                <w:p>
                  <w:pPr>
                    <w:adjustRightInd w:val="0"/>
                    <w:snapToGrid w:val="0"/>
                    <w:jc w:val="center"/>
                    <w:rPr>
                      <w:color w:val="auto"/>
                      <w:szCs w:val="21"/>
                    </w:rPr>
                  </w:pPr>
                  <w:r>
                    <w:rPr>
                      <w:rFonts w:hint="eastAsia"/>
                      <w:color w:val="auto"/>
                      <w:szCs w:val="21"/>
                    </w:rPr>
                    <w:t>2.从严控制生态空间转为城镇空间和农业空间。</w:t>
                  </w:r>
                </w:p>
                <w:p>
                  <w:pPr>
                    <w:adjustRightInd w:val="0"/>
                    <w:snapToGrid w:val="0"/>
                    <w:jc w:val="center"/>
                    <w:rPr>
                      <w:color w:val="auto"/>
                      <w:szCs w:val="21"/>
                    </w:rPr>
                  </w:pPr>
                  <w:r>
                    <w:rPr>
                      <w:rFonts w:hint="eastAsia"/>
                      <w:color w:val="auto"/>
                      <w:szCs w:val="21"/>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adjustRightInd w:val="0"/>
                    <w:snapToGrid w:val="0"/>
                    <w:jc w:val="center"/>
                    <w:rPr>
                      <w:color w:val="auto"/>
                      <w:szCs w:val="21"/>
                    </w:rPr>
                  </w:pPr>
                  <w:r>
                    <w:rPr>
                      <w:rFonts w:hint="eastAsia"/>
                      <w:color w:val="auto"/>
                      <w:szCs w:val="21"/>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903" w:type="pct"/>
                  <w:vMerge w:val="restar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本项目为高低压电力设备制造项目，租赁河北聚银企业管理服务有限公司设备制造区C厂区，用地性质属于工业用地，不属于限制类活动，符合空间布局要求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1.鼓励城镇空间和符合国家生态退耕条件的农业空间转为生态空间。</w:t>
                  </w:r>
                </w:p>
                <w:p>
                  <w:pPr>
                    <w:adjustRightInd w:val="0"/>
                    <w:snapToGrid w:val="0"/>
                    <w:jc w:val="center"/>
                    <w:rPr>
                      <w:color w:val="auto"/>
                      <w:szCs w:val="21"/>
                    </w:rPr>
                  </w:pPr>
                  <w:r>
                    <w:rPr>
                      <w:rFonts w:hint="eastAsia"/>
                      <w:color w:val="auto"/>
                      <w:szCs w:val="21"/>
                    </w:rPr>
                    <w:t>2.鼓励各地根据生态保护需要和规划，结合土地综合整治、工矿废弃地复垦利用、矿山环境恢复治理等各类工程实施，因地制宜促进生态空间内建设用地逐步有序退出。</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306" w:type="pct"/>
                  <w:vMerge w:val="continue"/>
                  <w:vAlign w:val="center"/>
                </w:tcPr>
                <w:p>
                  <w:pPr>
                    <w:adjustRightInd w:val="0"/>
                    <w:snapToGrid w:val="0"/>
                    <w:jc w:val="center"/>
                    <w:rPr>
                      <w:color w:val="auto"/>
                      <w:szCs w:val="21"/>
                    </w:rPr>
                  </w:pPr>
                </w:p>
              </w:tc>
              <w:tc>
                <w:tcPr>
                  <w:tcW w:w="307" w:type="pct"/>
                  <w:vMerge w:val="restart"/>
                  <w:vAlign w:val="center"/>
                </w:tcPr>
                <w:p>
                  <w:pPr>
                    <w:adjustRightInd w:val="0"/>
                    <w:snapToGrid w:val="0"/>
                    <w:jc w:val="center"/>
                    <w:rPr>
                      <w:color w:val="auto"/>
                      <w:szCs w:val="21"/>
                    </w:rPr>
                  </w:pPr>
                  <w:r>
                    <w:rPr>
                      <w:rFonts w:hint="eastAsia"/>
                      <w:color w:val="auto"/>
                      <w:szCs w:val="21"/>
                    </w:rPr>
                    <w:t>水源涵养</w:t>
                  </w:r>
                </w:p>
              </w:tc>
              <w:tc>
                <w:tcPr>
                  <w:tcW w:w="306" w:type="pct"/>
                  <w:vMerge w:val="restart"/>
                  <w:vAlign w:val="center"/>
                </w:tcPr>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空间布局约束</w:t>
                  </w: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jc w:val="center"/>
                    <w:rPr>
                      <w:color w:val="auto"/>
                      <w:szCs w:val="21"/>
                    </w:rPr>
                  </w:pPr>
                </w:p>
                <w:p>
                  <w:pPr>
                    <w:adjustRightInd w:val="0"/>
                    <w:snapToGrid w:val="0"/>
                    <w:rPr>
                      <w:color w:val="auto"/>
                      <w:szCs w:val="21"/>
                    </w:rPr>
                  </w:pPr>
                  <w:r>
                    <w:rPr>
                      <w:rFonts w:hint="eastAsia"/>
                      <w:color w:val="auto"/>
                      <w:szCs w:val="21"/>
                    </w:rPr>
                    <w:t>空间布局约束</w:t>
                  </w: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1.严格保护具有重要水源涵养功能的自然植被，限制或禁止各种损害生态系统水源涵养功能的经济社会活动和生产方式，如无序采矿、毁林开荒、湿地和草地开垦、过度放牧、道路建设等。</w:t>
                  </w:r>
                </w:p>
                <w:p>
                  <w:pPr>
                    <w:adjustRightInd w:val="0"/>
                    <w:snapToGrid w:val="0"/>
                    <w:jc w:val="center"/>
                    <w:rPr>
                      <w:color w:val="auto"/>
                      <w:szCs w:val="21"/>
                    </w:rPr>
                  </w:pPr>
                  <w:r>
                    <w:rPr>
                      <w:rFonts w:hint="eastAsia"/>
                      <w:color w:val="auto"/>
                      <w:szCs w:val="21"/>
                    </w:rPr>
                    <w:t>2.控制水污染，减轻水污染负荷，禁止导致水体污染的产业发展，开展生态清洁小流域的建设。</w:t>
                  </w:r>
                </w:p>
              </w:tc>
              <w:tc>
                <w:tcPr>
                  <w:tcW w:w="903" w:type="pct"/>
                  <w:vMerge w:val="restart"/>
                  <w:vAlign w:val="center"/>
                </w:tcPr>
                <w:p>
                  <w:pPr>
                    <w:adjustRightInd w:val="0"/>
                    <w:snapToGrid w:val="0"/>
                    <w:jc w:val="center"/>
                    <w:rPr>
                      <w:color w:val="auto"/>
                      <w:szCs w:val="21"/>
                    </w:rPr>
                  </w:pPr>
                  <w:r>
                    <w:rPr>
                      <w:rFonts w:hint="eastAsia"/>
                      <w:color w:val="auto"/>
                      <w:szCs w:val="21"/>
                    </w:rPr>
                    <w:t>租赁聚银公司设备制造区C厂区，不会破坏生态系统的水源涵养功能，生产废水和生活废水经厂区内预处理后排入开发区污水处理厂，不属于禁止类活动，符合空间布局要求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1.坚持自然恢复为主，严格限制在水源涵养区大规模人工造林。</w:t>
                  </w:r>
                </w:p>
                <w:p>
                  <w:pPr>
                    <w:adjustRightInd w:val="0"/>
                    <w:snapToGrid w:val="0"/>
                    <w:jc w:val="center"/>
                    <w:rPr>
                      <w:color w:val="auto"/>
                      <w:szCs w:val="21"/>
                    </w:rPr>
                  </w:pPr>
                  <w:r>
                    <w:rPr>
                      <w:rFonts w:hint="eastAsia"/>
                      <w:color w:val="auto"/>
                      <w:szCs w:val="21"/>
                    </w:rPr>
                    <w:t>2.严格控制载畜量，实行以草定畜，在农牧交错区提倡农牧结合，发展生态产业，培育替代产业，减轻区内畜牧业对水源和生态系统的压力。</w:t>
                  </w:r>
                </w:p>
              </w:tc>
              <w:tc>
                <w:tcPr>
                  <w:tcW w:w="903" w:type="pct"/>
                  <w:vMerge w:val="continue"/>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6" w:hRule="atLeast"/>
                <w:jc w:val="center"/>
              </w:trPr>
              <w:tc>
                <w:tcPr>
                  <w:tcW w:w="306" w:type="pct"/>
                  <w:vMerge w:val="continue"/>
                  <w:vAlign w:val="center"/>
                </w:tcPr>
                <w:p>
                  <w:pPr>
                    <w:adjustRightInd w:val="0"/>
                    <w:snapToGrid w:val="0"/>
                    <w:jc w:val="center"/>
                    <w:rPr>
                      <w:color w:val="auto"/>
                      <w:szCs w:val="21"/>
                    </w:rPr>
                  </w:pPr>
                </w:p>
              </w:tc>
              <w:tc>
                <w:tcPr>
                  <w:tcW w:w="307" w:type="pct"/>
                  <w:vMerge w:val="restart"/>
                  <w:vAlign w:val="center"/>
                </w:tcPr>
                <w:p>
                  <w:pPr>
                    <w:adjustRightInd w:val="0"/>
                    <w:snapToGrid w:val="0"/>
                    <w:jc w:val="center"/>
                    <w:rPr>
                      <w:color w:val="auto"/>
                      <w:szCs w:val="21"/>
                    </w:rPr>
                  </w:pPr>
                  <w:r>
                    <w:rPr>
                      <w:rFonts w:hint="eastAsia"/>
                      <w:color w:val="auto"/>
                      <w:szCs w:val="21"/>
                    </w:rPr>
                    <w:t>河湖滨岸带</w:t>
                  </w:r>
                </w:p>
              </w:tc>
              <w:tc>
                <w:tcPr>
                  <w:tcW w:w="306" w:type="pct"/>
                  <w:vMerge w:val="continue"/>
                  <w:vAlign w:val="center"/>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禁止类活动</w:t>
                  </w:r>
                </w:p>
              </w:tc>
              <w:tc>
                <w:tcPr>
                  <w:tcW w:w="2685" w:type="pct"/>
                  <w:vAlign w:val="center"/>
                </w:tcPr>
                <w:p>
                  <w:pPr>
                    <w:adjustRightInd w:val="0"/>
                    <w:snapToGrid w:val="0"/>
                    <w:jc w:val="center"/>
                    <w:rPr>
                      <w:color w:val="auto"/>
                      <w:szCs w:val="21"/>
                    </w:rPr>
                  </w:pPr>
                  <w:r>
                    <w:rPr>
                      <w:rFonts w:hint="eastAsia"/>
                      <w:color w:val="auto"/>
                      <w:szCs w:val="21"/>
                    </w:rPr>
                    <w:t xml:space="preserve">1.任何单位和个人不得擅自占用湿地或者改变湿地用途。确需占用或者征收湿地的，应当按照有关法律、法规的规定办理相应手续。 </w:t>
                  </w:r>
                </w:p>
                <w:p>
                  <w:pPr>
                    <w:adjustRightInd w:val="0"/>
                    <w:snapToGrid w:val="0"/>
                    <w:jc w:val="center"/>
                    <w:rPr>
                      <w:color w:val="auto"/>
                      <w:szCs w:val="21"/>
                    </w:rPr>
                  </w:pPr>
                  <w:r>
                    <w:rPr>
                      <w:rFonts w:hint="eastAsia"/>
                      <w:color w:val="auto"/>
                      <w:szCs w:val="21"/>
                    </w:rPr>
                    <w:t xml:space="preserve">2.禁止在湿地内从事下列行为：擅自占用、围垦、填埋或者排干湿地；擅自取用或者截断湿地水源；破坏水生动物洄游通道或者野生动物栖息地； 擅自采砂、取土；向湿地违法排污；捡拾鸟卵，捕猎野生动物；擅自引进外来物种；破坏或者移动湿地界标、围栏、围网等保护设施；其他破坏湿地及 其生态功能或者改变湿地用途的行为。 </w:t>
                  </w:r>
                </w:p>
                <w:p>
                  <w:pPr>
                    <w:adjustRightInd w:val="0"/>
                    <w:snapToGrid w:val="0"/>
                    <w:jc w:val="center"/>
                    <w:rPr>
                      <w:color w:val="auto"/>
                      <w:szCs w:val="21"/>
                    </w:rPr>
                  </w:pPr>
                  <w:r>
                    <w:rPr>
                      <w:rFonts w:hint="eastAsia"/>
                      <w:color w:val="auto"/>
                      <w:szCs w:val="21"/>
                    </w:rPr>
                    <w:t xml:space="preserve">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 </w:t>
                  </w:r>
                </w:p>
                <w:p>
                  <w:pPr>
                    <w:adjustRightInd w:val="0"/>
                    <w:snapToGrid w:val="0"/>
                    <w:jc w:val="center"/>
                    <w:rPr>
                      <w:color w:val="auto"/>
                      <w:szCs w:val="21"/>
                    </w:rPr>
                  </w:pPr>
                  <w:r>
                    <w:rPr>
                      <w:rFonts w:hint="eastAsia"/>
                      <w:color w:val="auto"/>
                      <w:szCs w:val="21"/>
                    </w:rPr>
                    <w:t>4.在河道管理范围内，禁止堆放、倾倒、掩埋、排放污染水体的物体。禁止在河道内清洗装贮过油类或者有毒污染物的车辆、容器。</w:t>
                  </w:r>
                </w:p>
              </w:tc>
              <w:tc>
                <w:tcPr>
                  <w:tcW w:w="903" w:type="pct"/>
                  <w:vMerge w:val="restart"/>
                  <w:vAlign w:val="center"/>
                </w:tcPr>
                <w:p>
                  <w:pPr>
                    <w:adjustRightInd w:val="0"/>
                    <w:snapToGrid w:val="0"/>
                    <w:jc w:val="center"/>
                    <w:rPr>
                      <w:color w:val="auto"/>
                      <w:szCs w:val="21"/>
                    </w:rPr>
                  </w:pPr>
                  <w:r>
                    <w:rPr>
                      <w:rFonts w:hint="eastAsia"/>
                      <w:color w:val="auto"/>
                      <w:szCs w:val="21"/>
                    </w:rPr>
                    <w:t>本项目租赁河北聚银企业管理服务有限公司设备制造区C厂区，用地性质属于工业用地建设，不涉及占用湿地，不涉及对湿地的影响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color w:val="auto"/>
                      <w:szCs w:val="21"/>
                    </w:rPr>
                  </w:pPr>
                </w:p>
              </w:tc>
              <w:tc>
                <w:tcPr>
                  <w:tcW w:w="307" w:type="pct"/>
                  <w:vMerge w:val="continue"/>
                  <w:vAlign w:val="center"/>
                </w:tcPr>
                <w:p>
                  <w:pPr>
                    <w:adjustRightInd w:val="0"/>
                    <w:snapToGrid w:val="0"/>
                    <w:jc w:val="center"/>
                    <w:rPr>
                      <w:color w:val="auto"/>
                      <w:szCs w:val="21"/>
                    </w:rPr>
                  </w:pPr>
                </w:p>
              </w:tc>
              <w:tc>
                <w:tcPr>
                  <w:tcW w:w="306" w:type="pct"/>
                  <w:vMerge w:val="continue"/>
                </w:tcPr>
                <w:p>
                  <w:pPr>
                    <w:adjustRightInd w:val="0"/>
                    <w:snapToGrid w:val="0"/>
                    <w:jc w:val="center"/>
                    <w:rPr>
                      <w:color w:val="auto"/>
                      <w:szCs w:val="21"/>
                    </w:rPr>
                  </w:pPr>
                </w:p>
              </w:tc>
              <w:tc>
                <w:tcPr>
                  <w:tcW w:w="490" w:type="pct"/>
                  <w:vAlign w:val="center"/>
                </w:tcPr>
                <w:p>
                  <w:pPr>
                    <w:adjustRightInd w:val="0"/>
                    <w:snapToGrid w:val="0"/>
                    <w:jc w:val="center"/>
                    <w:rPr>
                      <w:color w:val="auto"/>
                      <w:szCs w:val="21"/>
                    </w:rPr>
                  </w:pPr>
                  <w:r>
                    <w:rPr>
                      <w:rFonts w:hint="eastAsia"/>
                      <w:color w:val="auto"/>
                      <w:szCs w:val="21"/>
                    </w:rPr>
                    <w:t>允许类活动相关要求</w:t>
                  </w:r>
                </w:p>
              </w:tc>
              <w:tc>
                <w:tcPr>
                  <w:tcW w:w="2685" w:type="pct"/>
                  <w:vAlign w:val="center"/>
                </w:tcPr>
                <w:p>
                  <w:pPr>
                    <w:adjustRightInd w:val="0"/>
                    <w:snapToGrid w:val="0"/>
                    <w:jc w:val="center"/>
                    <w:rPr>
                      <w:color w:val="auto"/>
                      <w:szCs w:val="21"/>
                    </w:rPr>
                  </w:pPr>
                  <w:r>
                    <w:rPr>
                      <w:rFonts w:hint="eastAsia"/>
                      <w:color w:val="auto"/>
                      <w:szCs w:val="21"/>
                    </w:rPr>
                    <w:t xml:space="preserve">1.因建设工程等特殊需要确需临时占用湿地的，应当经县级人民政府有关湿地保护管理部门批准。临时占用湿地的期限不得超过二年，不得修筑永久性建筑物。占用期满后，用地单位应当按照有关标准进行生态修复。 </w:t>
                  </w:r>
                </w:p>
                <w:p>
                  <w:pPr>
                    <w:adjustRightInd w:val="0"/>
                    <w:snapToGrid w:val="0"/>
                    <w:jc w:val="center"/>
                    <w:rPr>
                      <w:color w:val="auto"/>
                      <w:szCs w:val="21"/>
                    </w:rPr>
                  </w:pPr>
                  <w:r>
                    <w:rPr>
                      <w:rFonts w:hint="eastAsia"/>
                      <w:color w:val="auto"/>
                      <w:szCs w:val="21"/>
                    </w:rPr>
                    <w:t xml:space="preserve">2.在湿地内从事生产经营、观赏旅游、科学研究、调查观测、科普教育等活动，应当避免影响、降低湿地生态功能和对野生生物物种造成损害。 </w:t>
                  </w:r>
                </w:p>
                <w:p>
                  <w:pPr>
                    <w:adjustRightInd w:val="0"/>
                    <w:snapToGrid w:val="0"/>
                    <w:jc w:val="center"/>
                    <w:rPr>
                      <w:color w:val="auto"/>
                      <w:szCs w:val="21"/>
                    </w:rPr>
                  </w:pPr>
                  <w:r>
                    <w:rPr>
                      <w:rFonts w:hint="eastAsia"/>
                      <w:color w:val="auto"/>
                      <w:szCs w:val="21"/>
                    </w:rPr>
                    <w:t xml:space="preserve">3.在河道管理范围内进行下列活动，必须报经河道主管机关批准；涉及其他部门的，由河道主管 机关会同有关部门批准：采砂、取土、淘金、弃置砂石或者淤泥；爆破、钻探、挖筑鱼塘；在河道滩地存放物料、修建厂房或者其他建筑设施；在河道滩地开采地下资源及进行考古发掘。 </w:t>
                  </w:r>
                </w:p>
                <w:p>
                  <w:pPr>
                    <w:adjustRightInd w:val="0"/>
                    <w:snapToGrid w:val="0"/>
                    <w:jc w:val="center"/>
                    <w:rPr>
                      <w:color w:val="auto"/>
                      <w:szCs w:val="21"/>
                    </w:rPr>
                  </w:pPr>
                  <w:r>
                    <w:rPr>
                      <w:rFonts w:hint="eastAsia"/>
                      <w:color w:val="auto"/>
                      <w:szCs w:val="21"/>
                    </w:rPr>
                    <w:t>4.向河道、湖泊排污的排污口的设置和扩大，排污单位在向生态环境部门申报之前，应当征得河道主管机关的同意。</w:t>
                  </w:r>
                </w:p>
              </w:tc>
              <w:tc>
                <w:tcPr>
                  <w:tcW w:w="903" w:type="pct"/>
                  <w:vMerge w:val="continue"/>
                  <w:vAlign w:val="center"/>
                </w:tcPr>
                <w:p>
                  <w:pPr>
                    <w:adjustRightInd w:val="0"/>
                    <w:snapToGrid w:val="0"/>
                    <w:jc w:val="center"/>
                    <w:rPr>
                      <w:color w:val="auto"/>
                      <w:szCs w:val="21"/>
                    </w:rPr>
                  </w:pPr>
                </w:p>
              </w:tc>
            </w:tr>
          </w:tbl>
          <w:p>
            <w:pPr>
              <w:adjustRightInd w:val="0"/>
              <w:snapToGrid w:val="0"/>
              <w:jc w:val="center"/>
              <w:rPr>
                <w:color w:val="auto"/>
                <w:szCs w:val="21"/>
              </w:rPr>
            </w:pPr>
          </w:p>
          <w:p>
            <w:pPr>
              <w:pStyle w:val="5"/>
              <w:adjustRightInd w:val="0"/>
              <w:snapToGrid w:val="0"/>
              <w:ind w:firstLine="482"/>
              <w:jc w:val="center"/>
              <w:rPr>
                <w:b/>
                <w:bCs/>
                <w:color w:val="auto"/>
                <w:szCs w:val="24"/>
              </w:rPr>
            </w:pPr>
            <w:r>
              <w:rPr>
                <w:b/>
                <w:bCs/>
                <w:color w:val="auto"/>
                <w:szCs w:val="24"/>
              </w:rPr>
              <w:t>表</w:t>
            </w:r>
            <w:r>
              <w:rPr>
                <w:rFonts w:hint="eastAsia"/>
                <w:b/>
                <w:bCs/>
                <w:color w:val="auto"/>
                <w:szCs w:val="24"/>
              </w:rPr>
              <w:t>1-2</w:t>
            </w:r>
            <w:r>
              <w:rPr>
                <w:b/>
                <w:bCs/>
                <w:color w:val="auto"/>
                <w:szCs w:val="24"/>
              </w:rPr>
              <w:t xml:space="preserve"> 本项目与</w:t>
            </w:r>
            <w:r>
              <w:rPr>
                <w:rFonts w:hint="eastAsia"/>
                <w:b/>
                <w:bCs/>
                <w:color w:val="auto"/>
                <w:szCs w:val="24"/>
              </w:rPr>
              <w:t>邯郸市大气环境总体管控要求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56"/>
              <w:gridCol w:w="139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pct"/>
                  <w:vAlign w:val="center"/>
                </w:tcPr>
                <w:p>
                  <w:pPr>
                    <w:adjustRightInd w:val="0"/>
                    <w:snapToGrid w:val="0"/>
                    <w:jc w:val="center"/>
                    <w:rPr>
                      <w:color w:val="auto"/>
                      <w:szCs w:val="21"/>
                    </w:rPr>
                  </w:pPr>
                  <w:r>
                    <w:rPr>
                      <w:rFonts w:hint="eastAsia"/>
                      <w:color w:val="auto"/>
                      <w:szCs w:val="21"/>
                    </w:rPr>
                    <w:t>管控维度</w:t>
                  </w:r>
                </w:p>
              </w:tc>
              <w:tc>
                <w:tcPr>
                  <w:tcW w:w="3431" w:type="pct"/>
                  <w:vAlign w:val="center"/>
                </w:tcPr>
                <w:p>
                  <w:pPr>
                    <w:adjustRightInd w:val="0"/>
                    <w:snapToGrid w:val="0"/>
                    <w:jc w:val="center"/>
                    <w:rPr>
                      <w:color w:val="auto"/>
                      <w:szCs w:val="21"/>
                    </w:rPr>
                  </w:pPr>
                  <w:r>
                    <w:rPr>
                      <w:rFonts w:hint="eastAsia"/>
                      <w:color w:val="auto"/>
                      <w:szCs w:val="21"/>
                    </w:rPr>
                    <w:t>管控要求</w:t>
                  </w:r>
                </w:p>
              </w:tc>
              <w:tc>
                <w:tcPr>
                  <w:tcW w:w="968"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污染物防控目标</w:t>
                  </w:r>
                </w:p>
              </w:tc>
              <w:tc>
                <w:tcPr>
                  <w:tcW w:w="3431" w:type="pct"/>
                  <w:vAlign w:val="center"/>
                </w:tcPr>
                <w:p>
                  <w:pPr>
                    <w:adjustRightInd w:val="0"/>
                    <w:snapToGrid w:val="0"/>
                    <w:ind w:firstLine="412" w:firstLineChars="200"/>
                    <w:rPr>
                      <w:color w:val="auto"/>
                      <w:szCs w:val="21"/>
                    </w:rPr>
                  </w:pPr>
                  <w:r>
                    <w:rPr>
                      <w:rFonts w:hint="eastAsia"/>
                      <w:color w:val="auto"/>
                      <w:szCs w:val="21"/>
                    </w:rPr>
                    <w:t>2025年SO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年均浓度分别达到20微克/立方米、38微克/立方米、46微克/立方米，遏制O</w:t>
                  </w:r>
                  <w:r>
                    <w:rPr>
                      <w:rFonts w:hint="eastAsia"/>
                      <w:color w:val="auto"/>
                      <w:szCs w:val="21"/>
                      <w:vertAlign w:val="subscript"/>
                    </w:rPr>
                    <w:t>3</w:t>
                  </w:r>
                  <w:r>
                    <w:rPr>
                      <w:rFonts w:hint="eastAsia"/>
                      <w:color w:val="auto"/>
                      <w:szCs w:val="21"/>
                    </w:rPr>
                    <w:t>恶化态势，优良天数比例控制在58%以上。</w:t>
                  </w:r>
                </w:p>
                <w:p>
                  <w:pPr>
                    <w:adjustRightInd w:val="0"/>
                    <w:snapToGrid w:val="0"/>
                    <w:ind w:firstLine="412" w:firstLineChars="200"/>
                    <w:rPr>
                      <w:color w:val="auto"/>
                      <w:szCs w:val="21"/>
                    </w:rPr>
                  </w:pPr>
                  <w:r>
                    <w:rPr>
                      <w:rFonts w:hint="eastAsia"/>
                      <w:color w:val="auto"/>
                      <w:szCs w:val="21"/>
                    </w:rPr>
                    <w:t>2035年SO</w:t>
                  </w:r>
                  <w:r>
                    <w:rPr>
                      <w:rFonts w:hint="eastAsia"/>
                      <w:color w:val="auto"/>
                      <w:szCs w:val="21"/>
                      <w:vertAlign w:val="subscript"/>
                    </w:rPr>
                    <w:t>2</w:t>
                  </w:r>
                  <w:r>
                    <w:rPr>
                      <w:rFonts w:hint="eastAsia"/>
                      <w:color w:val="auto"/>
                      <w:szCs w:val="21"/>
                    </w:rPr>
                    <w:t>、NO</w:t>
                  </w:r>
                  <w:r>
                    <w:rPr>
                      <w:rFonts w:hint="eastAsia"/>
                      <w:color w:val="auto"/>
                      <w:szCs w:val="21"/>
                      <w:vertAlign w:val="subscript"/>
                    </w:rPr>
                    <w:t>2</w:t>
                  </w:r>
                  <w:r>
                    <w:rPr>
                      <w:rFonts w:hint="eastAsia"/>
                      <w:color w:val="auto"/>
                      <w:szCs w:val="21"/>
                    </w:rPr>
                    <w:t>、PM</w:t>
                  </w:r>
                  <w:r>
                    <w:rPr>
                      <w:rFonts w:hint="eastAsia"/>
                      <w:color w:val="auto"/>
                      <w:szCs w:val="21"/>
                      <w:vertAlign w:val="subscript"/>
                    </w:rPr>
                    <w:t>2.5</w:t>
                  </w:r>
                  <w:r>
                    <w:rPr>
                      <w:rFonts w:hint="eastAsia"/>
                      <w:color w:val="auto"/>
                      <w:szCs w:val="21"/>
                    </w:rPr>
                    <w:t>年均浓度分别达到20微克/立方米、38微克/立方米、35微克/立方米，O</w:t>
                  </w:r>
                  <w:r>
                    <w:rPr>
                      <w:rFonts w:hint="eastAsia"/>
                      <w:color w:val="auto"/>
                      <w:szCs w:val="21"/>
                      <w:vertAlign w:val="subscript"/>
                    </w:rPr>
                    <w:t>3</w:t>
                  </w:r>
                  <w:r>
                    <w:rPr>
                      <w:rFonts w:hint="eastAsia"/>
                      <w:color w:val="auto"/>
                      <w:szCs w:val="21"/>
                    </w:rPr>
                    <w:t>在现状基础上得到控制，优良天数比例控制在75%以上。</w:t>
                  </w:r>
                </w:p>
              </w:tc>
              <w:tc>
                <w:tcPr>
                  <w:tcW w:w="968" w:type="pct"/>
                  <w:vAlign w:val="center"/>
                </w:tcPr>
                <w:p>
                  <w:pPr>
                    <w:adjustRightInd w:val="0"/>
                    <w:snapToGrid w:val="0"/>
                    <w:jc w:val="center"/>
                    <w:rPr>
                      <w:color w:val="auto"/>
                      <w:sz w:val="22"/>
                      <w:szCs w:val="22"/>
                    </w:rPr>
                  </w:pPr>
                  <w:r>
                    <w:rPr>
                      <w:rFonts w:hint="eastAsia"/>
                      <w:color w:val="auto"/>
                      <w:szCs w:val="21"/>
                    </w:rPr>
                    <w:t>本项目废气污染物排放量较小，废气经处理后达标排放，可以满足邯郸市污染物防控目标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空间布局</w:t>
                  </w:r>
                </w:p>
              </w:tc>
              <w:tc>
                <w:tcPr>
                  <w:tcW w:w="3431" w:type="pct"/>
                  <w:vAlign w:val="center"/>
                </w:tcPr>
                <w:p>
                  <w:pPr>
                    <w:adjustRightInd w:val="0"/>
                    <w:snapToGrid w:val="0"/>
                    <w:ind w:firstLine="412" w:firstLineChars="200"/>
                    <w:rPr>
                      <w:color w:val="auto"/>
                      <w:szCs w:val="21"/>
                    </w:rPr>
                  </w:pPr>
                  <w:r>
                    <w:rPr>
                      <w:rFonts w:hint="eastAsia"/>
                      <w:color w:val="auto"/>
                      <w:szCs w:val="21"/>
                    </w:rPr>
                    <w:t>1.严格落实钢铁、水泥、平板玻璃等行业产能置换政策，严禁新增钢铁、焦化、铸造、水泥和平板玻璃等产能，禁止新增化工收水范围内。</w:t>
                  </w:r>
                </w:p>
                <w:p>
                  <w:pPr>
                    <w:adjustRightInd w:val="0"/>
                    <w:snapToGrid w:val="0"/>
                    <w:ind w:firstLine="412" w:firstLineChars="200"/>
                    <w:rPr>
                      <w:color w:val="auto"/>
                      <w:szCs w:val="21"/>
                    </w:rPr>
                  </w:pPr>
                  <w:r>
                    <w:rPr>
                      <w:rFonts w:hint="eastAsia"/>
                      <w:color w:val="auto"/>
                      <w:szCs w:val="21"/>
                    </w:rPr>
                    <w:t>2.严格执行质量、环保、能耗、安全等法规标准，加大重点行业低效和过剩产能压减力度，淘汰4.3米焦炉，关停部分1000 立方米以下高炉和100吨以下转炉。</w:t>
                  </w:r>
                </w:p>
                <w:p>
                  <w:pPr>
                    <w:adjustRightInd w:val="0"/>
                    <w:snapToGrid w:val="0"/>
                    <w:ind w:firstLine="412" w:firstLineChars="200"/>
                    <w:rPr>
                      <w:color w:val="auto"/>
                      <w:szCs w:val="21"/>
                    </w:rPr>
                  </w:pPr>
                  <w:r>
                    <w:rPr>
                      <w:rFonts w:hint="eastAsia"/>
                      <w:color w:val="auto"/>
                      <w:szCs w:val="21"/>
                    </w:rPr>
                    <w:t>3.加快城市建成区钢铁、煤炭、火电企业搬迁改造或关停退出，县城及主要城镇建成区的钢铁、煤炭、火电企业逐步实施退城搬迁。</w:t>
                  </w:r>
                </w:p>
                <w:p>
                  <w:pPr>
                    <w:adjustRightInd w:val="0"/>
                    <w:snapToGrid w:val="0"/>
                    <w:ind w:firstLine="412" w:firstLineChars="200"/>
                    <w:rPr>
                      <w:color w:val="auto"/>
                      <w:szCs w:val="21"/>
                    </w:rPr>
                  </w:pPr>
                  <w:r>
                    <w:rPr>
                      <w:rFonts w:hint="eastAsia"/>
                      <w:color w:val="auto"/>
                      <w:szCs w:val="21"/>
                    </w:rPr>
                    <w:t>4.严格控制高耗能项目建设，提高市场准入门槛，严格控制新增煤电机组装机规模，审慎发展石油化工等项目。</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w:t>
                  </w:r>
                </w:p>
                <w:p>
                  <w:pPr>
                    <w:adjustRightInd w:val="0"/>
                    <w:snapToGrid w:val="0"/>
                    <w:ind w:firstLine="412" w:firstLineChars="200"/>
                    <w:rPr>
                      <w:color w:val="auto"/>
                      <w:szCs w:val="21"/>
                    </w:rPr>
                  </w:pPr>
                  <w:r>
                    <w:rPr>
                      <w:rFonts w:hint="eastAsia"/>
                      <w:color w:val="auto"/>
                      <w:szCs w:val="21"/>
                    </w:rPr>
                    <w:t>6.推进煤炭、钢铁、焦化、水泥等大宗货物年运输量150万吨以上的大型工矿企业、大型物流收水范围内以及港口集疏运铁路专用线、管道或封闭管廊等建设。</w:t>
                  </w:r>
                </w:p>
              </w:tc>
              <w:tc>
                <w:tcPr>
                  <w:tcW w:w="968" w:type="pct"/>
                  <w:vAlign w:val="center"/>
                </w:tcPr>
                <w:p>
                  <w:pPr>
                    <w:adjustRightInd w:val="0"/>
                    <w:snapToGrid w:val="0"/>
                    <w:jc w:val="center"/>
                    <w:rPr>
                      <w:color w:val="auto"/>
                      <w:szCs w:val="21"/>
                    </w:rPr>
                  </w:pPr>
                  <w:r>
                    <w:rPr>
                      <w:rFonts w:hint="eastAsia"/>
                      <w:color w:val="auto"/>
                      <w:szCs w:val="21"/>
                    </w:rPr>
                    <w:t>本项目为高低压电力设备制造项目，不属于两高行业，不属于产能置换行业</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污染物排放</w:t>
                  </w:r>
                </w:p>
              </w:tc>
              <w:tc>
                <w:tcPr>
                  <w:tcW w:w="3431" w:type="pct"/>
                  <w:vAlign w:val="center"/>
                </w:tcPr>
                <w:p>
                  <w:pPr>
                    <w:adjustRightInd w:val="0"/>
                    <w:snapToGrid w:val="0"/>
                    <w:ind w:firstLine="412" w:firstLineChars="200"/>
                    <w:rPr>
                      <w:color w:val="auto"/>
                      <w:szCs w:val="21"/>
                    </w:rPr>
                  </w:pPr>
                  <w:r>
                    <w:rPr>
                      <w:rFonts w:hint="eastAsia"/>
                      <w:color w:val="auto"/>
                      <w:szCs w:val="21"/>
                    </w:rPr>
                    <w:t>1.开展重点行业能源消耗、资源效率对标对标行动，推动重点污染企业搬迁入园、改造升级或依法退出。对未按期完成有组织、无组织超低排放改造、超标排放的重点行业企业实施停产整治。</w:t>
                  </w:r>
                </w:p>
                <w:p>
                  <w:pPr>
                    <w:adjustRightInd w:val="0"/>
                    <w:snapToGrid w:val="0"/>
                    <w:ind w:firstLine="412" w:firstLineChars="200"/>
                    <w:rPr>
                      <w:color w:val="auto"/>
                      <w:szCs w:val="21"/>
                    </w:rPr>
                  </w:pPr>
                  <w:r>
                    <w:rPr>
                      <w:rFonts w:hint="eastAsia"/>
                      <w:color w:val="auto"/>
                      <w:szCs w:val="21"/>
                    </w:rPr>
                    <w:t>2.以钢铁、焦化、水泥、平板玻璃等行业为重点，开展清洁化、循环化、低碳化改造。</w:t>
                  </w:r>
                </w:p>
                <w:p>
                  <w:pPr>
                    <w:adjustRightInd w:val="0"/>
                    <w:snapToGrid w:val="0"/>
                    <w:ind w:firstLine="412" w:firstLineChars="200"/>
                    <w:rPr>
                      <w:color w:val="auto"/>
                      <w:szCs w:val="21"/>
                    </w:rPr>
                  </w:pPr>
                  <w:r>
                    <w:rPr>
                      <w:rFonts w:hint="eastAsia"/>
                      <w:color w:val="auto"/>
                      <w:szCs w:val="21"/>
                    </w:rPr>
                    <w:t>3.全面推进燃煤电厂超净排放改造。</w:t>
                  </w:r>
                </w:p>
                <w:p>
                  <w:pPr>
                    <w:adjustRightInd w:val="0"/>
                    <w:snapToGrid w:val="0"/>
                    <w:ind w:firstLine="412" w:firstLineChars="200"/>
                    <w:rPr>
                      <w:color w:val="auto"/>
                      <w:szCs w:val="21"/>
                    </w:rPr>
                  </w:pPr>
                  <w:r>
                    <w:rPr>
                      <w:rFonts w:hint="eastAsia"/>
                      <w:color w:val="auto"/>
                      <w:szCs w:val="21"/>
                    </w:rPr>
                    <w:t>4.加强焦化、建材(水泥、平板玻璃、陶瓷)等重点行业有组织超低排放监督管理，对物料储存、输送和生产工艺过程等无组织排放情况开展排查，建立清单，实施深度治理。</w:t>
                  </w:r>
                </w:p>
                <w:p>
                  <w:pPr>
                    <w:adjustRightInd w:val="0"/>
                    <w:snapToGrid w:val="0"/>
                    <w:ind w:firstLine="412" w:firstLineChars="200"/>
                    <w:rPr>
                      <w:color w:val="auto"/>
                      <w:szCs w:val="21"/>
                    </w:rPr>
                  </w:pPr>
                  <w:r>
                    <w:rPr>
                      <w:rFonts w:hint="eastAsia"/>
                      <w:color w:val="auto"/>
                      <w:szCs w:val="21"/>
                    </w:rPr>
                    <w:t>5.深入开展工业窑炉和锅炉综合治理。全面提升砖瓦、石灰、耐火材料等行业工业窑炉的治污设施处理能力。</w:t>
                  </w:r>
                </w:p>
                <w:p>
                  <w:pPr>
                    <w:adjustRightInd w:val="0"/>
                    <w:snapToGrid w:val="0"/>
                    <w:ind w:firstLine="412" w:firstLineChars="200"/>
                    <w:rPr>
                      <w:color w:val="auto"/>
                      <w:szCs w:val="21"/>
                    </w:rPr>
                  </w:pPr>
                  <w:r>
                    <w:rPr>
                      <w:rFonts w:hint="eastAsia"/>
                      <w:color w:val="auto"/>
                      <w:szCs w:val="21"/>
                    </w:rPr>
                    <w:t>6.推进消耗臭氧层物质淘汰国际履约工作，建立ODS销售使用清单，完善备案制度，加强含氢氯氟烃流通和消费监管，严格源头准入，加快消耗臭氧层物质替代。</w:t>
                  </w:r>
                </w:p>
                <w:p>
                  <w:pPr>
                    <w:adjustRightInd w:val="0"/>
                    <w:snapToGrid w:val="0"/>
                    <w:ind w:firstLine="412" w:firstLineChars="200"/>
                    <w:rPr>
                      <w:color w:val="auto"/>
                      <w:szCs w:val="21"/>
                    </w:rPr>
                  </w:pPr>
                  <w:r>
                    <w:rPr>
                      <w:rFonts w:hint="eastAsia"/>
                      <w:color w:val="auto"/>
                      <w:szCs w:val="21"/>
                    </w:rPr>
                    <w:t>7.强化涉VOCs企业“一厂一策”精细管控，完善源头、过程和末端的VOCs全过程控制体系，推进涉VOCs产业集群配套建设一批有机溶剂集中回收处置中心、活性炭集中处理中心、集中涂装中心。</w:t>
                  </w:r>
                </w:p>
                <w:p>
                  <w:pPr>
                    <w:adjustRightInd w:val="0"/>
                    <w:snapToGrid w:val="0"/>
                    <w:ind w:firstLine="412" w:firstLineChars="200"/>
                    <w:rPr>
                      <w:color w:val="auto"/>
                      <w:szCs w:val="21"/>
                    </w:rPr>
                  </w:pPr>
                  <w:r>
                    <w:rPr>
                      <w:rFonts w:hint="eastAsia"/>
                      <w:color w:val="auto"/>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pPr>
                    <w:adjustRightInd w:val="0"/>
                    <w:snapToGrid w:val="0"/>
                    <w:ind w:firstLine="412" w:firstLineChars="200"/>
                    <w:rPr>
                      <w:color w:val="auto"/>
                      <w:szCs w:val="21"/>
                    </w:rPr>
                  </w:pPr>
                  <w:r>
                    <w:rPr>
                      <w:rFonts w:hint="eastAsia"/>
                      <w:color w:val="auto"/>
                      <w:szCs w:val="21"/>
                    </w:rPr>
                    <w:t>9.严控建筑工地、裸土裸地、公路、城市和县乡(镇)道路扬尘，实行“以克论净”和尘负荷考核。逐年提高城镇绿化率和全市林木覆盖率。</w:t>
                  </w:r>
                </w:p>
                <w:p>
                  <w:pPr>
                    <w:adjustRightInd w:val="0"/>
                    <w:snapToGrid w:val="0"/>
                    <w:ind w:firstLine="412" w:firstLineChars="200"/>
                    <w:rPr>
                      <w:color w:val="auto"/>
                      <w:szCs w:val="21"/>
                    </w:rPr>
                  </w:pPr>
                  <w:r>
                    <w:rPr>
                      <w:rFonts w:hint="eastAsia"/>
                      <w:color w:val="auto"/>
                      <w:szCs w:val="21"/>
                    </w:rPr>
                    <w:t>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 家企业稳定达到“邯郸限值”。</w:t>
                  </w:r>
                </w:p>
                <w:p>
                  <w:pPr>
                    <w:adjustRightInd w:val="0"/>
                    <w:snapToGrid w:val="0"/>
                    <w:ind w:firstLine="412" w:firstLineChars="200"/>
                    <w:rPr>
                      <w:color w:val="auto"/>
                      <w:szCs w:val="21"/>
                    </w:rPr>
                  </w:pPr>
                  <w:r>
                    <w:rPr>
                      <w:rFonts w:hint="eastAsia"/>
                      <w:color w:val="auto"/>
                      <w:szCs w:val="21"/>
                    </w:rPr>
                    <w:t>11.严控露天烧烤及秸秆焚烧污染。</w:t>
                  </w:r>
                </w:p>
                <w:p>
                  <w:pPr>
                    <w:adjustRightInd w:val="0"/>
                    <w:snapToGrid w:val="0"/>
                    <w:ind w:firstLine="412" w:firstLineChars="200"/>
                    <w:rPr>
                      <w:color w:val="auto"/>
                      <w:szCs w:val="21"/>
                    </w:rPr>
                  </w:pPr>
                  <w:r>
                    <w:rPr>
                      <w:rFonts w:hint="eastAsia"/>
                      <w:color w:val="auto"/>
                      <w:szCs w:val="21"/>
                    </w:rPr>
                    <w:t>12.实施农业氨排放削减。2021年，在全市推广氨排放控制措施，完成210万亩农田推广应用，有效降低氨对PM</w:t>
                  </w:r>
                  <w:r>
                    <w:rPr>
                      <w:rFonts w:hint="eastAsia"/>
                      <w:color w:val="auto"/>
                      <w:szCs w:val="21"/>
                      <w:vertAlign w:val="subscript"/>
                    </w:rPr>
                    <w:t>2.5</w:t>
                  </w:r>
                  <w:r>
                    <w:rPr>
                      <w:rFonts w:hint="eastAsia"/>
                      <w:color w:val="auto"/>
                      <w:szCs w:val="21"/>
                    </w:rPr>
                    <w:t>的影响。</w:t>
                  </w:r>
                </w:p>
              </w:tc>
              <w:tc>
                <w:tcPr>
                  <w:tcW w:w="968" w:type="pct"/>
                  <w:vAlign w:val="center"/>
                </w:tcPr>
                <w:p>
                  <w:pPr>
                    <w:adjustRightInd w:val="0"/>
                    <w:snapToGrid w:val="0"/>
                    <w:jc w:val="center"/>
                    <w:rPr>
                      <w:color w:val="auto"/>
                      <w:szCs w:val="21"/>
                    </w:rPr>
                  </w:pPr>
                  <w:r>
                    <w:rPr>
                      <w:rFonts w:hint="eastAsia"/>
                      <w:color w:val="auto"/>
                      <w:szCs w:val="21"/>
                    </w:rPr>
                    <w:t>本项目施工期的废气污染物主要为施工工地产生的扬尘、施工机械的尾气，施工期间严格按照《河北省建筑施工扬尘防治强化措施18条》要求，采取严密遮盖或利用密闭性运输车，限制运输车辆的车速等措施有效减少施工期污染物的排放，能满足相关排放标准；运营期废气污染物主要为喷塑生产线产生的VOCs废气，污染物产生量较小，经废气治理设备治理后能满足相关排放标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pct"/>
                  <w:vAlign w:val="center"/>
                </w:tcPr>
                <w:p>
                  <w:pPr>
                    <w:adjustRightInd w:val="0"/>
                    <w:snapToGrid w:val="0"/>
                    <w:jc w:val="center"/>
                    <w:rPr>
                      <w:color w:val="auto"/>
                      <w:szCs w:val="21"/>
                    </w:rPr>
                  </w:pPr>
                  <w:r>
                    <w:rPr>
                      <w:rFonts w:hint="eastAsia"/>
                      <w:color w:val="auto"/>
                      <w:szCs w:val="21"/>
                    </w:rPr>
                    <w:t>环境风险防控</w:t>
                  </w:r>
                </w:p>
              </w:tc>
              <w:tc>
                <w:tcPr>
                  <w:tcW w:w="3431" w:type="pct"/>
                  <w:vAlign w:val="center"/>
                </w:tcPr>
                <w:p>
                  <w:pPr>
                    <w:adjustRightInd w:val="0"/>
                    <w:snapToGrid w:val="0"/>
                    <w:ind w:firstLine="412" w:firstLineChars="200"/>
                    <w:rPr>
                      <w:color w:val="auto"/>
                      <w:szCs w:val="21"/>
                    </w:rPr>
                  </w:pPr>
                  <w:r>
                    <w:rPr>
                      <w:rFonts w:hint="eastAsia"/>
                      <w:color w:val="auto"/>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968" w:type="pct"/>
                  <w:vAlign w:val="center"/>
                </w:tcPr>
                <w:p>
                  <w:pPr>
                    <w:adjustRightInd w:val="0"/>
                    <w:snapToGrid w:val="0"/>
                    <w:jc w:val="center"/>
                    <w:rPr>
                      <w:color w:val="auto"/>
                      <w:szCs w:val="21"/>
                    </w:rPr>
                  </w:pPr>
                  <w:r>
                    <w:rPr>
                      <w:rFonts w:hint="eastAsia"/>
                      <w:color w:val="auto"/>
                      <w:szCs w:val="21"/>
                    </w:rPr>
                    <w:t>本项目大气的环境风险主要为喷塑生产线天然气泄露遇明火发生火灾爆炸伴生次生的污染物排放，通过采取加强日常巡护、安装易燃气体泄露报警装置，有效减低天然气泄露或者发生火灾爆炸的环境风险</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color w:val="auto"/>
                      <w:szCs w:val="21"/>
                    </w:rPr>
                  </w:pPr>
                  <w:r>
                    <w:rPr>
                      <w:rFonts w:hint="eastAsia"/>
                      <w:color w:val="auto"/>
                      <w:szCs w:val="21"/>
                    </w:rPr>
                    <w:t>资源开发利用</w:t>
                  </w:r>
                </w:p>
              </w:tc>
              <w:tc>
                <w:tcPr>
                  <w:tcW w:w="3431" w:type="pct"/>
                  <w:vAlign w:val="center"/>
                </w:tcPr>
                <w:p>
                  <w:pPr>
                    <w:adjustRightInd w:val="0"/>
                    <w:snapToGrid w:val="0"/>
                    <w:ind w:firstLine="412" w:firstLineChars="200"/>
                    <w:rPr>
                      <w:color w:val="auto"/>
                      <w:szCs w:val="21"/>
                    </w:rPr>
                  </w:pPr>
                  <w:r>
                    <w:rPr>
                      <w:rFonts w:hint="eastAsia"/>
                      <w:color w:val="auto"/>
                      <w:szCs w:val="21"/>
                    </w:rPr>
                    <w:t>1.新上涉气建设项目绩效评价达到B级及以上水平。</w:t>
                  </w:r>
                </w:p>
                <w:p>
                  <w:pPr>
                    <w:adjustRightInd w:val="0"/>
                    <w:snapToGrid w:val="0"/>
                    <w:ind w:firstLine="412" w:firstLineChars="200"/>
                    <w:rPr>
                      <w:color w:val="auto"/>
                      <w:szCs w:val="21"/>
                    </w:rPr>
                  </w:pPr>
                  <w:r>
                    <w:rPr>
                      <w:rFonts w:hint="eastAsia"/>
                      <w:color w:val="auto"/>
                      <w:szCs w:val="21"/>
                    </w:rPr>
                    <w:t>2.严格控制煤炭消费总量。对新增耗煤项目实施等(减)量替代。实施工业企业精准减煤工程，对钢铁、焦化、电力等用煤大户通过技改和加强管理降低能耗。</w:t>
                  </w:r>
                </w:p>
                <w:p>
                  <w:pPr>
                    <w:adjustRightInd w:val="0"/>
                    <w:snapToGrid w:val="0"/>
                    <w:ind w:firstLine="412" w:firstLineChars="200"/>
                    <w:rPr>
                      <w:color w:val="auto"/>
                      <w:szCs w:val="21"/>
                    </w:rPr>
                  </w:pPr>
                  <w:r>
                    <w:rPr>
                      <w:rFonts w:hint="eastAsia"/>
                      <w:color w:val="auto"/>
                      <w:szCs w:val="21"/>
                    </w:rPr>
                    <w:t>3.重点推进秸秆机械化直接还田、秸秆饲料化利用、秸秆燃料化利用、秸秆基料化利用、秸秆发电及工业原料化利用和秸秆收储运体系建设。</w:t>
                  </w:r>
                </w:p>
                <w:p>
                  <w:pPr>
                    <w:adjustRightInd w:val="0"/>
                    <w:snapToGrid w:val="0"/>
                    <w:ind w:firstLine="412" w:firstLineChars="200"/>
                    <w:rPr>
                      <w:color w:val="auto"/>
                      <w:szCs w:val="21"/>
                    </w:rPr>
                  </w:pPr>
                  <w:r>
                    <w:rPr>
                      <w:rFonts w:hint="eastAsia"/>
                      <w:color w:val="auto"/>
                      <w:szCs w:val="21"/>
                    </w:rPr>
                    <w:t>4.推进畜禽粪污综合利用，规模化畜禽养殖场全部建成粪污治理设施。</w:t>
                  </w:r>
                </w:p>
                <w:p>
                  <w:pPr>
                    <w:adjustRightInd w:val="0"/>
                    <w:snapToGrid w:val="0"/>
                    <w:ind w:firstLine="412" w:firstLineChars="200"/>
                    <w:rPr>
                      <w:color w:val="auto"/>
                      <w:szCs w:val="21"/>
                    </w:rPr>
                  </w:pPr>
                  <w:r>
                    <w:rPr>
                      <w:rFonts w:hint="eastAsia"/>
                      <w:color w:val="auto"/>
                      <w:szCs w:val="21"/>
                    </w:rPr>
                    <w:t>5.严格散煤生产、加工、储运、销售环节监管，“禁煤区”“高污染燃料禁燃区”不得新设散煤经营网点。加强散煤质量抽检，散煤销售网点和燃煤使用单位的抽检覆盖率达到100%。</w:t>
                  </w:r>
                </w:p>
              </w:tc>
              <w:tc>
                <w:tcPr>
                  <w:tcW w:w="968" w:type="pct"/>
                  <w:vAlign w:val="center"/>
                </w:tcPr>
                <w:p>
                  <w:pPr>
                    <w:adjustRightInd w:val="0"/>
                    <w:snapToGrid w:val="0"/>
                    <w:jc w:val="center"/>
                    <w:rPr>
                      <w:color w:val="auto"/>
                      <w:szCs w:val="21"/>
                    </w:rPr>
                  </w:pPr>
                  <w:r>
                    <w:rPr>
                      <w:rFonts w:hint="eastAsia"/>
                      <w:color w:val="auto"/>
                      <w:szCs w:val="21"/>
                    </w:rPr>
                    <w:t>本项目不涉及煤炭使用</w:t>
                  </w:r>
                </w:p>
              </w:tc>
            </w:tr>
          </w:tbl>
          <w:p>
            <w:pPr>
              <w:pStyle w:val="5"/>
              <w:adjustRightInd w:val="0"/>
              <w:snapToGrid w:val="0"/>
              <w:spacing w:line="360" w:lineRule="auto"/>
              <w:ind w:firstLine="0"/>
              <w:jc w:val="center"/>
              <w:rPr>
                <w:b/>
                <w:bCs/>
                <w:color w:val="auto"/>
              </w:rPr>
            </w:pPr>
            <w:r>
              <w:rPr>
                <w:b/>
                <w:bCs/>
                <w:color w:val="auto"/>
                <w:szCs w:val="24"/>
              </w:rPr>
              <w:t>表</w:t>
            </w:r>
            <w:r>
              <w:rPr>
                <w:rFonts w:hint="eastAsia"/>
                <w:b/>
                <w:bCs/>
                <w:color w:val="auto"/>
                <w:szCs w:val="24"/>
              </w:rPr>
              <w:t>1-3</w:t>
            </w:r>
            <w:r>
              <w:rPr>
                <w:b/>
                <w:bCs/>
                <w:color w:val="auto"/>
                <w:szCs w:val="24"/>
              </w:rPr>
              <w:t xml:space="preserve"> 本项目与</w:t>
            </w:r>
            <w:r>
              <w:rPr>
                <w:rFonts w:hint="eastAsia"/>
                <w:b/>
                <w:bCs/>
                <w:color w:val="auto"/>
                <w:szCs w:val="24"/>
              </w:rPr>
              <w:t>邯郸市水环境总体管控要求</w:t>
            </w:r>
            <w:r>
              <w:rPr>
                <w:b/>
                <w:bCs/>
                <w:color w:val="auto"/>
                <w:szCs w:val="24"/>
              </w:rPr>
              <w:t>符合性一览表</w:t>
            </w:r>
          </w:p>
          <w:tbl>
            <w:tblPr>
              <w:tblStyle w:val="19"/>
              <w:tblW w:w="4999"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98"/>
              <w:gridCol w:w="140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97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rFonts w:hint="eastAsia"/>
                      <w:color w:val="auto"/>
                      <w:szCs w:val="21"/>
                    </w:rPr>
                    <w:t>2025年地表水Ⅲ类及以上水体断面比例达到27%以上，劣Ⅴ类水体基本消除；2035年全面消除劣Ⅴ类水质。</w:t>
                  </w:r>
                </w:p>
              </w:tc>
              <w:tc>
                <w:tcPr>
                  <w:tcW w:w="974" w:type="pct"/>
                  <w:vAlign w:val="center"/>
                </w:tcPr>
                <w:p>
                  <w:pPr>
                    <w:adjustRightInd w:val="0"/>
                    <w:snapToGrid w:val="0"/>
                    <w:jc w:val="center"/>
                    <w:rPr>
                      <w:color w:val="auto"/>
                      <w:szCs w:val="21"/>
                    </w:rPr>
                  </w:pPr>
                  <w:r>
                    <w:rPr>
                      <w:rFonts w:hint="eastAsia"/>
                      <w:color w:val="auto"/>
                      <w:szCs w:val="21"/>
                    </w:rPr>
                    <w:t>本项目生产废水和生活废水经厂区内预处理后排入开发区污水处理厂，可以满足水污染防控目标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6"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1.强化饮用水水源保护。建立县级及以上集中式饮用水水源清单，明确水质目标，实行达标管理。</w:t>
                  </w:r>
                </w:p>
                <w:p>
                  <w:pPr>
                    <w:adjustRightInd w:val="0"/>
                    <w:snapToGrid w:val="0"/>
                    <w:ind w:firstLine="412" w:firstLineChars="200"/>
                    <w:rPr>
                      <w:color w:val="auto"/>
                      <w:szCs w:val="21"/>
                    </w:rPr>
                  </w:pPr>
                  <w:r>
                    <w:rPr>
                      <w:rFonts w:hint="eastAsia"/>
                      <w:color w:val="auto"/>
                      <w:szCs w:val="21"/>
                    </w:rPr>
                    <w:t>2.开展水环境承载力评价。推进美丽河湖保护与建设，发挥引领示范作用。</w:t>
                  </w:r>
                </w:p>
                <w:p>
                  <w:pPr>
                    <w:adjustRightInd w:val="0"/>
                    <w:snapToGrid w:val="0"/>
                    <w:ind w:firstLine="412" w:firstLineChars="200"/>
                    <w:rPr>
                      <w:color w:val="auto"/>
                      <w:szCs w:val="21"/>
                    </w:rPr>
                  </w:pPr>
                  <w:r>
                    <w:rPr>
                      <w:rFonts w:hint="eastAsia"/>
                      <w:color w:val="auto"/>
                      <w:szCs w:val="21"/>
                    </w:rPr>
                    <w:t>3.保护河湖生态空间。落实生态保护红线制度。禁止侵占自然湿地等水源涵养生态空间，已侵占的全部予以恢复。</w:t>
                  </w:r>
                </w:p>
                <w:p>
                  <w:pPr>
                    <w:adjustRightInd w:val="0"/>
                    <w:snapToGrid w:val="0"/>
                    <w:ind w:firstLine="412" w:firstLineChars="200"/>
                    <w:rPr>
                      <w:color w:val="auto"/>
                      <w:szCs w:val="21"/>
                    </w:rPr>
                  </w:pPr>
                  <w:r>
                    <w:rPr>
                      <w:rFonts w:hint="eastAsia"/>
                      <w:color w:val="auto"/>
                      <w:szCs w:val="21"/>
                    </w:rPr>
                    <w:t>4.严格水域岸线用途管制和土地开发利用。新建项目应按照有关法律法规和技术标准要求，留足河道、湖泊、水库岸边地带的管理和保护范围。</w:t>
                  </w:r>
                </w:p>
                <w:p>
                  <w:pPr>
                    <w:adjustRightInd w:val="0"/>
                    <w:snapToGrid w:val="0"/>
                    <w:ind w:firstLine="412" w:firstLineChars="200"/>
                    <w:rPr>
                      <w:color w:val="auto"/>
                      <w:szCs w:val="21"/>
                    </w:rPr>
                  </w:pPr>
                  <w:r>
                    <w:rPr>
                      <w:rFonts w:hint="eastAsia"/>
                      <w:color w:val="auto"/>
                      <w:szCs w:val="21"/>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pPr>
                    <w:adjustRightInd w:val="0"/>
                    <w:snapToGrid w:val="0"/>
                    <w:ind w:firstLine="412" w:firstLineChars="200"/>
                    <w:rPr>
                      <w:color w:val="auto"/>
                      <w:szCs w:val="21"/>
                    </w:rPr>
                  </w:pPr>
                  <w:r>
                    <w:rPr>
                      <w:rFonts w:hint="eastAsia"/>
                      <w:color w:val="auto"/>
                      <w:szCs w:val="21"/>
                    </w:rPr>
                    <w:t>6.优化养殖产业空间布局。以饮用水水源、水质较好湖库、国家级湿地（公园）等环境敏感区域为重点，科学划定养殖区，明确适养、限养和禁养区。全面清理禁养区相关养殖项目，严防反弹。</w:t>
                  </w:r>
                </w:p>
              </w:tc>
              <w:tc>
                <w:tcPr>
                  <w:tcW w:w="974" w:type="pct"/>
                  <w:vAlign w:val="center"/>
                </w:tcPr>
                <w:p>
                  <w:pPr>
                    <w:adjustRightInd w:val="0"/>
                    <w:snapToGrid w:val="0"/>
                    <w:jc w:val="center"/>
                    <w:rPr>
                      <w:color w:val="auto"/>
                      <w:szCs w:val="21"/>
                    </w:rPr>
                  </w:pPr>
                  <w:r>
                    <w:rPr>
                      <w:rFonts w:hint="eastAsia"/>
                      <w:color w:val="auto"/>
                      <w:szCs w:val="21"/>
                    </w:rPr>
                    <w:t>本项目位于聚银现有厂区内，不在饮用水水源保护范围内</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p>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1.严查非法排污行为，压实地方政府属地责任，建立健全长效监管机制，促进国考重要水功能区稳定达标。</w:t>
                  </w:r>
                </w:p>
                <w:p>
                  <w:pPr>
                    <w:adjustRightInd w:val="0"/>
                    <w:snapToGrid w:val="0"/>
                    <w:ind w:firstLine="412" w:firstLineChars="200"/>
                    <w:rPr>
                      <w:color w:val="auto"/>
                      <w:szCs w:val="21"/>
                    </w:rPr>
                  </w:pPr>
                  <w:r>
                    <w:rPr>
                      <w:rFonts w:hint="eastAsia"/>
                      <w:color w:val="auto"/>
                      <w:szCs w:val="21"/>
                    </w:rPr>
                    <w:t>2.加快老旧城区、城中村和城乡接合部生活污水收集设施建设，提升城市生活污水集中收集效能。加快乡镇级污水处理厂建设，补齐污水处理能力短板。</w:t>
                  </w:r>
                </w:p>
                <w:p>
                  <w:pPr>
                    <w:adjustRightInd w:val="0"/>
                    <w:snapToGrid w:val="0"/>
                    <w:ind w:firstLine="412" w:firstLineChars="200"/>
                    <w:rPr>
                      <w:color w:val="auto"/>
                      <w:szCs w:val="21"/>
                    </w:rPr>
                  </w:pPr>
                  <w:r>
                    <w:rPr>
                      <w:rFonts w:hint="eastAsia"/>
                      <w:color w:val="auto"/>
                      <w:szCs w:val="21"/>
                    </w:rPr>
                    <w:t>3.严格排水许可监管，杜绝雨污混接错接，遏制雨水管网违法排污。加强雨水管网运行维护，定期清疏管道污泥。</w:t>
                  </w:r>
                </w:p>
                <w:p>
                  <w:pPr>
                    <w:adjustRightInd w:val="0"/>
                    <w:snapToGrid w:val="0"/>
                    <w:ind w:firstLine="412" w:firstLineChars="200"/>
                    <w:rPr>
                      <w:color w:val="auto"/>
                      <w:szCs w:val="21"/>
                    </w:rPr>
                  </w:pPr>
                  <w:r>
                    <w:rPr>
                      <w:rFonts w:hint="eastAsia"/>
                      <w:color w:val="auto"/>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pPr>
                    <w:adjustRightInd w:val="0"/>
                    <w:snapToGrid w:val="0"/>
                    <w:ind w:firstLine="412" w:firstLineChars="200"/>
                    <w:rPr>
                      <w:color w:val="auto"/>
                      <w:szCs w:val="21"/>
                    </w:rPr>
                  </w:pPr>
                  <w:r>
                    <w:rPr>
                      <w:rFonts w:hint="eastAsia"/>
                      <w:color w:val="auto"/>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pPr>
                    <w:adjustRightInd w:val="0"/>
                    <w:snapToGrid w:val="0"/>
                    <w:ind w:firstLine="412" w:firstLineChars="200"/>
                    <w:rPr>
                      <w:color w:val="auto"/>
                      <w:szCs w:val="21"/>
                    </w:rPr>
                  </w:pPr>
                  <w:r>
                    <w:rPr>
                      <w:rFonts w:hint="eastAsia"/>
                      <w:color w:val="auto"/>
                      <w:szCs w:val="21"/>
                    </w:rPr>
                    <w:t>6.严格执行相关流域和行业水污染物排放标准，对未达到相应排放标准和排放限值的企业实施污水处理设施提升改造。</w:t>
                  </w:r>
                </w:p>
                <w:p>
                  <w:pPr>
                    <w:adjustRightInd w:val="0"/>
                    <w:snapToGrid w:val="0"/>
                    <w:ind w:firstLine="412" w:firstLineChars="200"/>
                    <w:rPr>
                      <w:color w:val="auto"/>
                      <w:szCs w:val="21"/>
                    </w:rPr>
                  </w:pPr>
                  <w:r>
                    <w:rPr>
                      <w:rFonts w:hint="eastAsia"/>
                      <w:color w:val="auto"/>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74" w:type="pct"/>
                  <w:vAlign w:val="center"/>
                </w:tcPr>
                <w:p>
                  <w:pPr>
                    <w:adjustRightInd w:val="0"/>
                    <w:snapToGrid w:val="0"/>
                    <w:jc w:val="center"/>
                    <w:rPr>
                      <w:color w:val="auto"/>
                      <w:szCs w:val="21"/>
                    </w:rPr>
                  </w:pPr>
                  <w:r>
                    <w:rPr>
                      <w:rFonts w:hint="eastAsia"/>
                      <w:color w:val="auto"/>
                      <w:szCs w:val="21"/>
                    </w:rPr>
                    <w:t>本项目生产废水和生活废水经厂区内预处理后排入开发区污水处理厂。</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1.加强监测能力建设，定期开展市、县、乡、农村集中式饮用水水源及南水北调输水工程水质监测。</w:t>
                  </w:r>
                </w:p>
                <w:p>
                  <w:pPr>
                    <w:adjustRightInd w:val="0"/>
                    <w:snapToGrid w:val="0"/>
                    <w:ind w:firstLine="412" w:firstLineChars="200"/>
                    <w:rPr>
                      <w:color w:val="auto"/>
                      <w:szCs w:val="21"/>
                    </w:rPr>
                  </w:pPr>
                  <w:r>
                    <w:rPr>
                      <w:rFonts w:hint="eastAsia"/>
                      <w:color w:val="auto"/>
                      <w:szCs w:val="21"/>
                    </w:rPr>
                    <w:t>2.定期监测入河排污口，对超标排放的进行通报、督办。建设完善监管体制机制，督促各地落实属地监管责任。</w:t>
                  </w:r>
                </w:p>
                <w:p>
                  <w:pPr>
                    <w:adjustRightInd w:val="0"/>
                    <w:snapToGrid w:val="0"/>
                    <w:ind w:firstLine="412" w:firstLineChars="200"/>
                    <w:rPr>
                      <w:color w:val="auto"/>
                      <w:szCs w:val="21"/>
                    </w:rPr>
                  </w:pPr>
                  <w:r>
                    <w:rPr>
                      <w:rFonts w:hint="eastAsia"/>
                      <w:color w:val="auto"/>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pPr>
                    <w:adjustRightInd w:val="0"/>
                    <w:snapToGrid w:val="0"/>
                    <w:ind w:firstLine="412" w:firstLineChars="200"/>
                    <w:rPr>
                      <w:color w:val="auto"/>
                      <w:szCs w:val="21"/>
                    </w:rPr>
                  </w:pPr>
                  <w:r>
                    <w:rPr>
                      <w:rFonts w:hint="eastAsia"/>
                      <w:color w:val="auto"/>
                      <w:szCs w:val="21"/>
                    </w:rPr>
                    <w:t>4.有效防控饮用水水源保护区环境风险。每年对集中式饮用水水源保护区开展基础调查与评估，将可能影响水源水质安全的风险源全部列入档案，加强风险应急防控，建立联防联控应急机制。</w:t>
                  </w:r>
                </w:p>
                <w:p>
                  <w:pPr>
                    <w:adjustRightInd w:val="0"/>
                    <w:snapToGrid w:val="0"/>
                    <w:ind w:firstLine="412" w:firstLineChars="200"/>
                    <w:rPr>
                      <w:color w:val="auto"/>
                      <w:szCs w:val="21"/>
                    </w:rPr>
                  </w:pPr>
                  <w:r>
                    <w:rPr>
                      <w:rFonts w:hint="eastAsia"/>
                      <w:color w:val="auto"/>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74" w:type="pct"/>
                  <w:vAlign w:val="center"/>
                </w:tcPr>
                <w:p>
                  <w:pPr>
                    <w:adjustRightInd w:val="0"/>
                    <w:snapToGrid w:val="0"/>
                    <w:jc w:val="center"/>
                    <w:rPr>
                      <w:color w:val="auto"/>
                      <w:szCs w:val="21"/>
                    </w:rPr>
                  </w:pPr>
                  <w:r>
                    <w:rPr>
                      <w:rFonts w:hint="eastAsia"/>
                      <w:color w:val="auto"/>
                      <w:szCs w:val="21"/>
                    </w:rPr>
                    <w:t>本项目水污染物环境风险主要为危废暂存间储存的废机油发生泄露对周边的地下水环境造成污染，通过新建危废暂存间，可以有效降低此类涉水环境和土壤风险发生的概率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66"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pPr>
                    <w:adjustRightInd w:val="0"/>
                    <w:snapToGrid w:val="0"/>
                    <w:ind w:firstLine="412" w:firstLineChars="200"/>
                    <w:rPr>
                      <w:color w:val="auto"/>
                      <w:szCs w:val="21"/>
                    </w:rPr>
                  </w:pPr>
                  <w:r>
                    <w:rPr>
                      <w:rFonts w:hint="eastAsia"/>
                      <w:color w:val="auto"/>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74" w:type="pct"/>
                  <w:vAlign w:val="center"/>
                </w:tcPr>
                <w:p>
                  <w:pPr>
                    <w:adjustRightInd w:val="0"/>
                    <w:snapToGrid w:val="0"/>
                    <w:jc w:val="center"/>
                    <w:rPr>
                      <w:color w:val="auto"/>
                      <w:szCs w:val="21"/>
                    </w:rPr>
                  </w:pPr>
                  <w:r>
                    <w:rPr>
                      <w:rFonts w:hint="eastAsia"/>
                      <w:color w:val="auto"/>
                      <w:szCs w:val="21"/>
                    </w:rPr>
                    <w:t>不涉及</w:t>
                  </w:r>
                </w:p>
              </w:tc>
            </w:tr>
          </w:tbl>
          <w:p>
            <w:pPr>
              <w:pStyle w:val="5"/>
              <w:adjustRightInd w:val="0"/>
              <w:snapToGrid w:val="0"/>
              <w:spacing w:line="360" w:lineRule="auto"/>
              <w:ind w:firstLine="0"/>
              <w:jc w:val="center"/>
              <w:rPr>
                <w:b/>
                <w:bCs/>
                <w:color w:val="auto"/>
                <w:szCs w:val="24"/>
              </w:rPr>
            </w:pPr>
            <w:r>
              <w:rPr>
                <w:b/>
                <w:bCs/>
                <w:color w:val="auto"/>
                <w:szCs w:val="24"/>
              </w:rPr>
              <w:t>表</w:t>
            </w:r>
            <w:r>
              <w:rPr>
                <w:rFonts w:hint="eastAsia"/>
                <w:b/>
                <w:bCs/>
                <w:color w:val="auto"/>
                <w:szCs w:val="24"/>
              </w:rPr>
              <w:t>1-4</w:t>
            </w:r>
            <w:r>
              <w:rPr>
                <w:b/>
                <w:bCs/>
                <w:color w:val="auto"/>
                <w:szCs w:val="24"/>
              </w:rPr>
              <w:t xml:space="preserve">  本项目与</w:t>
            </w:r>
            <w:r>
              <w:rPr>
                <w:rFonts w:hint="eastAsia"/>
                <w:b/>
                <w:bCs/>
                <w:color w:val="auto"/>
                <w:szCs w:val="24"/>
              </w:rPr>
              <w:t>邯郸市土壤环境总体管控要求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94"/>
              <w:gridCol w:w="154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pPr>
                    <w:adjustRightInd w:val="0"/>
                    <w:snapToGrid w:val="0"/>
                    <w:jc w:val="center"/>
                    <w:rPr>
                      <w:color w:val="auto"/>
                      <w:szCs w:val="21"/>
                    </w:rPr>
                  </w:pPr>
                  <w:r>
                    <w:rPr>
                      <w:rFonts w:hint="eastAsia"/>
                      <w:color w:val="auto"/>
                      <w:szCs w:val="21"/>
                    </w:rPr>
                    <w:t>管控维度</w:t>
                  </w:r>
                </w:p>
              </w:tc>
              <w:tc>
                <w:tcPr>
                  <w:tcW w:w="3458" w:type="pct"/>
                  <w:vAlign w:val="center"/>
                </w:tcPr>
                <w:p>
                  <w:pPr>
                    <w:adjustRightInd w:val="0"/>
                    <w:snapToGrid w:val="0"/>
                    <w:jc w:val="center"/>
                    <w:rPr>
                      <w:color w:val="auto"/>
                      <w:szCs w:val="21"/>
                    </w:rPr>
                  </w:pPr>
                  <w:r>
                    <w:rPr>
                      <w:rFonts w:hint="eastAsia"/>
                      <w:color w:val="auto"/>
                      <w:szCs w:val="21"/>
                    </w:rPr>
                    <w:t>管控要求</w:t>
                  </w:r>
                </w:p>
              </w:tc>
              <w:tc>
                <w:tcPr>
                  <w:tcW w:w="1072"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污染物防控目标</w:t>
                  </w:r>
                </w:p>
              </w:tc>
              <w:tc>
                <w:tcPr>
                  <w:tcW w:w="3458" w:type="pct"/>
                  <w:vAlign w:val="center"/>
                </w:tcPr>
                <w:p>
                  <w:pPr>
                    <w:adjustRightInd w:val="0"/>
                    <w:snapToGrid w:val="0"/>
                    <w:ind w:firstLine="412" w:firstLineChars="200"/>
                    <w:rPr>
                      <w:color w:val="auto"/>
                      <w:szCs w:val="21"/>
                    </w:rPr>
                  </w:pPr>
                  <w:r>
                    <w:rPr>
                      <w:color w:val="auto"/>
                      <w:szCs w:val="21"/>
                    </w:rPr>
                    <w:t>2025年受污染耕地安全利用率达到93%以上，污染地块安全利用率达到93%以上。2035年受污染耕地安全利用率达到97%以上，污染地块安全利用率达到97%以上。</w:t>
                  </w:r>
                </w:p>
              </w:tc>
              <w:tc>
                <w:tcPr>
                  <w:tcW w:w="1072" w:type="pct"/>
                  <w:vAlign w:val="center"/>
                </w:tcPr>
                <w:p>
                  <w:pPr>
                    <w:adjustRightInd w:val="0"/>
                    <w:snapToGrid w:val="0"/>
                    <w:jc w:val="center"/>
                    <w:rPr>
                      <w:color w:val="auto"/>
                      <w:szCs w:val="21"/>
                    </w:rPr>
                  </w:pPr>
                  <w:r>
                    <w:rPr>
                      <w:rFonts w:hint="eastAsia"/>
                      <w:color w:val="auto"/>
                      <w:szCs w:val="21"/>
                    </w:rPr>
                    <w:t>本项目采取严格的防渗措施，对土壤环境造成影响较小</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0" w:type="pct"/>
                  <w:vAlign w:val="center"/>
                </w:tcPr>
                <w:p>
                  <w:pPr>
                    <w:adjustRightInd w:val="0"/>
                    <w:snapToGrid w:val="0"/>
                    <w:jc w:val="center"/>
                    <w:rPr>
                      <w:color w:val="auto"/>
                      <w:szCs w:val="21"/>
                    </w:rPr>
                  </w:pPr>
                  <w:r>
                    <w:rPr>
                      <w:rFonts w:hint="eastAsia"/>
                      <w:color w:val="auto"/>
                      <w:szCs w:val="21"/>
                    </w:rPr>
                    <w:t>空间布局</w:t>
                  </w:r>
                </w:p>
              </w:tc>
              <w:tc>
                <w:tcPr>
                  <w:tcW w:w="3458" w:type="pct"/>
                  <w:vAlign w:val="center"/>
                </w:tcPr>
                <w:p>
                  <w:pPr>
                    <w:adjustRightInd w:val="0"/>
                    <w:snapToGrid w:val="0"/>
                    <w:ind w:firstLine="412" w:firstLineChars="200"/>
                    <w:rPr>
                      <w:color w:val="auto"/>
                      <w:szCs w:val="21"/>
                    </w:rPr>
                  </w:pPr>
                  <w:r>
                    <w:rPr>
                      <w:rFonts w:hint="eastAsia"/>
                      <w:color w:val="auto"/>
                      <w:szCs w:val="21"/>
                    </w:rPr>
                    <w:t>1.在未污染耕地集中区域全面推进高标准农田建设，将符合条件的未污染耕地划入永久基本农田，不得新建有色金属冶炼、石油加工、化工、焦化、电镀、制革、铅蓄电池等可能造成土壤污染的建设项目。</w:t>
                  </w:r>
                </w:p>
                <w:p>
                  <w:pPr>
                    <w:adjustRightInd w:val="0"/>
                    <w:snapToGrid w:val="0"/>
                    <w:ind w:firstLine="412" w:firstLineChars="200"/>
                    <w:rPr>
                      <w:color w:val="auto"/>
                      <w:szCs w:val="21"/>
                    </w:rPr>
                  </w:pPr>
                  <w:r>
                    <w:rPr>
                      <w:rFonts w:hint="eastAsia"/>
                      <w:color w:val="auto"/>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pPr>
                    <w:adjustRightInd w:val="0"/>
                    <w:snapToGrid w:val="0"/>
                    <w:ind w:firstLine="412" w:firstLineChars="200"/>
                    <w:rPr>
                      <w:color w:val="auto"/>
                      <w:szCs w:val="21"/>
                    </w:rPr>
                  </w:pPr>
                  <w:r>
                    <w:rPr>
                      <w:rFonts w:hint="eastAsia"/>
                      <w:color w:val="auto"/>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pPr>
                    <w:adjustRightInd w:val="0"/>
                    <w:snapToGrid w:val="0"/>
                    <w:ind w:firstLine="412" w:firstLineChars="200"/>
                    <w:rPr>
                      <w:color w:val="auto"/>
                      <w:szCs w:val="21"/>
                    </w:rPr>
                  </w:pPr>
                  <w:r>
                    <w:rPr>
                      <w:rFonts w:hint="eastAsia"/>
                      <w:color w:val="auto"/>
                      <w:szCs w:val="21"/>
                    </w:rPr>
                    <w:t>4.推动工业固废综合利用，促进工业固废减量化、资源化。加强塑料污染防控，强化对生产、使用、销售塑料制品单位的监督检查，有序禁止限制部分塑料制品生产、销售、使用。</w:t>
                  </w:r>
                </w:p>
                <w:p>
                  <w:pPr>
                    <w:adjustRightInd w:val="0"/>
                    <w:snapToGrid w:val="0"/>
                    <w:ind w:firstLine="412" w:firstLineChars="200"/>
                    <w:rPr>
                      <w:color w:val="auto"/>
                      <w:szCs w:val="21"/>
                    </w:rPr>
                  </w:pPr>
                  <w:r>
                    <w:rPr>
                      <w:rFonts w:hint="eastAsia"/>
                      <w:color w:val="auto"/>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072" w:type="pct"/>
                  <w:vAlign w:val="center"/>
                </w:tcPr>
                <w:p>
                  <w:pPr>
                    <w:adjustRightInd w:val="0"/>
                    <w:snapToGrid w:val="0"/>
                    <w:jc w:val="center"/>
                    <w:rPr>
                      <w:color w:val="auto"/>
                      <w:szCs w:val="21"/>
                    </w:rPr>
                  </w:pPr>
                  <w:r>
                    <w:rPr>
                      <w:rFonts w:hint="eastAsia"/>
                      <w:color w:val="auto"/>
                      <w:szCs w:val="21"/>
                    </w:rPr>
                    <w:t>本项目位于聚银现有厂区，不属于土壤污染重点监管单位；本项目一般固废综合利用，危废委托有资质单位处置，危废间采取相应防渗措施。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adjustRightInd w:val="0"/>
                    <w:snapToGrid w:val="0"/>
                    <w:jc w:val="center"/>
                    <w:rPr>
                      <w:color w:val="auto"/>
                      <w:szCs w:val="21"/>
                    </w:rPr>
                  </w:pPr>
                  <w:r>
                    <w:rPr>
                      <w:rFonts w:hint="eastAsia"/>
                      <w:color w:val="auto"/>
                      <w:szCs w:val="21"/>
                    </w:rPr>
                    <w:t>污染物排放</w:t>
                  </w:r>
                </w:p>
              </w:tc>
              <w:tc>
                <w:tcPr>
                  <w:tcW w:w="3458" w:type="pct"/>
                  <w:vAlign w:val="center"/>
                </w:tcPr>
                <w:p>
                  <w:pPr>
                    <w:adjustRightInd w:val="0"/>
                    <w:snapToGrid w:val="0"/>
                    <w:ind w:firstLine="412" w:firstLineChars="200"/>
                    <w:rPr>
                      <w:color w:val="auto"/>
                      <w:szCs w:val="21"/>
                    </w:rPr>
                  </w:pPr>
                  <w:r>
                    <w:rPr>
                      <w:rFonts w:hint="eastAsia"/>
                      <w:color w:val="auto"/>
                      <w:szCs w:val="21"/>
                    </w:rPr>
                    <w:t>1.依法加强未污染耕地土壤的保护，未利用地不得污染和破坏，确保优先保护类耕地面积不减少、土壤环境质量不下降。</w:t>
                  </w:r>
                </w:p>
                <w:p>
                  <w:pPr>
                    <w:adjustRightInd w:val="0"/>
                    <w:snapToGrid w:val="0"/>
                    <w:ind w:firstLine="412" w:firstLineChars="200"/>
                    <w:rPr>
                      <w:color w:val="auto"/>
                      <w:szCs w:val="21"/>
                    </w:rPr>
                  </w:pPr>
                  <w:r>
                    <w:rPr>
                      <w:rFonts w:hint="eastAsia"/>
                      <w:color w:val="auto"/>
                      <w:szCs w:val="21"/>
                    </w:rPr>
                    <w:t>2.治理修复优先采取不影响农业生产、不降低土壤生产功能的农艺、生物修复措施，采取措施防止产生二次污染。</w:t>
                  </w:r>
                </w:p>
                <w:p>
                  <w:pPr>
                    <w:adjustRightInd w:val="0"/>
                    <w:snapToGrid w:val="0"/>
                    <w:ind w:firstLine="412" w:firstLineChars="200"/>
                    <w:rPr>
                      <w:color w:val="auto"/>
                      <w:szCs w:val="21"/>
                    </w:rPr>
                  </w:pPr>
                  <w:r>
                    <w:rPr>
                      <w:rFonts w:hint="eastAsia"/>
                      <w:color w:val="auto"/>
                      <w:szCs w:val="21"/>
                    </w:rPr>
                    <w:t>3.严防农业面源污染。持续实施化肥农药减量增效行动，化肥农药使用量持续保持负增长。持续开展耕地周边涉重金属行业企业污染源排查整治，强化耕地土壤污染源头防控。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4.加强企业拆除活动污染防治现场检查，督促企业落实拆除活动污染防治措施。</w:t>
                  </w:r>
                </w:p>
                <w:p>
                  <w:pPr>
                    <w:adjustRightInd w:val="0"/>
                    <w:snapToGrid w:val="0"/>
                    <w:ind w:firstLine="412" w:firstLineChars="200"/>
                    <w:rPr>
                      <w:color w:val="auto"/>
                      <w:szCs w:val="21"/>
                    </w:rPr>
                  </w:pPr>
                  <w:r>
                    <w:rPr>
                      <w:rFonts w:hint="eastAsia"/>
                      <w:color w:val="auto"/>
                      <w:szCs w:val="21"/>
                    </w:rPr>
                    <w:t>5.统筹区域危险废物利用处置能力建设，实现危险废物产生量与利用处置需求的基本匹配。积极推进危险废物环境监管智能监控体系建设，提升危险废物智能化监管水平。</w:t>
                  </w:r>
                </w:p>
                <w:p>
                  <w:pPr>
                    <w:adjustRightInd w:val="0"/>
                    <w:snapToGrid w:val="0"/>
                    <w:ind w:firstLine="412" w:firstLineChars="200"/>
                    <w:rPr>
                      <w:color w:val="auto"/>
                      <w:szCs w:val="21"/>
                    </w:rPr>
                  </w:pPr>
                  <w:r>
                    <w:rPr>
                      <w:rFonts w:hint="eastAsia"/>
                      <w:color w:val="auto"/>
                      <w:szCs w:val="21"/>
                    </w:rPr>
                    <w:t>6.加快城镇(收水范围内)污水处理厂管网覆盖范围内村庄污水管网建设。加强集中式污水处理设施建设。统筹厕所粪污无害化集中处理和生活灰水有效管控。</w:t>
                  </w:r>
                </w:p>
                <w:p>
                  <w:pPr>
                    <w:adjustRightInd w:val="0"/>
                    <w:snapToGrid w:val="0"/>
                    <w:ind w:firstLine="412" w:firstLineChars="200"/>
                    <w:rPr>
                      <w:color w:val="auto"/>
                      <w:szCs w:val="21"/>
                    </w:rPr>
                  </w:pPr>
                  <w:r>
                    <w:rPr>
                      <w:rFonts w:hint="eastAsia"/>
                      <w:color w:val="auto"/>
                      <w:szCs w:val="21"/>
                    </w:rPr>
                    <w:t>7.继续开展10万亩及以上农田灌溉水水质监测，加强监督检查，防止未经处理或达不到农田灌溉水质标准的废(污)水进入农田灌溉系统。</w:t>
                  </w:r>
                </w:p>
              </w:tc>
              <w:tc>
                <w:tcPr>
                  <w:tcW w:w="1072" w:type="pct"/>
                  <w:vAlign w:val="center"/>
                </w:tcPr>
                <w:p>
                  <w:pPr>
                    <w:adjustRightInd w:val="0"/>
                    <w:snapToGrid w:val="0"/>
                    <w:jc w:val="center"/>
                    <w:rPr>
                      <w:color w:val="auto"/>
                      <w:szCs w:val="21"/>
                    </w:rPr>
                  </w:pPr>
                  <w:r>
                    <w:rPr>
                      <w:rFonts w:hint="eastAsia"/>
                      <w:color w:val="auto"/>
                      <w:szCs w:val="21"/>
                    </w:rPr>
                    <w:t>本项目车间地面和危废间采取严格的防渗措施，对土壤环境造成影响较小</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环境风险防控</w:t>
                  </w:r>
                </w:p>
              </w:tc>
              <w:tc>
                <w:tcPr>
                  <w:tcW w:w="3458" w:type="pct"/>
                  <w:vAlign w:val="center"/>
                </w:tcPr>
                <w:p>
                  <w:pPr>
                    <w:adjustRightInd w:val="0"/>
                    <w:snapToGrid w:val="0"/>
                    <w:ind w:firstLine="412" w:firstLineChars="200"/>
                    <w:rPr>
                      <w:color w:val="auto"/>
                      <w:szCs w:val="21"/>
                    </w:rPr>
                  </w:pPr>
                  <w:r>
                    <w:rPr>
                      <w:rFonts w:hint="eastAsia"/>
                      <w:color w:val="auto"/>
                      <w:szCs w:val="21"/>
                    </w:rPr>
                    <w:t>1.纳入全国污染地块土壤环境管理信息系统的地块，应按照国家有关环境标准和技术规范开展土壤污染状况调查、评估、风险管控或修复。土壤环境质量符合用地规划要求后，方可进入用地程序。</w:t>
                  </w:r>
                </w:p>
                <w:p>
                  <w:pPr>
                    <w:adjustRightInd w:val="0"/>
                    <w:snapToGrid w:val="0"/>
                    <w:ind w:firstLine="412" w:firstLineChars="200"/>
                    <w:rPr>
                      <w:color w:val="auto"/>
                      <w:szCs w:val="21"/>
                    </w:rPr>
                  </w:pPr>
                  <w:r>
                    <w:rPr>
                      <w:rFonts w:hint="eastAsia"/>
                      <w:color w:val="auto"/>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pPr>
                    <w:adjustRightInd w:val="0"/>
                    <w:snapToGrid w:val="0"/>
                    <w:ind w:firstLine="412" w:firstLineChars="200"/>
                    <w:rPr>
                      <w:color w:val="auto"/>
                      <w:szCs w:val="21"/>
                    </w:rPr>
                  </w:pPr>
                  <w:r>
                    <w:rPr>
                      <w:rFonts w:hint="eastAsia"/>
                      <w:color w:val="auto"/>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072" w:type="pct"/>
                  <w:vAlign w:val="center"/>
                </w:tcPr>
                <w:p>
                  <w:pPr>
                    <w:adjustRightInd w:val="0"/>
                    <w:snapToGrid w:val="0"/>
                    <w:jc w:val="center"/>
                    <w:rPr>
                      <w:color w:val="auto"/>
                      <w:szCs w:val="21"/>
                    </w:rPr>
                  </w:pPr>
                  <w:r>
                    <w:rPr>
                      <w:rFonts w:hint="eastAsia"/>
                      <w:color w:val="auto"/>
                      <w:szCs w:val="21"/>
                    </w:rPr>
                    <w:t>本项目水污染物环境风险主要为危废暂存间储存的废机油发生泄露对周边的土壤和地下水环境造成污染，通过新建危废暂存间，，可以有效降低此类涉土壤和水环境风险发生的概率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auto"/>
                      <w:szCs w:val="21"/>
                    </w:rPr>
                  </w:pPr>
                  <w:r>
                    <w:rPr>
                      <w:rFonts w:hint="eastAsia"/>
                      <w:color w:val="auto"/>
                      <w:szCs w:val="21"/>
                    </w:rPr>
                    <w:t>资源开发利用</w:t>
                  </w:r>
                </w:p>
              </w:tc>
              <w:tc>
                <w:tcPr>
                  <w:tcW w:w="3458" w:type="pct"/>
                  <w:vAlign w:val="center"/>
                </w:tcPr>
                <w:p>
                  <w:pPr>
                    <w:adjustRightInd w:val="0"/>
                    <w:snapToGrid w:val="0"/>
                    <w:ind w:firstLine="412" w:firstLineChars="200"/>
                    <w:rPr>
                      <w:color w:val="auto"/>
                      <w:szCs w:val="21"/>
                    </w:rPr>
                  </w:pPr>
                  <w:r>
                    <w:rPr>
                      <w:rFonts w:hint="eastAsia"/>
                      <w:color w:val="auto"/>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pPr>
                    <w:adjustRightInd w:val="0"/>
                    <w:snapToGrid w:val="0"/>
                    <w:ind w:firstLine="412" w:firstLineChars="200"/>
                    <w:rPr>
                      <w:color w:val="auto"/>
                      <w:szCs w:val="21"/>
                    </w:rPr>
                  </w:pPr>
                  <w:r>
                    <w:rPr>
                      <w:rFonts w:hint="eastAsia"/>
                      <w:color w:val="auto"/>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pPr>
                    <w:adjustRightInd w:val="0"/>
                    <w:snapToGrid w:val="0"/>
                    <w:ind w:firstLine="412" w:firstLineChars="200"/>
                    <w:rPr>
                      <w:color w:val="auto"/>
                      <w:szCs w:val="21"/>
                    </w:rPr>
                  </w:pPr>
                  <w:r>
                    <w:rPr>
                      <w:rFonts w:hint="eastAsia"/>
                      <w:color w:val="auto"/>
                      <w:szCs w:val="21"/>
                    </w:rPr>
                    <w:t>3.支持固体废物综合利用项目建设，提高大宗固体废物综合利用效率和水平，加快补齐危险废物处理短板。</w:t>
                  </w:r>
                </w:p>
              </w:tc>
              <w:tc>
                <w:tcPr>
                  <w:tcW w:w="1072" w:type="pct"/>
                  <w:vAlign w:val="center"/>
                </w:tcPr>
                <w:p>
                  <w:pPr>
                    <w:adjustRightInd w:val="0"/>
                    <w:snapToGrid w:val="0"/>
                    <w:jc w:val="center"/>
                    <w:rPr>
                      <w:color w:val="auto"/>
                      <w:szCs w:val="21"/>
                    </w:rPr>
                  </w:pPr>
                  <w:r>
                    <w:rPr>
                      <w:rFonts w:hint="eastAsia"/>
                      <w:color w:val="auto"/>
                      <w:szCs w:val="21"/>
                    </w:rPr>
                    <w:t>不涉及</w:t>
                  </w:r>
                </w:p>
              </w:tc>
            </w:tr>
          </w:tbl>
          <w:p>
            <w:pPr>
              <w:pStyle w:val="5"/>
              <w:adjustRightInd w:val="0"/>
              <w:snapToGrid w:val="0"/>
              <w:spacing w:line="360" w:lineRule="auto"/>
              <w:ind w:firstLine="482"/>
              <w:jc w:val="center"/>
              <w:rPr>
                <w:b/>
                <w:bCs/>
                <w:color w:val="auto"/>
                <w:szCs w:val="24"/>
              </w:rPr>
            </w:pPr>
            <w:r>
              <w:rPr>
                <w:b/>
                <w:bCs/>
                <w:color w:val="auto"/>
                <w:szCs w:val="24"/>
              </w:rPr>
              <w:t>表</w:t>
            </w:r>
            <w:r>
              <w:rPr>
                <w:rFonts w:hint="eastAsia"/>
                <w:b/>
                <w:bCs/>
                <w:color w:val="auto"/>
                <w:szCs w:val="24"/>
              </w:rPr>
              <w:t>1-5</w:t>
            </w:r>
            <w:r>
              <w:rPr>
                <w:b/>
                <w:bCs/>
                <w:color w:val="auto"/>
                <w:szCs w:val="24"/>
              </w:rPr>
              <w:t xml:space="preserve"> 本项目与</w:t>
            </w:r>
            <w:r>
              <w:rPr>
                <w:rFonts w:hint="eastAsia"/>
                <w:b/>
                <w:bCs/>
                <w:color w:val="auto"/>
                <w:szCs w:val="24"/>
              </w:rPr>
              <w:t>邯郸市资源利用总体管控要求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18"/>
              <w:gridCol w:w="4373"/>
              <w:gridCol w:w="115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adjustRightInd w:val="0"/>
                    <w:snapToGrid w:val="0"/>
                    <w:jc w:val="center"/>
                    <w:rPr>
                      <w:color w:val="auto"/>
                      <w:szCs w:val="21"/>
                    </w:rPr>
                  </w:pPr>
                  <w:r>
                    <w:rPr>
                      <w:rFonts w:hint="eastAsia"/>
                      <w:color w:val="auto"/>
                      <w:szCs w:val="21"/>
                    </w:rPr>
                    <w:t>属性</w:t>
                  </w:r>
                </w:p>
              </w:tc>
              <w:tc>
                <w:tcPr>
                  <w:tcW w:w="3732" w:type="pct"/>
                  <w:gridSpan w:val="2"/>
                  <w:vAlign w:val="center"/>
                </w:tcPr>
                <w:p>
                  <w:pPr>
                    <w:adjustRightInd w:val="0"/>
                    <w:snapToGrid w:val="0"/>
                    <w:jc w:val="center"/>
                    <w:rPr>
                      <w:color w:val="auto"/>
                      <w:szCs w:val="21"/>
                    </w:rPr>
                  </w:pPr>
                  <w:r>
                    <w:rPr>
                      <w:rFonts w:hint="eastAsia"/>
                      <w:color w:val="auto"/>
                      <w:szCs w:val="21"/>
                    </w:rPr>
                    <w:t>管控要求</w:t>
                  </w:r>
                </w:p>
              </w:tc>
              <w:tc>
                <w:tcPr>
                  <w:tcW w:w="801"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水资源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2025年水资源利用总量22.30亿立方米以下，其中地下水取水量10.04亿立方米以下；2035年水资源利用总量23.63亿立方米以下，其中地下水取水量9.67亿立方米以下。</w:t>
                  </w:r>
                </w:p>
              </w:tc>
              <w:tc>
                <w:tcPr>
                  <w:tcW w:w="801" w:type="pct"/>
                  <w:vAlign w:val="center"/>
                </w:tcPr>
                <w:p>
                  <w:pPr>
                    <w:adjustRightInd w:val="0"/>
                    <w:snapToGrid w:val="0"/>
                    <w:jc w:val="center"/>
                    <w:rPr>
                      <w:color w:val="auto"/>
                      <w:szCs w:val="21"/>
                    </w:rPr>
                  </w:pPr>
                  <w:r>
                    <w:rPr>
                      <w:rFonts w:hint="eastAsia"/>
                      <w:color w:val="auto"/>
                      <w:szCs w:val="21"/>
                    </w:rPr>
                    <w:t>本项目用水</w:t>
                  </w:r>
                  <w:r>
                    <w:rPr>
                      <w:color w:val="auto"/>
                    </w:rPr>
                    <w:t>由</w:t>
                  </w:r>
                  <w:r>
                    <w:rPr>
                      <w:rFonts w:hint="eastAsia"/>
                      <w:color w:val="auto"/>
                    </w:rPr>
                    <w:t>园区</w:t>
                  </w:r>
                  <w:r>
                    <w:rPr>
                      <w:color w:val="auto"/>
                    </w:rPr>
                    <w:t>供水管网提供</w:t>
                  </w:r>
                  <w:r>
                    <w:rPr>
                      <w:rFonts w:hint="eastAsia"/>
                      <w:color w:val="auto"/>
                      <w:szCs w:val="21"/>
                    </w:rPr>
                    <w:t>，不取用地下水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1.强化地下水禁采限采管理。在地下水禁采区，除临时应急供水和无替代水源的农村地区少量分散生活用水外，严禁取用地下水，已有的要限期关闭；在地下水限采区，一律不新增地下水开采量。</w:t>
                  </w:r>
                </w:p>
                <w:p>
                  <w:pPr>
                    <w:adjustRightInd w:val="0"/>
                    <w:snapToGrid w:val="0"/>
                    <w:ind w:firstLine="412" w:firstLineChars="200"/>
                    <w:jc w:val="left"/>
                    <w:rPr>
                      <w:color w:val="auto"/>
                      <w:szCs w:val="21"/>
                    </w:rPr>
                  </w:pPr>
                  <w:r>
                    <w:rPr>
                      <w:rFonts w:hint="eastAsia"/>
                      <w:color w:val="auto"/>
                      <w:szCs w:val="21"/>
                    </w:rPr>
                    <w:t>2.在利用地表水灌溉水源有保障的区域和退耕实施雨养旱作的区域，对农业灌溉机井实施封填；在深层承压水漏斗区，对农业灌溉取用深层承压水的机井有计划予以关停。</w:t>
                  </w:r>
                </w:p>
                <w:p>
                  <w:pPr>
                    <w:adjustRightInd w:val="0"/>
                    <w:snapToGrid w:val="0"/>
                    <w:ind w:firstLine="412" w:firstLineChars="200"/>
                    <w:jc w:val="left"/>
                    <w:rPr>
                      <w:color w:val="auto"/>
                      <w:szCs w:val="21"/>
                    </w:rPr>
                  </w:pPr>
                  <w:r>
                    <w:rPr>
                      <w:rFonts w:hint="eastAsia"/>
                      <w:color w:val="auto"/>
                      <w:szCs w:val="21"/>
                    </w:rPr>
                    <w:t>3.实行严格的产业准入制度，对地下水超采地区，严把取水许可关口，不得新建扩建高耗水项目。</w:t>
                  </w:r>
                </w:p>
                <w:p>
                  <w:pPr>
                    <w:adjustRightInd w:val="0"/>
                    <w:snapToGrid w:val="0"/>
                    <w:ind w:firstLine="412" w:firstLineChars="200"/>
                    <w:jc w:val="left"/>
                    <w:rPr>
                      <w:color w:val="auto"/>
                      <w:szCs w:val="21"/>
                    </w:rPr>
                  </w:pPr>
                  <w:r>
                    <w:rPr>
                      <w:rFonts w:hint="eastAsia"/>
                      <w:color w:val="auto"/>
                      <w:szCs w:val="21"/>
                    </w:rPr>
                    <w:t>4.加快城镇供水水源置换。充分利用当地水和外调水，加快配套供水工程建设，加大水源切换力度，强制性关闭自备井，有效压减城镇生活和工业地下水开采量。</w:t>
                  </w:r>
                </w:p>
                <w:p>
                  <w:pPr>
                    <w:adjustRightInd w:val="0"/>
                    <w:snapToGrid w:val="0"/>
                    <w:ind w:firstLine="412" w:firstLineChars="200"/>
                    <w:jc w:val="left"/>
                    <w:rPr>
                      <w:color w:val="auto"/>
                      <w:szCs w:val="21"/>
                    </w:rPr>
                  </w:pPr>
                  <w:r>
                    <w:rPr>
                      <w:rFonts w:hint="eastAsia"/>
                      <w:color w:val="auto"/>
                      <w:szCs w:val="21"/>
                    </w:rPr>
                    <w:t>5.地下水禁止开采区、限制开采区的农、林、牧、渔业和制造业、电力、热水、燃气及水生产和供应业，取用地下水要求严格按照《河北省新增限制和淘汰类产业目录（2015 年版）》中要求执行。</w:t>
                  </w:r>
                </w:p>
              </w:tc>
              <w:tc>
                <w:tcPr>
                  <w:tcW w:w="801" w:type="pct"/>
                  <w:vAlign w:val="center"/>
                </w:tcPr>
                <w:p>
                  <w:pPr>
                    <w:adjustRightInd w:val="0"/>
                    <w:snapToGrid w:val="0"/>
                    <w:jc w:val="center"/>
                    <w:rPr>
                      <w:color w:val="auto"/>
                      <w:szCs w:val="21"/>
                    </w:rPr>
                  </w:pPr>
                  <w:r>
                    <w:rPr>
                      <w:rFonts w:hint="eastAsia"/>
                      <w:color w:val="auto"/>
                      <w:szCs w:val="21"/>
                    </w:rPr>
                    <w:t>本项目不开采地下水，不会对当地地下水资源使用造成损失</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能源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2025年能源消费总量为5032万吨标准煤；2035年能源消费总量为6134万吨标准煤。</w:t>
                  </w:r>
                </w:p>
              </w:tc>
              <w:tc>
                <w:tcPr>
                  <w:tcW w:w="801" w:type="pct"/>
                  <w:vMerge w:val="restart"/>
                  <w:vAlign w:val="center"/>
                </w:tcPr>
                <w:p>
                  <w:pPr>
                    <w:adjustRightInd w:val="0"/>
                    <w:snapToGrid w:val="0"/>
                    <w:jc w:val="center"/>
                    <w:rPr>
                      <w:color w:val="auto"/>
                      <w:szCs w:val="21"/>
                    </w:rPr>
                  </w:pPr>
                  <w:r>
                    <w:rPr>
                      <w:rFonts w:hint="eastAsia"/>
                      <w:color w:val="auto"/>
                      <w:szCs w:val="21"/>
                    </w:rPr>
                    <w:t>本项目不使用煤炭</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1.采取措施，调整能源结构，推广清洁能源的生产和使用；优化煤炭使用方式，推广煤炭清洁高效利用，逐步降低煤炭在一次能源消费中的比重，减少煤炭生产、使用、转化过程中的大气污染物排放。</w:t>
                  </w:r>
                </w:p>
                <w:p>
                  <w:pPr>
                    <w:adjustRightInd w:val="0"/>
                    <w:snapToGrid w:val="0"/>
                    <w:ind w:firstLine="412" w:firstLineChars="200"/>
                    <w:jc w:val="left"/>
                    <w:rPr>
                      <w:color w:val="auto"/>
                      <w:szCs w:val="21"/>
                    </w:rPr>
                  </w:pPr>
                  <w:r>
                    <w:rPr>
                      <w:rFonts w:hint="eastAsia"/>
                      <w:color w:val="auto"/>
                      <w:szCs w:val="21"/>
                    </w:rPr>
                    <w:t>2.国家推行煤炭洗选加工，降低煤炭的硫分和灰分，限制高硫分、高灰分煤炭的开采。禁止开采含放射性和砷等有毒有害物质超过规定标准的煤炭。</w:t>
                  </w:r>
                </w:p>
                <w:p>
                  <w:pPr>
                    <w:adjustRightInd w:val="0"/>
                    <w:snapToGrid w:val="0"/>
                    <w:ind w:firstLine="412" w:firstLineChars="200"/>
                    <w:jc w:val="left"/>
                    <w:rPr>
                      <w:color w:val="auto"/>
                      <w:szCs w:val="21"/>
                    </w:rPr>
                  </w:pPr>
                  <w:r>
                    <w:rPr>
                      <w:rFonts w:hint="eastAsia"/>
                      <w:color w:val="auto"/>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w:t>
                  </w:r>
                </w:p>
                <w:p>
                  <w:pPr>
                    <w:adjustRightInd w:val="0"/>
                    <w:snapToGrid w:val="0"/>
                    <w:ind w:firstLine="412" w:firstLineChars="200"/>
                    <w:jc w:val="left"/>
                    <w:rPr>
                      <w:color w:val="auto"/>
                      <w:szCs w:val="21"/>
                    </w:rPr>
                  </w:pPr>
                  <w:r>
                    <w:rPr>
                      <w:rFonts w:hint="eastAsia"/>
                      <w:color w:val="auto"/>
                      <w:szCs w:val="21"/>
                    </w:rPr>
                    <w:t>4.对新增耗煤项目实施等(减)量替代。</w:t>
                  </w:r>
                </w:p>
                <w:p>
                  <w:pPr>
                    <w:adjustRightInd w:val="0"/>
                    <w:snapToGrid w:val="0"/>
                    <w:ind w:firstLine="412" w:firstLineChars="200"/>
                    <w:jc w:val="left"/>
                    <w:rPr>
                      <w:color w:val="auto"/>
                      <w:szCs w:val="21"/>
                    </w:rPr>
                  </w:pPr>
                  <w:r>
                    <w:rPr>
                      <w:rFonts w:hint="eastAsia"/>
                      <w:color w:val="auto"/>
                      <w:szCs w:val="21"/>
                    </w:rPr>
                    <w:t>5.平原地区农村全部完成生活和冬季取暖散煤替代，实现散煤动态清零。</w:t>
                  </w:r>
                </w:p>
              </w:tc>
              <w:tc>
                <w:tcPr>
                  <w:tcW w:w="80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color w:val="auto"/>
                      <w:szCs w:val="21"/>
                    </w:rPr>
                  </w:pPr>
                  <w:r>
                    <w:rPr>
                      <w:rFonts w:hint="eastAsia"/>
                      <w:color w:val="auto"/>
                      <w:szCs w:val="21"/>
                    </w:rPr>
                    <w:t>土地资源</w:t>
                  </w:r>
                </w:p>
              </w:tc>
              <w:tc>
                <w:tcPr>
                  <w:tcW w:w="705" w:type="pct"/>
                  <w:vAlign w:val="center"/>
                </w:tcPr>
                <w:p>
                  <w:pPr>
                    <w:adjustRightInd w:val="0"/>
                    <w:snapToGrid w:val="0"/>
                    <w:jc w:val="center"/>
                    <w:rPr>
                      <w:color w:val="auto"/>
                      <w:szCs w:val="21"/>
                    </w:rPr>
                  </w:pPr>
                  <w:r>
                    <w:rPr>
                      <w:rFonts w:hint="eastAsia"/>
                      <w:color w:val="auto"/>
                      <w:szCs w:val="21"/>
                    </w:rPr>
                    <w:t>总量和强度要求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2025年邯郸市耕地保有量603300公顷，永久基本农田保护面积504150公顷，建设用地总规模464467公顷，林地保有量259400公顷；2035年邯郸市耕地保有量603300公顷，永久基本农田保护面积504150公顷，建设用地总规模502388公顷，林地保有量276300公顷。</w:t>
                  </w:r>
                </w:p>
              </w:tc>
              <w:tc>
                <w:tcPr>
                  <w:tcW w:w="801" w:type="pct"/>
                  <w:vMerge w:val="restart"/>
                  <w:vAlign w:val="center"/>
                </w:tcPr>
                <w:p>
                  <w:pPr>
                    <w:adjustRightInd w:val="0"/>
                    <w:snapToGrid w:val="0"/>
                    <w:jc w:val="center"/>
                    <w:rPr>
                      <w:color w:val="auto"/>
                      <w:szCs w:val="21"/>
                    </w:rPr>
                  </w:pPr>
                  <w:r>
                    <w:rPr>
                      <w:rFonts w:hint="eastAsia"/>
                      <w:color w:val="auto"/>
                      <w:szCs w:val="21"/>
                    </w:rPr>
                    <w:t>本项目位于聚银现有厂区内，不新增占地</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color w:val="auto"/>
                      <w:szCs w:val="21"/>
                    </w:rPr>
                  </w:pPr>
                </w:p>
              </w:tc>
              <w:tc>
                <w:tcPr>
                  <w:tcW w:w="705" w:type="pct"/>
                  <w:vAlign w:val="center"/>
                </w:tcPr>
                <w:p>
                  <w:pPr>
                    <w:adjustRightInd w:val="0"/>
                    <w:snapToGrid w:val="0"/>
                    <w:jc w:val="center"/>
                    <w:rPr>
                      <w:color w:val="auto"/>
                      <w:szCs w:val="21"/>
                    </w:rPr>
                  </w:pPr>
                  <w:r>
                    <w:rPr>
                      <w:rFonts w:hint="eastAsia"/>
                      <w:color w:val="auto"/>
                      <w:szCs w:val="21"/>
                    </w:rPr>
                    <w:t>管控要求</w:t>
                  </w:r>
                </w:p>
              </w:tc>
              <w:tc>
                <w:tcPr>
                  <w:tcW w:w="3026" w:type="pct"/>
                  <w:vAlign w:val="center"/>
                </w:tcPr>
                <w:p>
                  <w:pPr>
                    <w:adjustRightInd w:val="0"/>
                    <w:snapToGrid w:val="0"/>
                    <w:ind w:firstLine="412" w:firstLineChars="200"/>
                    <w:jc w:val="left"/>
                    <w:rPr>
                      <w:color w:val="auto"/>
                      <w:szCs w:val="21"/>
                    </w:rPr>
                  </w:pPr>
                  <w:r>
                    <w:rPr>
                      <w:rFonts w:hint="eastAsia"/>
                      <w:color w:val="auto"/>
                      <w:szCs w:val="21"/>
                    </w:rPr>
                    <w:t>1.国家保护耕地，严格控制耕地转为非耕地。国家实行占用耕地补偿制度。</w:t>
                  </w:r>
                </w:p>
                <w:p>
                  <w:pPr>
                    <w:adjustRightInd w:val="0"/>
                    <w:snapToGrid w:val="0"/>
                    <w:ind w:firstLine="412" w:firstLineChars="200"/>
                    <w:jc w:val="left"/>
                    <w:rPr>
                      <w:color w:val="auto"/>
                      <w:szCs w:val="21"/>
                    </w:rPr>
                  </w:pPr>
                  <w:r>
                    <w:rPr>
                      <w:rFonts w:hint="eastAsia"/>
                      <w:color w:val="auto"/>
                      <w:szCs w:val="21"/>
                    </w:rPr>
                    <w:t>2.禁止占用耕地建窑、建坟或者擅自在耕地上建房、挖砂、采石、采矿、取土等。禁止占用永久基本农田发展林果业和挖塘养鱼。</w:t>
                  </w:r>
                </w:p>
                <w:p>
                  <w:pPr>
                    <w:adjustRightInd w:val="0"/>
                    <w:snapToGrid w:val="0"/>
                    <w:ind w:firstLine="412" w:firstLineChars="200"/>
                    <w:jc w:val="left"/>
                    <w:rPr>
                      <w:color w:val="auto"/>
                      <w:szCs w:val="21"/>
                    </w:rPr>
                  </w:pPr>
                  <w:r>
                    <w:rPr>
                      <w:rFonts w:hint="eastAsia"/>
                      <w:color w:val="auto"/>
                      <w:szCs w:val="21"/>
                    </w:rPr>
                    <w:t>3.建设占用土地，涉及农用地转为建设用地的，应当办理农用地转用审批手续。</w:t>
                  </w:r>
                </w:p>
              </w:tc>
              <w:tc>
                <w:tcPr>
                  <w:tcW w:w="801" w:type="pct"/>
                  <w:vMerge w:val="continue"/>
                  <w:vAlign w:val="center"/>
                </w:tcPr>
                <w:p>
                  <w:pPr>
                    <w:adjustRightInd w:val="0"/>
                    <w:snapToGrid w:val="0"/>
                    <w:jc w:val="center"/>
                    <w:rPr>
                      <w:color w:val="auto"/>
                      <w:szCs w:val="21"/>
                    </w:rPr>
                  </w:pPr>
                </w:p>
              </w:tc>
            </w:tr>
          </w:tbl>
          <w:p>
            <w:pPr>
              <w:pStyle w:val="5"/>
              <w:adjustRightInd w:val="0"/>
              <w:snapToGrid w:val="0"/>
              <w:ind w:firstLine="482"/>
              <w:jc w:val="center"/>
              <w:rPr>
                <w:b/>
                <w:bCs/>
                <w:color w:val="auto"/>
                <w:szCs w:val="24"/>
              </w:rPr>
            </w:pPr>
            <w:r>
              <w:rPr>
                <w:b/>
                <w:bCs/>
                <w:color w:val="auto"/>
                <w:szCs w:val="24"/>
              </w:rPr>
              <w:t>表</w:t>
            </w:r>
            <w:r>
              <w:rPr>
                <w:rFonts w:hint="eastAsia"/>
                <w:b/>
                <w:bCs/>
                <w:color w:val="auto"/>
                <w:szCs w:val="24"/>
              </w:rPr>
              <w:t>1-6</w:t>
            </w:r>
            <w:r>
              <w:rPr>
                <w:b/>
                <w:bCs/>
                <w:color w:val="auto"/>
                <w:szCs w:val="24"/>
              </w:rPr>
              <w:t xml:space="preserve"> 本项目与</w:t>
            </w:r>
            <w:r>
              <w:rPr>
                <w:rFonts w:hint="eastAsia"/>
                <w:b/>
                <w:bCs/>
                <w:color w:val="auto"/>
                <w:szCs w:val="24"/>
              </w:rPr>
              <w:t>邯郸市产业布局总体管控要求</w:t>
            </w:r>
            <w:r>
              <w:rPr>
                <w:b/>
                <w:bCs/>
                <w:color w:val="auto"/>
                <w:szCs w:val="24"/>
              </w:rPr>
              <w:t>符合性一览表</w:t>
            </w:r>
          </w:p>
          <w:tbl>
            <w:tblPr>
              <w:tblStyle w:val="19"/>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14"/>
              <w:gridCol w:w="113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w:t>
                  </w:r>
                </w:p>
              </w:tc>
              <w:tc>
                <w:tcPr>
                  <w:tcW w:w="3747" w:type="pct"/>
                  <w:vAlign w:val="center"/>
                </w:tcPr>
                <w:p>
                  <w:pPr>
                    <w:adjustRightInd w:val="0"/>
                    <w:snapToGrid w:val="0"/>
                    <w:jc w:val="center"/>
                    <w:rPr>
                      <w:color w:val="auto"/>
                      <w:szCs w:val="21"/>
                    </w:rPr>
                  </w:pPr>
                  <w:r>
                    <w:rPr>
                      <w:rFonts w:hint="eastAsia"/>
                      <w:color w:val="auto"/>
                      <w:szCs w:val="21"/>
                    </w:rPr>
                    <w:t>管控要求</w:t>
                  </w:r>
                </w:p>
              </w:tc>
              <w:tc>
                <w:tcPr>
                  <w:tcW w:w="784" w:type="pct"/>
                  <w:vAlign w:val="center"/>
                </w:tcPr>
                <w:p>
                  <w:pPr>
                    <w:adjustRightInd w:val="0"/>
                    <w:snapToGrid w:val="0"/>
                    <w:jc w:val="center"/>
                    <w:rPr>
                      <w:color w:val="auto"/>
                      <w:szCs w:val="21"/>
                    </w:rPr>
                  </w:pPr>
                  <w:r>
                    <w:rPr>
                      <w:rFonts w:hint="eastAsia"/>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产业布局总体要求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严把项目准入关。严格落实生态保护红线、环境质量底线、资源利用上线、环境准入清单和产业准入政策，严格落实钢铁、水泥、平板玻璃等行业产能置换政策，严禁新增钢铁、焦化、铸造、水泥和平板玻璃等产能，禁止新增化工收水范围内。</w:t>
                  </w:r>
                </w:p>
                <w:p>
                  <w:pPr>
                    <w:adjustRightInd w:val="0"/>
                    <w:snapToGrid w:val="0"/>
                    <w:ind w:firstLine="412" w:firstLineChars="200"/>
                    <w:jc w:val="left"/>
                    <w:rPr>
                      <w:color w:val="auto"/>
                      <w:szCs w:val="21"/>
                    </w:rPr>
                  </w:pPr>
                  <w:r>
                    <w:rPr>
                      <w:rFonts w:hint="eastAsia"/>
                      <w:color w:val="auto"/>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pPr>
                    <w:adjustRightInd w:val="0"/>
                    <w:snapToGrid w:val="0"/>
                    <w:ind w:firstLine="412" w:firstLineChars="200"/>
                    <w:jc w:val="left"/>
                    <w:rPr>
                      <w:color w:val="auto"/>
                      <w:szCs w:val="21"/>
                    </w:rPr>
                  </w:pPr>
                  <w:r>
                    <w:rPr>
                      <w:rFonts w:hint="eastAsia"/>
                      <w:color w:val="auto"/>
                      <w:szCs w:val="21"/>
                    </w:rPr>
                    <w:t>3.加快调整不符合生态环境功能定位的产业布局、产业规模和产业结构，明确禁止和限制发展的行业、生产工艺和产业目录。修订完善高能耗、高污染和资源型行业准入条件，制订更严格的产业准入门槛。</w:t>
                  </w:r>
                </w:p>
                <w:p>
                  <w:pPr>
                    <w:adjustRightInd w:val="0"/>
                    <w:snapToGrid w:val="0"/>
                    <w:ind w:firstLine="412" w:firstLineChars="200"/>
                    <w:jc w:val="left"/>
                    <w:rPr>
                      <w:color w:val="auto"/>
                      <w:szCs w:val="21"/>
                    </w:rPr>
                  </w:pPr>
                  <w:r>
                    <w:rPr>
                      <w:rFonts w:hint="eastAsia"/>
                      <w:color w:val="auto"/>
                      <w:szCs w:val="21"/>
                    </w:rPr>
                    <w:t>4.通过整合重组、退城进园、转型升级，在全市打造“3+3”钢铁产业格局。</w:t>
                  </w:r>
                </w:p>
              </w:tc>
              <w:tc>
                <w:tcPr>
                  <w:tcW w:w="784" w:type="pc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本项目为高低压电力设备制造项目，租赁河北聚银企业管理服务有限公司设备制造区C厂区，用地性质属于工业用地，不属于限制类活动，符合空间布局要求</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auto"/>
                      <w:szCs w:val="21"/>
                    </w:rPr>
                  </w:pPr>
                  <w:r>
                    <w:rPr>
                      <w:rFonts w:hint="eastAsia"/>
                      <w:color w:val="auto"/>
                      <w:szCs w:val="21"/>
                    </w:rPr>
                    <w:t>项目入园准入要求</w:t>
                  </w:r>
                </w:p>
              </w:tc>
              <w:tc>
                <w:tcPr>
                  <w:tcW w:w="3747" w:type="pct"/>
                  <w:vAlign w:val="center"/>
                </w:tcPr>
                <w:p>
                  <w:pPr>
                    <w:adjustRightInd w:val="0"/>
                    <w:snapToGrid w:val="0"/>
                    <w:ind w:firstLine="412" w:firstLineChars="200"/>
                    <w:jc w:val="left"/>
                    <w:rPr>
                      <w:color w:val="auto"/>
                      <w:szCs w:val="21"/>
                    </w:rPr>
                  </w:pPr>
                  <w:r>
                    <w:rPr>
                      <w:rFonts w:hint="eastAsia"/>
                      <w:color w:val="auto"/>
                      <w:szCs w:val="21"/>
                    </w:rPr>
                    <w:t>1.造纸、焦化、氮肥、有色金属、印染、农副食品加工、原料药制造、皮革、农药、电镀、钢铁、水泥、平板玻璃、石灰、石化、化工等高污染工业项目必须入园进区，其他工业项目原则上也不在收水范围内外布局。</w:t>
                  </w:r>
                </w:p>
                <w:p>
                  <w:pPr>
                    <w:adjustRightInd w:val="0"/>
                    <w:snapToGrid w:val="0"/>
                    <w:ind w:firstLine="412" w:firstLineChars="200"/>
                    <w:jc w:val="left"/>
                    <w:rPr>
                      <w:color w:val="auto"/>
                      <w:szCs w:val="21"/>
                    </w:rPr>
                  </w:pPr>
                  <w:r>
                    <w:rPr>
                      <w:rFonts w:hint="eastAsia"/>
                      <w:color w:val="auto"/>
                      <w:szCs w:val="21"/>
                    </w:rPr>
                    <w:t>2.新（改、扩）建钢铁、石化、化工、焦化、建材、有色等项目的环境影响评价，应满足区域、规划环评要求。</w:t>
                  </w:r>
                </w:p>
              </w:tc>
              <w:tc>
                <w:tcPr>
                  <w:tcW w:w="784" w:type="pct"/>
                  <w:vAlign w:val="center"/>
                </w:tcPr>
                <w:p>
                  <w:pPr>
                    <w:adjustRightInd w:val="0"/>
                    <w:snapToGrid w:val="0"/>
                    <w:jc w:val="center"/>
                    <w:rPr>
                      <w:color w:val="auto"/>
                      <w:szCs w:val="21"/>
                    </w:rPr>
                  </w:pPr>
                  <w:r>
                    <w:rPr>
                      <w:rFonts w:hint="eastAsia"/>
                      <w:color w:val="auto"/>
                      <w:szCs w:val="21"/>
                    </w:rPr>
                    <w:t>本项目为高低压电力设备制造项目，租赁河北聚银企业管理服务有限公司设备制造区C厂区，用地性质属于工业用地，满足魏县经济开发区的规划和规划环境影响报告书</w:t>
                  </w:r>
                  <w:r>
                    <w:rPr>
                      <w:rFonts w:hint="eastAsia"/>
                      <w:color w:val="auto"/>
                      <w:szCs w:val="21"/>
                      <w:lang w:val="en-US" w:eastAsia="zh-CN"/>
                    </w:rPr>
                    <w:t>及审查意见</w:t>
                  </w:r>
                  <w:r>
                    <w:rPr>
                      <w:rFonts w:hint="eastAsia"/>
                      <w:color w:val="auto"/>
                      <w:szCs w:val="21"/>
                    </w:rPr>
                    <w:t>的要求</w:t>
                  </w:r>
                </w:p>
              </w:tc>
            </w:tr>
          </w:tbl>
          <w:p>
            <w:pPr>
              <w:pStyle w:val="24"/>
              <w:spacing w:line="480" w:lineRule="exact"/>
              <w:jc w:val="center"/>
              <w:rPr>
                <w:bCs/>
                <w:color w:val="auto"/>
                <w:szCs w:val="24"/>
              </w:rPr>
            </w:pPr>
            <w:r>
              <w:rPr>
                <w:rFonts w:hint="eastAsia"/>
                <w:b/>
                <w:bCs/>
                <w:color w:val="auto"/>
                <w:szCs w:val="24"/>
              </w:rPr>
              <w:t>表1-7魏县经济开发区重点管控单元生态环境准入清单符合性对比表</w:t>
            </w:r>
          </w:p>
          <w:tbl>
            <w:tblPr>
              <w:tblStyle w:val="1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5"/>
              <w:gridCol w:w="390"/>
              <w:gridCol w:w="564"/>
              <w:gridCol w:w="490"/>
              <w:gridCol w:w="806"/>
              <w:gridCol w:w="410"/>
              <w:gridCol w:w="1786"/>
              <w:gridCol w:w="1786"/>
              <w:gridCol w:w="4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编</w:t>
                  </w:r>
                </w:p>
                <w:p>
                  <w:pPr>
                    <w:widowControl/>
                    <w:spacing w:line="240" w:lineRule="exact"/>
                    <w:ind w:left="-103" w:leftChars="-50" w:right="-103" w:rightChars="-50"/>
                    <w:jc w:val="center"/>
                    <w:rPr>
                      <w:b/>
                      <w:color w:val="auto"/>
                      <w:szCs w:val="21"/>
                    </w:rPr>
                  </w:pPr>
                  <w:r>
                    <w:rPr>
                      <w:b/>
                      <w:color w:val="auto"/>
                      <w:kern w:val="0"/>
                      <w:szCs w:val="21"/>
                    </w:rPr>
                    <w:t>号</w:t>
                  </w:r>
                </w:p>
              </w:tc>
              <w:tc>
                <w:tcPr>
                  <w:tcW w:w="270" w:type="pct"/>
                  <w:vAlign w:val="center"/>
                </w:tcPr>
                <w:p>
                  <w:pPr>
                    <w:widowControl/>
                    <w:spacing w:line="240" w:lineRule="exact"/>
                    <w:ind w:left="-103" w:leftChars="-50" w:right="-103" w:rightChars="-50"/>
                    <w:jc w:val="center"/>
                    <w:rPr>
                      <w:b/>
                      <w:color w:val="auto"/>
                      <w:szCs w:val="21"/>
                    </w:rPr>
                  </w:pPr>
                  <w:r>
                    <w:rPr>
                      <w:b/>
                      <w:color w:val="auto"/>
                      <w:kern w:val="0"/>
                      <w:szCs w:val="21"/>
                    </w:rPr>
                    <w:t>区</w:t>
                  </w:r>
                </w:p>
                <w:p>
                  <w:pPr>
                    <w:widowControl/>
                    <w:spacing w:line="240" w:lineRule="exact"/>
                    <w:ind w:left="-103" w:leftChars="-50" w:right="-103" w:rightChars="-50"/>
                    <w:jc w:val="center"/>
                    <w:rPr>
                      <w:b/>
                      <w:color w:val="auto"/>
                      <w:szCs w:val="21"/>
                    </w:rPr>
                  </w:pPr>
                  <w:r>
                    <w:rPr>
                      <w:b/>
                      <w:color w:val="auto"/>
                      <w:kern w:val="0"/>
                      <w:szCs w:val="21"/>
                    </w:rPr>
                    <w:t>县</w:t>
                  </w:r>
                </w:p>
              </w:tc>
              <w:tc>
                <w:tcPr>
                  <w:tcW w:w="390" w:type="pct"/>
                  <w:vAlign w:val="center"/>
                </w:tcPr>
                <w:p>
                  <w:pPr>
                    <w:widowControl/>
                    <w:spacing w:line="240" w:lineRule="exact"/>
                    <w:ind w:left="-103" w:leftChars="-50" w:right="-103" w:rightChars="-50"/>
                    <w:jc w:val="center"/>
                    <w:rPr>
                      <w:b/>
                      <w:color w:val="auto"/>
                      <w:szCs w:val="21"/>
                    </w:rPr>
                  </w:pPr>
                  <w:r>
                    <w:rPr>
                      <w:b/>
                      <w:color w:val="auto"/>
                      <w:kern w:val="0"/>
                      <w:szCs w:val="21"/>
                    </w:rPr>
                    <w:t>涉及乡镇</w:t>
                  </w:r>
                </w:p>
              </w:tc>
              <w:tc>
                <w:tcPr>
                  <w:tcW w:w="339" w:type="pct"/>
                  <w:vAlign w:val="center"/>
                </w:tcPr>
                <w:p>
                  <w:pPr>
                    <w:widowControl/>
                    <w:spacing w:line="240" w:lineRule="exact"/>
                    <w:ind w:left="-103" w:leftChars="-50" w:right="-103" w:rightChars="-50"/>
                    <w:jc w:val="center"/>
                    <w:rPr>
                      <w:b/>
                      <w:color w:val="auto"/>
                      <w:szCs w:val="21"/>
                    </w:rPr>
                  </w:pPr>
                  <w:r>
                    <w:rPr>
                      <w:b/>
                      <w:color w:val="auto"/>
                      <w:kern w:val="0"/>
                      <w:szCs w:val="21"/>
                    </w:rPr>
                    <w:t>单元</w:t>
                  </w:r>
                </w:p>
                <w:p>
                  <w:pPr>
                    <w:widowControl/>
                    <w:spacing w:line="240" w:lineRule="exact"/>
                    <w:ind w:left="-103" w:leftChars="-50" w:right="-103" w:rightChars="-50"/>
                    <w:jc w:val="center"/>
                    <w:rPr>
                      <w:b/>
                      <w:color w:val="auto"/>
                      <w:szCs w:val="21"/>
                    </w:rPr>
                  </w:pPr>
                  <w:r>
                    <w:rPr>
                      <w:b/>
                      <w:color w:val="auto"/>
                      <w:kern w:val="0"/>
                      <w:szCs w:val="21"/>
                    </w:rPr>
                    <w:t>类别</w:t>
                  </w:r>
                </w:p>
              </w:tc>
              <w:tc>
                <w:tcPr>
                  <w:tcW w:w="558" w:type="pct"/>
                  <w:vAlign w:val="center"/>
                </w:tcPr>
                <w:p>
                  <w:pPr>
                    <w:widowControl/>
                    <w:spacing w:line="240" w:lineRule="exact"/>
                    <w:ind w:left="-103" w:leftChars="-50" w:right="-103" w:rightChars="-50"/>
                    <w:jc w:val="center"/>
                    <w:rPr>
                      <w:b/>
                      <w:color w:val="auto"/>
                      <w:szCs w:val="21"/>
                    </w:rPr>
                  </w:pPr>
                  <w:r>
                    <w:rPr>
                      <w:b/>
                      <w:color w:val="auto"/>
                      <w:kern w:val="0"/>
                      <w:szCs w:val="21"/>
                    </w:rPr>
                    <w:t>环境要素</w:t>
                  </w:r>
                </w:p>
                <w:p>
                  <w:pPr>
                    <w:widowControl/>
                    <w:spacing w:line="240" w:lineRule="exact"/>
                    <w:ind w:left="-103" w:leftChars="-50" w:right="-103" w:rightChars="-50"/>
                    <w:jc w:val="center"/>
                    <w:rPr>
                      <w:b/>
                      <w:color w:val="auto"/>
                      <w:szCs w:val="21"/>
                    </w:rPr>
                  </w:pPr>
                  <w:r>
                    <w:rPr>
                      <w:b/>
                      <w:color w:val="auto"/>
                      <w:kern w:val="0"/>
                      <w:szCs w:val="21"/>
                    </w:rPr>
                    <w:t>类别</w:t>
                  </w:r>
                </w:p>
              </w:tc>
              <w:tc>
                <w:tcPr>
                  <w:tcW w:w="284" w:type="pct"/>
                  <w:vAlign w:val="center"/>
                </w:tcPr>
                <w:p>
                  <w:pPr>
                    <w:pStyle w:val="27"/>
                    <w:spacing w:line="240" w:lineRule="exact"/>
                    <w:ind w:firstLine="0" w:firstLineChars="0"/>
                    <w:jc w:val="center"/>
                    <w:rPr>
                      <w:rFonts w:ascii="宋体" w:hAnsi="宋体" w:cs="宋体"/>
                      <w:b/>
                      <w:color w:val="auto"/>
                      <w:szCs w:val="21"/>
                    </w:rPr>
                  </w:pPr>
                  <w:r>
                    <w:rPr>
                      <w:rFonts w:hint="eastAsia" w:ascii="宋体" w:hAnsi="宋体" w:cs="宋体"/>
                      <w:b/>
                      <w:bCs/>
                      <w:color w:val="auto"/>
                      <w:szCs w:val="21"/>
                    </w:rPr>
                    <w:t>维度</w:t>
                  </w:r>
                </w:p>
              </w:tc>
              <w:tc>
                <w:tcPr>
                  <w:tcW w:w="1236" w:type="pct"/>
                  <w:vAlign w:val="center"/>
                </w:tcPr>
                <w:p>
                  <w:pPr>
                    <w:pStyle w:val="27"/>
                    <w:spacing w:line="240" w:lineRule="exact"/>
                    <w:ind w:firstLine="0" w:firstLineChars="0"/>
                    <w:jc w:val="center"/>
                    <w:rPr>
                      <w:b/>
                      <w:color w:val="auto"/>
                      <w:szCs w:val="21"/>
                    </w:rPr>
                  </w:pPr>
                  <w:r>
                    <w:rPr>
                      <w:b/>
                      <w:bCs/>
                      <w:color w:val="auto"/>
                      <w:szCs w:val="21"/>
                    </w:rPr>
                    <w:t>管控</w:t>
                  </w:r>
                  <w:r>
                    <w:rPr>
                      <w:rFonts w:hint="eastAsia"/>
                      <w:b/>
                      <w:bCs/>
                      <w:color w:val="auto"/>
                      <w:szCs w:val="21"/>
                    </w:rPr>
                    <w:t>措施要求要点</w:t>
                  </w:r>
                </w:p>
              </w:tc>
              <w:tc>
                <w:tcPr>
                  <w:tcW w:w="1236" w:type="pct"/>
                  <w:vAlign w:val="center"/>
                </w:tcPr>
                <w:p>
                  <w:pPr>
                    <w:pStyle w:val="27"/>
                    <w:spacing w:line="240" w:lineRule="exact"/>
                    <w:ind w:firstLine="0" w:firstLineChars="0"/>
                    <w:jc w:val="center"/>
                    <w:rPr>
                      <w:b/>
                      <w:color w:val="auto"/>
                      <w:szCs w:val="21"/>
                    </w:rPr>
                  </w:pPr>
                  <w:r>
                    <w:rPr>
                      <w:rFonts w:hint="eastAsia"/>
                      <w:b/>
                      <w:color w:val="auto"/>
                      <w:szCs w:val="21"/>
                    </w:rPr>
                    <w:t>本项目情况</w:t>
                  </w:r>
                </w:p>
              </w:tc>
              <w:tc>
                <w:tcPr>
                  <w:tcW w:w="296" w:type="pct"/>
                  <w:vAlign w:val="center"/>
                </w:tcPr>
                <w:p>
                  <w:pPr>
                    <w:pStyle w:val="27"/>
                    <w:spacing w:line="240" w:lineRule="exact"/>
                    <w:ind w:firstLine="0" w:firstLineChars="0"/>
                    <w:jc w:val="center"/>
                    <w:rPr>
                      <w:b/>
                      <w:color w:val="auto"/>
                      <w:szCs w:val="21"/>
                    </w:rPr>
                  </w:pPr>
                  <w:r>
                    <w:rPr>
                      <w:b/>
                      <w:color w:val="auto"/>
                      <w:szCs w:val="21"/>
                    </w:rPr>
                    <w:t>符合</w:t>
                  </w:r>
                  <w:r>
                    <w:rPr>
                      <w:rFonts w:hint="eastAsia"/>
                      <w:b/>
                      <w:color w:val="auto"/>
                      <w:szCs w:val="21"/>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pStyle w:val="27"/>
                    <w:spacing w:line="240" w:lineRule="exact"/>
                    <w:ind w:firstLine="0" w:firstLineChars="0"/>
                    <w:jc w:val="center"/>
                    <w:rPr>
                      <w:rFonts w:ascii="宋体" w:hAnsi="宋体" w:cs="宋体"/>
                      <w:color w:val="auto"/>
                      <w:szCs w:val="21"/>
                    </w:rPr>
                  </w:pPr>
                  <w:r>
                    <w:rPr>
                      <w:rFonts w:ascii="宋体" w:hAnsi="宋体" w:cs="宋体"/>
                      <w:color w:val="auto"/>
                      <w:szCs w:val="21"/>
                    </w:rPr>
                    <w:t>ZH130434</w:t>
                  </w:r>
                  <w:r>
                    <w:rPr>
                      <w:rFonts w:hint="eastAsia" w:ascii="宋体" w:hAnsi="宋体" w:cs="宋体"/>
                      <w:color w:val="auto"/>
                      <w:szCs w:val="21"/>
                    </w:rPr>
                    <w:t>20135</w:t>
                  </w:r>
                </w:p>
              </w:tc>
              <w:tc>
                <w:tcPr>
                  <w:tcW w:w="270" w:type="pct"/>
                  <w:vMerge w:val="restart"/>
                  <w:vAlign w:val="center"/>
                </w:tcPr>
                <w:p>
                  <w:pPr>
                    <w:pStyle w:val="27"/>
                    <w:spacing w:line="240" w:lineRule="exact"/>
                    <w:ind w:firstLine="0" w:firstLineChars="0"/>
                    <w:jc w:val="center"/>
                    <w:rPr>
                      <w:rFonts w:ascii="宋体" w:hAnsi="宋体" w:cs="宋体"/>
                      <w:color w:val="auto"/>
                      <w:szCs w:val="21"/>
                    </w:rPr>
                  </w:pPr>
                  <w:r>
                    <w:rPr>
                      <w:rFonts w:ascii="宋体" w:hAnsi="宋体" w:cs="宋体"/>
                      <w:bCs/>
                      <w:color w:val="auto"/>
                      <w:szCs w:val="21"/>
                    </w:rPr>
                    <w:t>魏县</w:t>
                  </w:r>
                </w:p>
              </w:tc>
              <w:tc>
                <w:tcPr>
                  <w:tcW w:w="390" w:type="pct"/>
                  <w:vMerge w:val="restar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魏县经济开发区</w:t>
                  </w:r>
                </w:p>
              </w:tc>
              <w:tc>
                <w:tcPr>
                  <w:tcW w:w="339" w:type="pct"/>
                  <w:vMerge w:val="restart"/>
                  <w:vAlign w:val="center"/>
                </w:tcPr>
                <w:p>
                  <w:pPr>
                    <w:pStyle w:val="27"/>
                    <w:spacing w:line="240" w:lineRule="exact"/>
                    <w:ind w:firstLine="0" w:firstLineChars="0"/>
                    <w:jc w:val="center"/>
                    <w:rPr>
                      <w:rFonts w:ascii="宋体" w:hAnsi="宋体" w:cs="宋体"/>
                      <w:color w:val="auto"/>
                      <w:szCs w:val="21"/>
                    </w:rPr>
                  </w:pPr>
                  <w:r>
                    <w:rPr>
                      <w:rFonts w:hint="eastAsia"/>
                      <w:bCs/>
                      <w:color w:val="auto"/>
                      <w:szCs w:val="21"/>
                    </w:rPr>
                    <w:t>重点管控单元</w:t>
                  </w:r>
                </w:p>
              </w:tc>
              <w:tc>
                <w:tcPr>
                  <w:tcW w:w="558" w:type="pct"/>
                  <w:vMerge w:val="restar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大气环境高排放重点管控区、水环境工业污染重点管控区、高污染燃料禁燃区</w:t>
                  </w:r>
                </w:p>
              </w:tc>
              <w:tc>
                <w:tcPr>
                  <w:tcW w:w="284" w:type="pc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空间</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布局</w:t>
                  </w:r>
                </w:p>
              </w:tc>
              <w:tc>
                <w:tcPr>
                  <w:tcW w:w="1236" w:type="pct"/>
                  <w:vAlign w:val="center"/>
                </w:tcPr>
                <w:p>
                  <w:pPr>
                    <w:pStyle w:val="27"/>
                    <w:spacing w:line="240" w:lineRule="exact"/>
                    <w:ind w:firstLine="0" w:firstLineChars="0"/>
                    <w:jc w:val="center"/>
                    <w:rPr>
                      <w:bCs/>
                      <w:color w:val="auto"/>
                      <w:szCs w:val="21"/>
                    </w:rPr>
                  </w:pPr>
                  <w:r>
                    <w:rPr>
                      <w:bCs/>
                      <w:color w:val="auto"/>
                      <w:szCs w:val="21"/>
                    </w:rPr>
                    <w:t xml:space="preserve">1.不符合经济开发区产业定位、 </w:t>
                  </w:r>
                </w:p>
                <w:p>
                  <w:pPr>
                    <w:pStyle w:val="27"/>
                    <w:spacing w:line="240" w:lineRule="exact"/>
                    <w:ind w:firstLine="0" w:firstLineChars="0"/>
                    <w:jc w:val="center"/>
                    <w:rPr>
                      <w:bCs/>
                      <w:color w:val="auto"/>
                      <w:szCs w:val="21"/>
                    </w:rPr>
                  </w:pPr>
                  <w:r>
                    <w:rPr>
                      <w:bCs/>
                      <w:color w:val="auto"/>
                      <w:szCs w:val="21"/>
                    </w:rPr>
                    <w:t xml:space="preserve">污染物排放较大的行业；高水耗、高物耗、高能耗的项目；废水含难降解的有机污染物、“三致”污染物、及 </w:t>
                  </w:r>
                </w:p>
                <w:p>
                  <w:pPr>
                    <w:pStyle w:val="27"/>
                    <w:spacing w:line="240" w:lineRule="exact"/>
                    <w:ind w:firstLine="0" w:firstLineChars="0"/>
                    <w:jc w:val="center"/>
                    <w:rPr>
                      <w:bCs/>
                      <w:color w:val="auto"/>
                      <w:szCs w:val="21"/>
                    </w:rPr>
                  </w:pPr>
                  <w:r>
                    <w:rPr>
                      <w:bCs/>
                      <w:color w:val="auto"/>
                      <w:szCs w:val="21"/>
                    </w:rPr>
                    <w:t xml:space="preserve">盐份含量较高的项目；废水经预处理达不到污水处理厂接管标准的项目；污染严重的项目；高耗水项目；工艺废气中含有难处理的、有毒有害物质的项目；采用落后的生产工艺或设备，不符合国家相关产业政策的项目 </w:t>
                  </w:r>
                </w:p>
                <w:p>
                  <w:pPr>
                    <w:pStyle w:val="27"/>
                    <w:spacing w:line="240" w:lineRule="exact"/>
                    <w:ind w:firstLine="0" w:firstLineChars="0"/>
                    <w:jc w:val="center"/>
                    <w:rPr>
                      <w:bCs/>
                      <w:color w:val="auto"/>
                      <w:szCs w:val="21"/>
                    </w:rPr>
                  </w:pPr>
                  <w:r>
                    <w:rPr>
                      <w:bCs/>
                      <w:color w:val="auto"/>
                      <w:szCs w:val="21"/>
                    </w:rPr>
                    <w:t>禁止入区。2.满足《河北省大运河文化保护传承利用实施规划-生态环境保护修复专项规划》《河北省大运河文化保护传承利用生态环境保护修复专项规划实施方案》中相应要求</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为为高低压电力设备制造项目，租赁河北聚银企业管理服务有限公司设备制造区C厂区，用地性质属于工业用地，项目不属于中华人民共和国国家发展和改革委员会《产业结构调整指导目录（2019年本）》中限制类、淘汰类和鼓励类项目，为允许类，无禁止类设备，且项目不属于《关于印发河北省新增限制和淘汰类产业目录（2015年版）的通知》的通知（冀政办[2015]7号）规定的禁（限）建设项目。综上，本项目符合空间布局的要求。</w:t>
                  </w:r>
                </w:p>
                <w:p>
                  <w:pPr>
                    <w:rPr>
                      <w:color w:val="auto"/>
                    </w:rPr>
                  </w:pPr>
                  <w:r>
                    <w:rPr>
                      <w:rFonts w:hint="eastAsia" w:ascii="Times New Roman" w:hAnsi="Times New Roman" w:eastAsia="宋体" w:cs="Times New Roman"/>
                      <w:color w:val="auto"/>
                      <w:kern w:val="2"/>
                      <w:sz w:val="21"/>
                      <w:szCs w:val="21"/>
                      <w:lang w:val="en-US" w:eastAsia="zh-CN" w:bidi="ar-SA"/>
                    </w:rPr>
                    <w:t>本项目生产废水和生活废水经厂区内预处理后排入开发区污水处理厂。</w:t>
                  </w: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270" w:type="pct"/>
                  <w:vMerge w:val="continue"/>
                  <w:vAlign w:val="center"/>
                </w:tcPr>
                <w:p>
                  <w:pPr>
                    <w:pStyle w:val="27"/>
                    <w:spacing w:line="240" w:lineRule="exact"/>
                    <w:ind w:firstLine="0" w:firstLineChars="0"/>
                    <w:jc w:val="center"/>
                    <w:rPr>
                      <w:rFonts w:ascii="宋体" w:hAnsi="宋体" w:cs="宋体"/>
                      <w:color w:val="auto"/>
                      <w:szCs w:val="21"/>
                    </w:rPr>
                  </w:pPr>
                </w:p>
              </w:tc>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339" w:type="pct"/>
                  <w:vMerge w:val="continue"/>
                  <w:vAlign w:val="center"/>
                </w:tcPr>
                <w:p>
                  <w:pPr>
                    <w:pStyle w:val="27"/>
                    <w:spacing w:line="240" w:lineRule="exact"/>
                    <w:ind w:firstLine="0" w:firstLineChars="0"/>
                    <w:jc w:val="center"/>
                    <w:rPr>
                      <w:rFonts w:ascii="宋体" w:hAnsi="宋体" w:cs="宋体"/>
                      <w:color w:val="auto"/>
                      <w:szCs w:val="21"/>
                    </w:rPr>
                  </w:pPr>
                </w:p>
              </w:tc>
              <w:tc>
                <w:tcPr>
                  <w:tcW w:w="558" w:type="pct"/>
                  <w:vMerge w:val="continue"/>
                  <w:vAlign w:val="center"/>
                </w:tcPr>
                <w:p>
                  <w:pPr>
                    <w:pStyle w:val="27"/>
                    <w:spacing w:line="240" w:lineRule="exact"/>
                    <w:ind w:firstLine="0" w:firstLineChars="0"/>
                    <w:jc w:val="center"/>
                    <w:rPr>
                      <w:rFonts w:ascii="宋体" w:hAnsi="宋体" w:cs="宋体"/>
                      <w:color w:val="auto"/>
                      <w:szCs w:val="21"/>
                    </w:rPr>
                  </w:pPr>
                </w:p>
              </w:tc>
              <w:tc>
                <w:tcPr>
                  <w:tcW w:w="284" w:type="pc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污染</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排放管控</w:t>
                  </w:r>
                </w:p>
              </w:tc>
              <w:tc>
                <w:tcPr>
                  <w:tcW w:w="1236" w:type="pct"/>
                  <w:vAlign w:val="center"/>
                </w:tcPr>
                <w:p>
                  <w:pPr>
                    <w:pStyle w:val="27"/>
                    <w:spacing w:line="240" w:lineRule="exact"/>
                    <w:ind w:firstLine="0" w:firstLineChars="0"/>
                    <w:jc w:val="center"/>
                    <w:rPr>
                      <w:color w:val="auto"/>
                      <w:szCs w:val="21"/>
                    </w:rPr>
                  </w:pPr>
                  <w:r>
                    <w:rPr>
                      <w:color w:val="auto"/>
                      <w:szCs w:val="21"/>
                    </w:rPr>
                    <w:t xml:space="preserve">1.入园企业污染物排放满足各 </w:t>
                  </w:r>
                </w:p>
                <w:p>
                  <w:pPr>
                    <w:pStyle w:val="27"/>
                    <w:spacing w:line="240" w:lineRule="exact"/>
                    <w:ind w:firstLine="0" w:firstLineChars="0"/>
                    <w:jc w:val="center"/>
                    <w:rPr>
                      <w:color w:val="auto"/>
                      <w:szCs w:val="21"/>
                    </w:rPr>
                  </w:pPr>
                  <w:r>
                    <w:rPr>
                      <w:color w:val="auto"/>
                      <w:szCs w:val="21"/>
                    </w:rPr>
                    <w:t xml:space="preserve">污染物排放标准特别排放限值要求。 2.开发区内锅炉污染物排放满足《锅 炉 大 气 污 染 物 排 放 标 准 》 </w:t>
                  </w:r>
                </w:p>
                <w:p>
                  <w:pPr>
                    <w:pStyle w:val="27"/>
                    <w:spacing w:line="240" w:lineRule="exact"/>
                    <w:ind w:firstLine="0" w:firstLineChars="0"/>
                    <w:jc w:val="center"/>
                    <w:rPr>
                      <w:color w:val="auto"/>
                      <w:szCs w:val="21"/>
                    </w:rPr>
                  </w:pPr>
                  <w:r>
                    <w:rPr>
                      <w:color w:val="auto"/>
                      <w:szCs w:val="21"/>
                    </w:rPr>
                    <w:t>（DB13/5161-2020）相应排放限值要求。3.涉 VOCs 排放工业企业污染物排放满足《工业企业挥发性有机物排放控制标准》（DB13/2322-2016）及 《挥发性有机物无组织排放控制标准》（</w:t>
                  </w:r>
                </w:p>
                <w:p>
                  <w:pPr>
                    <w:pStyle w:val="27"/>
                    <w:spacing w:line="240" w:lineRule="exact"/>
                    <w:ind w:firstLine="0" w:firstLineChars="0"/>
                    <w:jc w:val="center"/>
                    <w:rPr>
                      <w:color w:val="auto"/>
                      <w:szCs w:val="21"/>
                    </w:rPr>
                  </w:pPr>
                  <w:r>
                    <w:rPr>
                      <w:color w:val="auto"/>
                      <w:szCs w:val="21"/>
                    </w:rPr>
                    <w:t xml:space="preserve">GB37822-2019）相应排放限值 </w:t>
                  </w:r>
                </w:p>
                <w:p>
                  <w:pPr>
                    <w:pStyle w:val="27"/>
                    <w:spacing w:line="240" w:lineRule="exact"/>
                    <w:ind w:firstLine="0" w:firstLineChars="0"/>
                    <w:jc w:val="center"/>
                    <w:rPr>
                      <w:color w:val="auto"/>
                      <w:szCs w:val="21"/>
                    </w:rPr>
                  </w:pPr>
                  <w:r>
                    <w:rPr>
                      <w:color w:val="auto"/>
                      <w:szCs w:val="21"/>
                    </w:rPr>
                    <w:t>要求。4.电镀废水经电镀小区污水处理站集中处理深度处理后，全部回用。</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本项目为为高低压电力设备制造项目，租赁河北聚银企业管理服务有限公司设备制造区C厂区，用地性质属于工业用地；本项目不涉及锅炉，喷塑生产线会产生VOCs废气，经治理后可以达标排放，满足</w:t>
                  </w:r>
                  <w:r>
                    <w:rPr>
                      <w:color w:val="auto"/>
                      <w:szCs w:val="21"/>
                    </w:rPr>
                    <w:t>《工业企业挥发性有机物排放控制标准》（DB13/2322-2016）及 《挥发性有机物无组织排放控制标准》（</w:t>
                  </w:r>
                </w:p>
                <w:p>
                  <w:pPr>
                    <w:pStyle w:val="27"/>
                    <w:spacing w:line="240" w:lineRule="exact"/>
                    <w:ind w:firstLine="0" w:firstLineChars="0"/>
                    <w:jc w:val="center"/>
                    <w:rPr>
                      <w:color w:val="auto"/>
                      <w:szCs w:val="21"/>
                    </w:rPr>
                  </w:pPr>
                  <w:r>
                    <w:rPr>
                      <w:color w:val="auto"/>
                      <w:szCs w:val="21"/>
                    </w:rPr>
                    <w:t xml:space="preserve">GB37822-2019）相应排放限值 </w:t>
                  </w:r>
                </w:p>
                <w:p>
                  <w:pPr>
                    <w:pStyle w:val="27"/>
                    <w:spacing w:line="240" w:lineRule="exact"/>
                    <w:ind w:firstLine="0" w:firstLineChars="0"/>
                    <w:jc w:val="center"/>
                    <w:rPr>
                      <w:color w:val="auto"/>
                      <w:szCs w:val="21"/>
                    </w:rPr>
                  </w:pPr>
                  <w:r>
                    <w:rPr>
                      <w:color w:val="auto"/>
                      <w:szCs w:val="21"/>
                    </w:rPr>
                    <w:t>要求</w:t>
                  </w:r>
                  <w:r>
                    <w:rPr>
                      <w:rFonts w:hint="eastAsia"/>
                      <w:color w:val="auto"/>
                      <w:szCs w:val="21"/>
                    </w:rPr>
                    <w:t>。综上，项目建成后，污染物的排放管控符合要求。</w:t>
                  </w:r>
                </w:p>
                <w:p>
                  <w:pPr>
                    <w:pStyle w:val="27"/>
                    <w:spacing w:line="240" w:lineRule="exact"/>
                    <w:ind w:firstLine="0" w:firstLineChars="0"/>
                    <w:jc w:val="center"/>
                    <w:rPr>
                      <w:color w:val="auto"/>
                      <w:szCs w:val="21"/>
                    </w:rPr>
                  </w:pP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390" w:type="pct"/>
                  <w:vMerge w:val="continue"/>
                  <w:vAlign w:val="center"/>
                </w:tcPr>
                <w:p>
                  <w:pPr>
                    <w:pStyle w:val="28"/>
                    <w:spacing w:line="240" w:lineRule="exact"/>
                    <w:rPr>
                      <w:color w:val="auto"/>
                      <w:szCs w:val="21"/>
                    </w:rPr>
                  </w:pPr>
                </w:p>
              </w:tc>
              <w:tc>
                <w:tcPr>
                  <w:tcW w:w="270" w:type="pct"/>
                  <w:vMerge w:val="continue"/>
                  <w:vAlign w:val="center"/>
                </w:tcPr>
                <w:p>
                  <w:pPr>
                    <w:pStyle w:val="28"/>
                    <w:spacing w:line="240" w:lineRule="exact"/>
                    <w:rPr>
                      <w:color w:val="auto"/>
                      <w:szCs w:val="21"/>
                    </w:rPr>
                  </w:pPr>
                </w:p>
              </w:tc>
              <w:tc>
                <w:tcPr>
                  <w:tcW w:w="390" w:type="pct"/>
                  <w:vMerge w:val="continue"/>
                  <w:vAlign w:val="center"/>
                </w:tcPr>
                <w:p>
                  <w:pPr>
                    <w:pStyle w:val="28"/>
                    <w:spacing w:line="240" w:lineRule="exact"/>
                    <w:rPr>
                      <w:color w:val="auto"/>
                      <w:szCs w:val="21"/>
                    </w:rPr>
                  </w:pPr>
                </w:p>
              </w:tc>
              <w:tc>
                <w:tcPr>
                  <w:tcW w:w="339" w:type="pct"/>
                  <w:vMerge w:val="continue"/>
                  <w:vAlign w:val="center"/>
                </w:tcPr>
                <w:p>
                  <w:pPr>
                    <w:pStyle w:val="28"/>
                    <w:spacing w:line="240" w:lineRule="exact"/>
                    <w:rPr>
                      <w:color w:val="auto"/>
                      <w:szCs w:val="21"/>
                    </w:rPr>
                  </w:pPr>
                </w:p>
              </w:tc>
              <w:tc>
                <w:tcPr>
                  <w:tcW w:w="558" w:type="pct"/>
                  <w:vMerge w:val="continue"/>
                  <w:vAlign w:val="center"/>
                </w:tcPr>
                <w:p>
                  <w:pPr>
                    <w:pStyle w:val="28"/>
                    <w:spacing w:line="240" w:lineRule="exact"/>
                    <w:rPr>
                      <w:color w:val="auto"/>
                      <w:szCs w:val="21"/>
                    </w:rPr>
                  </w:pPr>
                </w:p>
              </w:tc>
              <w:tc>
                <w:tcPr>
                  <w:tcW w:w="284" w:type="pct"/>
                  <w:vAlign w:val="center"/>
                </w:tcPr>
                <w:p>
                  <w:pPr>
                    <w:pStyle w:val="28"/>
                    <w:spacing w:line="240" w:lineRule="exact"/>
                    <w:rPr>
                      <w:color w:val="auto"/>
                      <w:szCs w:val="21"/>
                    </w:rPr>
                  </w:pPr>
                  <w:r>
                    <w:rPr>
                      <w:rFonts w:hint="eastAsia"/>
                      <w:color w:val="auto"/>
                      <w:szCs w:val="21"/>
                    </w:rPr>
                    <w:t>环境</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风险</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防控</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 xml:space="preserve">开发区应加强管理，严格落实规划环评及企业环评提出的风险防范 </w:t>
                  </w:r>
                </w:p>
                <w:p>
                  <w:pPr>
                    <w:pStyle w:val="27"/>
                    <w:spacing w:line="240" w:lineRule="exact"/>
                    <w:ind w:firstLine="0" w:firstLineChars="0"/>
                    <w:jc w:val="center"/>
                    <w:rPr>
                      <w:color w:val="auto"/>
                      <w:szCs w:val="21"/>
                    </w:rPr>
                  </w:pPr>
                  <w:r>
                    <w:rPr>
                      <w:rFonts w:hint="eastAsia"/>
                      <w:color w:val="auto"/>
                      <w:szCs w:val="21"/>
                    </w:rPr>
                    <w:t>措施，结合开发区突发环境事件应急预案，进一步指导开发区风险污染防控。</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本项目的</w:t>
                  </w:r>
                  <w:r>
                    <w:rPr>
                      <w:color w:val="auto"/>
                      <w:szCs w:val="21"/>
                    </w:rPr>
                    <w:t>风险污染事故的类型主要</w:t>
                  </w:r>
                  <w:r>
                    <w:rPr>
                      <w:rFonts w:hint="eastAsia"/>
                      <w:color w:val="auto"/>
                      <w:szCs w:val="21"/>
                    </w:rPr>
                    <w:t>为天然气泄露发生火灾后产生的消防废水外排，导致对周边土壤、地表水环境的污染，依托聚银现有的消防废水池，可以有效降低此类涉水环境风险发生的概率</w:t>
                  </w: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270" w:type="pct"/>
                  <w:vMerge w:val="continue"/>
                  <w:vAlign w:val="center"/>
                </w:tcPr>
                <w:p>
                  <w:pPr>
                    <w:pStyle w:val="27"/>
                    <w:spacing w:line="240" w:lineRule="exact"/>
                    <w:ind w:firstLine="0" w:firstLineChars="0"/>
                    <w:jc w:val="center"/>
                    <w:rPr>
                      <w:rFonts w:ascii="宋体" w:hAnsi="宋体" w:cs="宋体"/>
                      <w:color w:val="auto"/>
                      <w:szCs w:val="21"/>
                    </w:rPr>
                  </w:pPr>
                </w:p>
              </w:tc>
              <w:tc>
                <w:tcPr>
                  <w:tcW w:w="390" w:type="pct"/>
                  <w:vMerge w:val="continue"/>
                  <w:vAlign w:val="center"/>
                </w:tcPr>
                <w:p>
                  <w:pPr>
                    <w:pStyle w:val="27"/>
                    <w:spacing w:line="240" w:lineRule="exact"/>
                    <w:ind w:firstLine="0" w:firstLineChars="0"/>
                    <w:jc w:val="center"/>
                    <w:rPr>
                      <w:rFonts w:ascii="宋体" w:hAnsi="宋体" w:cs="宋体"/>
                      <w:color w:val="auto"/>
                      <w:szCs w:val="21"/>
                    </w:rPr>
                  </w:pPr>
                </w:p>
              </w:tc>
              <w:tc>
                <w:tcPr>
                  <w:tcW w:w="339" w:type="pct"/>
                  <w:vMerge w:val="continue"/>
                  <w:vAlign w:val="center"/>
                </w:tcPr>
                <w:p>
                  <w:pPr>
                    <w:pStyle w:val="27"/>
                    <w:spacing w:line="240" w:lineRule="exact"/>
                    <w:ind w:firstLine="0" w:firstLineChars="0"/>
                    <w:jc w:val="center"/>
                    <w:rPr>
                      <w:rFonts w:ascii="宋体" w:hAnsi="宋体" w:cs="宋体"/>
                      <w:color w:val="auto"/>
                      <w:szCs w:val="21"/>
                    </w:rPr>
                  </w:pPr>
                </w:p>
              </w:tc>
              <w:tc>
                <w:tcPr>
                  <w:tcW w:w="558" w:type="pct"/>
                  <w:vMerge w:val="continue"/>
                  <w:vAlign w:val="center"/>
                </w:tcPr>
                <w:p>
                  <w:pPr>
                    <w:pStyle w:val="27"/>
                    <w:spacing w:line="240" w:lineRule="exact"/>
                    <w:ind w:firstLine="0" w:firstLineChars="0"/>
                    <w:jc w:val="center"/>
                    <w:rPr>
                      <w:rFonts w:ascii="宋体" w:hAnsi="宋体" w:cs="宋体"/>
                      <w:color w:val="auto"/>
                      <w:szCs w:val="21"/>
                    </w:rPr>
                  </w:pPr>
                </w:p>
              </w:tc>
              <w:tc>
                <w:tcPr>
                  <w:tcW w:w="284" w:type="pct"/>
                  <w:vAlign w:val="center"/>
                </w:tcPr>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资源</w:t>
                  </w:r>
                </w:p>
                <w:p>
                  <w:pPr>
                    <w:pStyle w:val="27"/>
                    <w:spacing w:line="240" w:lineRule="exact"/>
                    <w:ind w:firstLine="0" w:firstLineChars="0"/>
                    <w:jc w:val="center"/>
                    <w:rPr>
                      <w:rFonts w:ascii="宋体" w:hAnsi="宋体" w:cs="宋体"/>
                      <w:color w:val="auto"/>
                      <w:szCs w:val="21"/>
                    </w:rPr>
                  </w:pPr>
                  <w:r>
                    <w:rPr>
                      <w:rFonts w:hint="eastAsia" w:ascii="宋体" w:hAnsi="宋体" w:cs="宋体"/>
                      <w:color w:val="auto"/>
                      <w:szCs w:val="21"/>
                    </w:rPr>
                    <w:t>利用效率</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1.禁燃区内严格按照相应的高污染燃料禁燃区的通告要求执行</w:t>
                  </w:r>
                </w:p>
              </w:tc>
              <w:tc>
                <w:tcPr>
                  <w:tcW w:w="1236" w:type="pct"/>
                  <w:vAlign w:val="center"/>
                </w:tcPr>
                <w:p>
                  <w:pPr>
                    <w:pStyle w:val="27"/>
                    <w:spacing w:line="240" w:lineRule="exact"/>
                    <w:ind w:firstLine="0" w:firstLineChars="0"/>
                    <w:jc w:val="center"/>
                    <w:rPr>
                      <w:color w:val="auto"/>
                      <w:szCs w:val="21"/>
                    </w:rPr>
                  </w:pPr>
                  <w:r>
                    <w:rPr>
                      <w:rFonts w:hint="eastAsia"/>
                      <w:color w:val="auto"/>
                      <w:szCs w:val="21"/>
                    </w:rPr>
                    <w:t>本项目不涉及使用高污染燃料，符合资源利用率的要求。</w:t>
                  </w:r>
                </w:p>
              </w:tc>
              <w:tc>
                <w:tcPr>
                  <w:tcW w:w="296" w:type="pct"/>
                  <w:vAlign w:val="center"/>
                </w:tcPr>
                <w:p>
                  <w:pPr>
                    <w:pStyle w:val="27"/>
                    <w:spacing w:line="240" w:lineRule="exact"/>
                    <w:ind w:firstLine="0" w:firstLineChars="0"/>
                    <w:jc w:val="center"/>
                    <w:rPr>
                      <w:color w:val="auto"/>
                      <w:szCs w:val="21"/>
                    </w:rPr>
                  </w:pPr>
                  <w:r>
                    <w:rPr>
                      <w:color w:val="auto"/>
                      <w:szCs w:val="21"/>
                    </w:rPr>
                    <w:t>符合</w:t>
                  </w:r>
                </w:p>
              </w:tc>
            </w:tr>
          </w:tbl>
          <w:p>
            <w:pPr>
              <w:pStyle w:val="2"/>
              <w:rPr>
                <w:color w:val="auto"/>
              </w:rPr>
            </w:pPr>
            <w:r>
              <w:rPr>
                <w:bCs/>
                <w:color w:val="auto"/>
                <w:sz w:val="24"/>
                <w:szCs w:val="24"/>
              </w:rPr>
              <w:t>综上所述，本项目符合</w:t>
            </w:r>
            <w:r>
              <w:rPr>
                <w:rFonts w:hint="eastAsia"/>
                <w:color w:val="auto"/>
                <w:sz w:val="24"/>
                <w:szCs w:val="24"/>
              </w:rPr>
              <w:t>《邯郸市“三线一单”生态环境分区管控准入清单》的</w:t>
            </w:r>
            <w:r>
              <w:rPr>
                <w:bCs/>
                <w:color w:val="auto"/>
                <w:sz w:val="24"/>
                <w:szCs w:val="24"/>
              </w:rPr>
              <w:t>环境管理要求。</w:t>
            </w:r>
          </w:p>
          <w:p>
            <w:pPr>
              <w:pStyle w:val="24"/>
              <w:spacing w:line="480" w:lineRule="exact"/>
              <w:ind w:firstLine="472" w:firstLineChars="200"/>
              <w:rPr>
                <w:bCs/>
                <w:color w:val="auto"/>
                <w:szCs w:val="24"/>
              </w:rPr>
            </w:pPr>
          </w:p>
          <w:p>
            <w:pPr>
              <w:pStyle w:val="24"/>
              <w:spacing w:line="480" w:lineRule="exact"/>
              <w:ind w:firstLine="472" w:firstLineChars="200"/>
              <w:rPr>
                <w:bCs/>
                <w:color w:val="auto"/>
                <w:szCs w:val="24"/>
              </w:rPr>
            </w:pPr>
          </w:p>
          <w:p>
            <w:pPr>
              <w:pStyle w:val="24"/>
              <w:spacing w:line="480" w:lineRule="exact"/>
              <w:ind w:firstLine="472" w:firstLineChars="200"/>
              <w:rPr>
                <w:bCs/>
                <w:color w:val="auto"/>
                <w:szCs w:val="24"/>
              </w:rPr>
            </w:pPr>
          </w:p>
          <w:p>
            <w:pPr>
              <w:pStyle w:val="3"/>
              <w:keepLines/>
              <w:adjustRightInd w:val="0"/>
              <w:snapToGrid w:val="0"/>
              <w:spacing w:line="460" w:lineRule="exact"/>
              <w:jc w:val="both"/>
              <w:rPr>
                <w:rFonts w:hAnsiTheme="minorEastAsia" w:eastAsiaTheme="minorEastAsia"/>
                <w:color w:val="auto"/>
                <w:sz w:val="24"/>
              </w:rPr>
            </w:pPr>
          </w:p>
        </w:tc>
      </w:tr>
    </w:tbl>
    <w:p>
      <w:pPr>
        <w:ind w:firstLine="185" w:firstLineChars="67"/>
        <w:rPr>
          <w:rFonts w:eastAsia="黑体"/>
          <w:sz w:val="28"/>
        </w:rPr>
        <w:sectPr>
          <w:headerReference r:id="rId4" w:type="default"/>
          <w:footerReference r:id="rId5" w:type="default"/>
          <w:pgSz w:w="11906" w:h="16838"/>
          <w:pgMar w:top="1304" w:right="1701" w:bottom="1418" w:left="1701" w:header="851" w:footer="851" w:gutter="0"/>
          <w:pgBorders>
            <w:top w:val="none" w:sz="0" w:space="0"/>
            <w:left w:val="none" w:sz="0" w:space="0"/>
            <w:bottom w:val="none" w:sz="0" w:space="0"/>
            <w:right w:val="none" w:sz="0" w:space="0"/>
          </w:pgBorders>
          <w:pgNumType w:start="1"/>
          <w:cols w:space="720" w:num="1"/>
          <w:docGrid w:type="linesAndChars" w:linePitch="380" w:charSpace="-948"/>
        </w:sectPr>
      </w:pPr>
    </w:p>
    <w:p>
      <w:pPr>
        <w:pStyle w:val="14"/>
        <w:jc w:val="center"/>
        <w:rPr>
          <w:rFonts w:eastAsia="黑体"/>
          <w:b/>
          <w:sz w:val="32"/>
          <w:szCs w:val="32"/>
        </w:rPr>
      </w:pPr>
      <w:r>
        <w:rPr>
          <w:rFonts w:hint="eastAsia" w:eastAsia="黑体"/>
          <w:b/>
          <w:sz w:val="32"/>
          <w:szCs w:val="32"/>
        </w:rPr>
        <w:t>二、</w:t>
      </w:r>
      <w:r>
        <w:rPr>
          <w:rFonts w:eastAsia="黑体"/>
          <w:b/>
          <w:sz w:val="32"/>
          <w:szCs w:val="32"/>
        </w:rPr>
        <w:t>建设项目</w:t>
      </w:r>
      <w:r>
        <w:rPr>
          <w:rFonts w:hint="eastAsia" w:eastAsia="黑体"/>
          <w:b/>
          <w:sz w:val="32"/>
          <w:szCs w:val="32"/>
        </w:rPr>
        <w:t>工程分析</w:t>
      </w:r>
    </w:p>
    <w:tbl>
      <w:tblPr>
        <w:tblStyle w:val="19"/>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51" w:type="dxa"/>
            <w:vAlign w:val="center"/>
          </w:tcPr>
          <w:p>
            <w:pPr>
              <w:pStyle w:val="24"/>
              <w:jc w:val="center"/>
              <w:rPr>
                <w:color w:val="auto"/>
              </w:rPr>
            </w:pPr>
            <w:r>
              <w:rPr>
                <w:rFonts w:hint="eastAsia"/>
                <w:color w:val="auto"/>
              </w:rPr>
              <w:t>建设内容</w:t>
            </w:r>
          </w:p>
        </w:tc>
        <w:tc>
          <w:tcPr>
            <w:tcW w:w="9044" w:type="dxa"/>
            <w:vAlign w:val="center"/>
          </w:tcPr>
          <w:p>
            <w:pPr>
              <w:pStyle w:val="29"/>
              <w:spacing w:line="360" w:lineRule="auto"/>
              <w:ind w:left="473" w:firstLine="0" w:firstLineChars="0"/>
              <w:rPr>
                <w:rFonts w:hAnsiTheme="minorEastAsia" w:eastAsiaTheme="minorEastAsia"/>
                <w:b/>
                <w:color w:val="auto"/>
                <w:sz w:val="24"/>
              </w:rPr>
            </w:pPr>
            <w:r>
              <w:rPr>
                <w:rFonts w:hint="eastAsia" w:hAnsiTheme="minorEastAsia" w:eastAsiaTheme="minorEastAsia"/>
                <w:b/>
                <w:color w:val="auto"/>
                <w:sz w:val="24"/>
              </w:rPr>
              <w:t>1、项目由来</w:t>
            </w:r>
          </w:p>
          <w:p>
            <w:pPr>
              <w:spacing w:line="360" w:lineRule="auto"/>
              <w:ind w:firstLine="472" w:firstLineChars="200"/>
              <w:rPr>
                <w:color w:val="auto"/>
                <w:sz w:val="28"/>
                <w:szCs w:val="28"/>
              </w:rPr>
            </w:pPr>
            <w:r>
              <w:rPr>
                <w:rFonts w:hint="eastAsia"/>
                <w:color w:val="auto"/>
                <w:sz w:val="24"/>
                <w:szCs w:val="24"/>
                <w:lang w:eastAsia="zh-CN"/>
              </w:rPr>
              <w:t>河北和赢电气有限责任公司</w:t>
            </w:r>
            <w:r>
              <w:rPr>
                <w:rFonts w:hint="eastAsia"/>
                <w:color w:val="auto"/>
                <w:sz w:val="24"/>
                <w:szCs w:val="24"/>
              </w:rPr>
              <w:t>位于</w:t>
            </w:r>
            <w:r>
              <w:rPr>
                <w:rFonts w:hint="eastAsia" w:eastAsiaTheme="minorEastAsia"/>
                <w:color w:val="auto"/>
                <w:sz w:val="24"/>
                <w:szCs w:val="24"/>
              </w:rPr>
              <w:t>河北省邯郸市魏县经济开发区东区</w:t>
            </w:r>
            <w:r>
              <w:rPr>
                <w:rFonts w:hint="eastAsia" w:eastAsiaTheme="minorEastAsia"/>
                <w:color w:val="auto"/>
                <w:sz w:val="24"/>
                <w:szCs w:val="24"/>
                <w:lang w:val="en-US" w:eastAsia="zh-CN"/>
              </w:rPr>
              <w:t>内</w:t>
            </w:r>
            <w:r>
              <w:rPr>
                <w:rFonts w:hint="eastAsia" w:eastAsiaTheme="minorEastAsia"/>
                <w:color w:val="auto"/>
                <w:sz w:val="24"/>
                <w:szCs w:val="24"/>
              </w:rPr>
              <w:t>天雨路2997号，</w:t>
            </w:r>
            <w:r>
              <w:rPr>
                <w:rFonts w:hint="eastAsia"/>
                <w:color w:val="auto"/>
                <w:sz w:val="24"/>
                <w:szCs w:val="24"/>
              </w:rPr>
              <w:t>为适应市场发展需求，</w:t>
            </w:r>
            <w:r>
              <w:rPr>
                <w:rFonts w:hint="eastAsia" w:ascii="宋体" w:hAnsi="宋体" w:cs="宋体"/>
                <w:color w:val="auto"/>
                <w:sz w:val="24"/>
                <w:szCs w:val="24"/>
                <w:lang w:eastAsia="zh-CN"/>
              </w:rPr>
              <w:t>和赢公司</w:t>
            </w:r>
            <w:r>
              <w:rPr>
                <w:rFonts w:hint="eastAsia" w:ascii="宋体" w:hAnsi="宋体" w:cs="宋体"/>
                <w:color w:val="auto"/>
                <w:sz w:val="24"/>
                <w:szCs w:val="24"/>
              </w:rPr>
              <w:t>决定租赁租赁河北聚银企业管理服务有限公司设备制造区C厂区</w:t>
            </w:r>
            <w:r>
              <w:rPr>
                <w:rFonts w:hint="eastAsia"/>
                <w:color w:val="auto"/>
                <w:sz w:val="24"/>
                <w:szCs w:val="24"/>
              </w:rPr>
              <w:t>实施高低压电力设备制造项目。根据《环境影响评价分类管理名录（2021版）》，本项目属于“三十五、电气机械和器材制造业38，77输配电及控制设备制造38，2其他（仅分割、焊接、组装除外；年用非溶剂性低VOCs含量涂料10吨以下的除外）”，应编制环境影响报告表。受</w:t>
            </w:r>
            <w:r>
              <w:rPr>
                <w:rFonts w:hint="eastAsia"/>
                <w:color w:val="auto"/>
                <w:sz w:val="24"/>
                <w:szCs w:val="24"/>
                <w:lang w:eastAsia="zh-CN"/>
              </w:rPr>
              <w:t>河北和赢电气有限责任公司</w:t>
            </w:r>
            <w:r>
              <w:rPr>
                <w:rFonts w:hint="eastAsia"/>
                <w:color w:val="auto"/>
                <w:sz w:val="24"/>
                <w:szCs w:val="24"/>
              </w:rPr>
              <w:t>委托，我单位派有关工程技术人员到现场踏勘和收集资料，按照国家及地方有关环评技术规范要求，编制完成该项目环境影响报告表。</w:t>
            </w:r>
          </w:p>
          <w:p>
            <w:pPr>
              <w:pStyle w:val="29"/>
              <w:spacing w:line="360" w:lineRule="auto"/>
              <w:ind w:left="473" w:firstLine="0" w:firstLineChars="0"/>
              <w:rPr>
                <w:rFonts w:hAnsiTheme="minorEastAsia" w:eastAsiaTheme="minorEastAsia"/>
                <w:b/>
                <w:color w:val="auto"/>
                <w:sz w:val="24"/>
              </w:rPr>
            </w:pPr>
            <w:r>
              <w:rPr>
                <w:rFonts w:hint="eastAsia" w:hAnsiTheme="minorEastAsia" w:eastAsiaTheme="minorEastAsia"/>
                <w:b/>
                <w:color w:val="auto"/>
                <w:sz w:val="24"/>
              </w:rPr>
              <w:t>2、</w:t>
            </w:r>
            <w:r>
              <w:rPr>
                <w:rFonts w:hAnsiTheme="minorEastAsia" w:eastAsiaTheme="minorEastAsia"/>
                <w:b/>
                <w:color w:val="auto"/>
                <w:sz w:val="24"/>
              </w:rPr>
              <w:t>主要建设内容及规模</w:t>
            </w:r>
            <w:r>
              <w:rPr>
                <w:rFonts w:hint="eastAsia" w:hAnsiTheme="minorEastAsia" w:eastAsiaTheme="minorEastAsia"/>
                <w:b/>
                <w:color w:val="auto"/>
                <w:sz w:val="24"/>
              </w:rPr>
              <w:t>：</w:t>
            </w:r>
          </w:p>
          <w:p>
            <w:pPr>
              <w:spacing w:line="360" w:lineRule="auto"/>
              <w:ind w:firstLine="472" w:firstLineChars="200"/>
              <w:rPr>
                <w:bCs/>
                <w:color w:val="auto"/>
                <w:sz w:val="24"/>
              </w:rPr>
            </w:pPr>
            <w:r>
              <w:rPr>
                <w:rFonts w:hint="eastAsia"/>
                <w:color w:val="auto"/>
                <w:sz w:val="24"/>
              </w:rPr>
              <w:t>租赁聚银公司C厂区内2栋生产厂房，1栋3层办公楼和1栋3层研发中心楼，购置安装2条厢式变电站生产线，</w:t>
            </w:r>
            <w:r>
              <w:rPr>
                <w:rFonts w:hint="eastAsia"/>
                <w:color w:val="auto"/>
                <w:sz w:val="24"/>
                <w:szCs w:val="24"/>
              </w:rPr>
              <w:t>高低压配电柜生产线各1条，本项目建成后，年产</w:t>
            </w:r>
            <w:r>
              <w:rPr>
                <w:rFonts w:hint="eastAsia"/>
                <w:color w:val="auto"/>
                <w:sz w:val="24"/>
              </w:rPr>
              <w:t>厢式变电站500台、高压配电柜2000套、低压配电柜1000套</w:t>
            </w:r>
            <w:r>
              <w:rPr>
                <w:rFonts w:hint="eastAsia"/>
                <w:color w:val="auto"/>
                <w:sz w:val="24"/>
                <w:szCs w:val="24"/>
              </w:rPr>
              <w:t>。</w:t>
            </w:r>
          </w:p>
          <w:p>
            <w:pPr>
              <w:spacing w:line="360" w:lineRule="auto"/>
              <w:ind w:firstLine="472" w:firstLineChars="200"/>
              <w:rPr>
                <w:rFonts w:hAnsiTheme="minorEastAsia" w:eastAsiaTheme="minorEastAsia"/>
                <w:b/>
                <w:color w:val="auto"/>
                <w:sz w:val="24"/>
              </w:rPr>
            </w:pPr>
            <w:r>
              <w:rPr>
                <w:rFonts w:hint="eastAsia"/>
                <w:color w:val="auto"/>
                <w:sz w:val="24"/>
              </w:rPr>
              <w:t>本工程基本情况见表2-1。</w:t>
            </w:r>
          </w:p>
          <w:p>
            <w:pPr>
              <w:spacing w:line="360" w:lineRule="auto"/>
              <w:ind w:firstLine="480"/>
              <w:jc w:val="center"/>
              <w:rPr>
                <w:rFonts w:eastAsiaTheme="minorEastAsia"/>
                <w:b/>
                <w:color w:val="auto"/>
                <w:sz w:val="24"/>
              </w:rPr>
            </w:pPr>
            <w:r>
              <w:rPr>
                <w:rFonts w:hAnsiTheme="minorEastAsia" w:eastAsiaTheme="minorEastAsia"/>
                <w:b/>
                <w:color w:val="auto"/>
                <w:sz w:val="24"/>
              </w:rPr>
              <w:t>表</w:t>
            </w:r>
            <w:r>
              <w:rPr>
                <w:rFonts w:hint="eastAsia" w:hAnsiTheme="minorEastAsia" w:eastAsiaTheme="minorEastAsia"/>
                <w:b/>
                <w:color w:val="auto"/>
                <w:sz w:val="24"/>
              </w:rPr>
              <w:t>2-</w:t>
            </w:r>
            <w:r>
              <w:rPr>
                <w:rFonts w:hint="eastAsia" w:eastAsiaTheme="minorEastAsia"/>
                <w:b/>
                <w:color w:val="auto"/>
                <w:sz w:val="24"/>
              </w:rPr>
              <w:t>1</w:t>
            </w:r>
            <w:r>
              <w:rPr>
                <w:rFonts w:eastAsiaTheme="minorEastAsia"/>
                <w:b/>
                <w:color w:val="auto"/>
                <w:sz w:val="24"/>
              </w:rPr>
              <w:t xml:space="preserve"> </w:t>
            </w:r>
            <w:r>
              <w:rPr>
                <w:rFonts w:hAnsiTheme="minorEastAsia" w:eastAsiaTheme="minorEastAsia"/>
                <w:b/>
                <w:color w:val="auto"/>
                <w:sz w:val="24"/>
              </w:rPr>
              <w:t>主要建设内容一览表</w:t>
            </w:r>
          </w:p>
          <w:tbl>
            <w:tblPr>
              <w:tblStyle w:val="19"/>
              <w:tblW w:w="4997"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68"/>
              <w:gridCol w:w="7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gridSpan w:val="2"/>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b/>
                      <w:bCs/>
                      <w:color w:val="auto"/>
                      <w:szCs w:val="21"/>
                    </w:rPr>
                  </w:pPr>
                  <w:r>
                    <w:rPr>
                      <w:b/>
                      <w:bCs/>
                      <w:color w:val="auto"/>
                      <w:szCs w:val="21"/>
                    </w:rPr>
                    <w:t>项目</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b/>
                      <w:bCs/>
                      <w:color w:val="auto"/>
                      <w:szCs w:val="21"/>
                    </w:rPr>
                  </w:pPr>
                  <w:r>
                    <w:rPr>
                      <w:b/>
                      <w:bCs/>
                      <w:color w:val="auto"/>
                      <w:szCs w:val="21"/>
                    </w:rPr>
                    <w:t>项目组成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项目名称</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高低压电力设备制造项目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建设单位</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rFonts w:hint="eastAsia" w:eastAsia="宋体"/>
                      <w:bCs/>
                      <w:color w:val="auto"/>
                      <w:szCs w:val="21"/>
                      <w:lang w:eastAsia="zh-CN"/>
                    </w:rPr>
                  </w:pPr>
                  <w:r>
                    <w:rPr>
                      <w:rFonts w:hint="eastAsia"/>
                      <w:bCs/>
                      <w:color w:val="auto"/>
                      <w:szCs w:val="21"/>
                      <w:lang w:eastAsia="zh-CN"/>
                    </w:rPr>
                    <w:t>河北和赢电气有限责任公司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建设性质</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建设地点</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bCs/>
                      <w:color w:val="auto"/>
                      <w:szCs w:val="21"/>
                    </w:rPr>
                  </w:pPr>
                  <w:r>
                    <w:rPr>
                      <w:rFonts w:hint="eastAsia"/>
                      <w:bCs/>
                      <w:color w:val="auto"/>
                      <w:szCs w:val="21"/>
                    </w:rPr>
                    <w:t>河北省邯郸市魏县经济开发区天雨路2997号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pct"/>
                  <w:gridSpan w:val="2"/>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lang w:bidi="ar"/>
                    </w:rPr>
                    <w:t>项目投资</w:t>
                  </w:r>
                </w:p>
              </w:tc>
              <w:tc>
                <w:tcPr>
                  <w:tcW w:w="4122" w:type="pct"/>
                  <w:tcBorders>
                    <w:top w:val="single" w:color="auto" w:sz="4" w:space="0"/>
                    <w:left w:val="single" w:color="auto" w:sz="4" w:space="0"/>
                  </w:tcBorders>
                  <w:tcMar>
                    <w:left w:w="57" w:type="dxa"/>
                    <w:right w:w="57" w:type="dxa"/>
                  </w:tcMar>
                  <w:vAlign w:val="center"/>
                </w:tcPr>
                <w:p>
                  <w:pPr>
                    <w:spacing w:line="300" w:lineRule="exact"/>
                    <w:jc w:val="center"/>
                    <w:rPr>
                      <w:color w:val="auto"/>
                      <w:szCs w:val="21"/>
                      <w:lang w:bidi="ar"/>
                    </w:rPr>
                  </w:pPr>
                  <w:r>
                    <w:rPr>
                      <w:rFonts w:hint="eastAsia"/>
                      <w:color w:val="auto"/>
                      <w:szCs w:val="21"/>
                      <w:lang w:bidi="ar"/>
                    </w:rPr>
                    <w:t>项目总投资6760万元，其中环保投资200万元，占总投资的2.96%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pct"/>
                  <w:gridSpan w:val="2"/>
                  <w:tcBorders>
                    <w:top w:val="single" w:color="auto" w:sz="4" w:space="0"/>
                    <w:right w:val="single" w:color="auto" w:sz="4" w:space="0"/>
                  </w:tcBorders>
                  <w:tcMar>
                    <w:left w:w="57" w:type="dxa"/>
                    <w:right w:w="57" w:type="dxa"/>
                  </w:tcMar>
                  <w:vAlign w:val="center"/>
                </w:tcPr>
                <w:p>
                  <w:pPr>
                    <w:jc w:val="center"/>
                    <w:rPr>
                      <w:color w:val="auto"/>
                      <w:szCs w:val="21"/>
                      <w:lang w:bidi="ar"/>
                    </w:rPr>
                  </w:pPr>
                  <w:r>
                    <w:rPr>
                      <w:rFonts w:hint="eastAsia"/>
                      <w:color w:val="auto"/>
                      <w:szCs w:val="21"/>
                    </w:rPr>
                    <w:t>主体工程</w:t>
                  </w:r>
                </w:p>
              </w:tc>
              <w:tc>
                <w:tcPr>
                  <w:tcW w:w="4122" w:type="pct"/>
                  <w:tcBorders>
                    <w:top w:val="single" w:color="auto" w:sz="4" w:space="0"/>
                    <w:left w:val="single" w:color="auto" w:sz="4" w:space="0"/>
                  </w:tcBorders>
                  <w:tcMar>
                    <w:left w:w="57" w:type="dxa"/>
                    <w:right w:w="57" w:type="dxa"/>
                  </w:tcMar>
                  <w:vAlign w:val="center"/>
                </w:tcPr>
                <w:p>
                  <w:pPr>
                    <w:rPr>
                      <w:color w:val="auto"/>
                    </w:rPr>
                  </w:pPr>
                  <w:r>
                    <w:rPr>
                      <w:rFonts w:hint="eastAsia"/>
                      <w:color w:val="auto"/>
                    </w:rPr>
                    <w:t>1#生产厂房：位于厂区北部，建筑面积3500</w:t>
                  </w:r>
                  <w:r>
                    <w:rPr>
                      <w:rFonts w:hint="eastAsia"/>
                      <w:color w:val="auto"/>
                      <w:lang w:val="en-US" w:eastAsia="zh-CN"/>
                    </w:rPr>
                    <w:t>m</w:t>
                  </w:r>
                  <w:r>
                    <w:rPr>
                      <w:rFonts w:hint="eastAsia"/>
                      <w:color w:val="auto"/>
                      <w:vertAlign w:val="superscript"/>
                      <w:lang w:val="en-US" w:eastAsia="zh-CN"/>
                    </w:rPr>
                    <w:t>2</w:t>
                  </w:r>
                  <w:r>
                    <w:rPr>
                      <w:rFonts w:hint="eastAsia"/>
                      <w:color w:val="auto"/>
                    </w:rPr>
                    <w:t>，主要布设4条生产线机加工生产设备，主要用于喷塑前机加工和喷塑后的组装</w:t>
                  </w:r>
                </w:p>
                <w:p>
                  <w:pPr>
                    <w:rPr>
                      <w:rFonts w:hint="default" w:eastAsia="宋体"/>
                      <w:color w:val="auto"/>
                      <w:lang w:val="en-US" w:eastAsia="zh-CN"/>
                    </w:rPr>
                  </w:pPr>
                  <w:r>
                    <w:rPr>
                      <w:rFonts w:hint="eastAsia"/>
                      <w:color w:val="auto"/>
                    </w:rPr>
                    <w:t>2#生产厂房：位于厂区北部，建筑面积3500</w:t>
                  </w:r>
                  <w:r>
                    <w:rPr>
                      <w:rFonts w:hint="eastAsia"/>
                      <w:color w:val="auto"/>
                      <w:lang w:val="en-US" w:eastAsia="zh-CN"/>
                    </w:rPr>
                    <w:t>m</w:t>
                  </w:r>
                  <w:r>
                    <w:rPr>
                      <w:rFonts w:hint="eastAsia"/>
                      <w:color w:val="auto"/>
                      <w:vertAlign w:val="superscript"/>
                      <w:lang w:val="en-US" w:eastAsia="zh-CN"/>
                    </w:rPr>
                    <w:t>2</w:t>
                  </w:r>
                  <w:r>
                    <w:rPr>
                      <w:rFonts w:hint="eastAsia"/>
                      <w:color w:val="auto"/>
                    </w:rPr>
                    <w:t>，主要布设喷塑线，</w:t>
                  </w:r>
                  <w:r>
                    <w:rPr>
                      <w:rFonts w:hint="eastAsia"/>
                      <w:color w:val="auto"/>
                      <w:lang w:val="en-US" w:eastAsia="zh-CN"/>
                    </w:rPr>
                    <w:t>手动喷粉室和手喷件固化烘箱，</w:t>
                  </w:r>
                  <w:r>
                    <w:rPr>
                      <w:rFonts w:hint="eastAsia"/>
                      <w:color w:val="auto"/>
                    </w:rPr>
                    <w:t>主要用于机加工后的</w:t>
                  </w:r>
                  <w:r>
                    <w:rPr>
                      <w:rFonts w:hint="eastAsia"/>
                      <w:color w:val="auto"/>
                      <w:lang w:val="en-US" w:eastAsia="zh-CN"/>
                    </w:rPr>
                    <w:t>自动</w:t>
                  </w:r>
                  <w:r>
                    <w:rPr>
                      <w:rFonts w:hint="eastAsia"/>
                      <w:color w:val="auto"/>
                    </w:rPr>
                    <w:t>喷塑处理</w:t>
                  </w:r>
                  <w:r>
                    <w:rPr>
                      <w:rFonts w:hint="eastAsia"/>
                      <w:color w:val="auto"/>
                      <w:lang w:val="en-US" w:eastAsia="zh-CN"/>
                    </w:rPr>
                    <w:t>和手动补喷。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pct"/>
                  <w:gridSpan w:val="2"/>
                  <w:tcBorders>
                    <w:top w:val="single" w:color="auto" w:sz="4" w:space="0"/>
                    <w:right w:val="single" w:color="auto" w:sz="4" w:space="0"/>
                  </w:tcBorders>
                  <w:tcMar>
                    <w:left w:w="57" w:type="dxa"/>
                    <w:right w:w="57" w:type="dxa"/>
                  </w:tcMar>
                  <w:vAlign w:val="center"/>
                </w:tcPr>
                <w:p>
                  <w:pPr>
                    <w:jc w:val="center"/>
                    <w:rPr>
                      <w:color w:val="auto"/>
                      <w:szCs w:val="21"/>
                      <w:lang w:bidi="ar"/>
                    </w:rPr>
                  </w:pPr>
                  <w:r>
                    <w:rPr>
                      <w:rFonts w:hint="eastAsia"/>
                      <w:color w:val="auto"/>
                      <w:szCs w:val="21"/>
                    </w:rPr>
                    <w:t>辅助工程</w:t>
                  </w:r>
                </w:p>
              </w:tc>
              <w:tc>
                <w:tcPr>
                  <w:tcW w:w="4122" w:type="pct"/>
                  <w:tcBorders>
                    <w:top w:val="single" w:color="auto" w:sz="4" w:space="0"/>
                    <w:left w:val="single" w:color="auto" w:sz="4" w:space="0"/>
                  </w:tcBorders>
                  <w:tcMar>
                    <w:left w:w="57" w:type="dxa"/>
                    <w:right w:w="57" w:type="dxa"/>
                  </w:tcMar>
                  <w:vAlign w:val="center"/>
                </w:tcPr>
                <w:p>
                  <w:pPr>
                    <w:rPr>
                      <w:color w:val="auto"/>
                    </w:rPr>
                  </w:pPr>
                  <w:r>
                    <w:rPr>
                      <w:rFonts w:hint="eastAsia"/>
                      <w:color w:val="auto"/>
                    </w:rPr>
                    <w:t>办公室：位于厂区南侧，三层，</w:t>
                  </w:r>
                  <w:r>
                    <w:rPr>
                      <w:rFonts w:hint="eastAsia"/>
                      <w:color w:val="auto"/>
                      <w:lang w:val="en-US" w:eastAsia="zh-CN"/>
                    </w:rPr>
                    <w:t>高9m，</w:t>
                  </w:r>
                  <w:r>
                    <w:rPr>
                      <w:rFonts w:hint="eastAsia"/>
                      <w:color w:val="auto"/>
                    </w:rPr>
                    <w:t>砖混结构，建筑面积1500m</w:t>
                  </w:r>
                  <w:r>
                    <w:rPr>
                      <w:rFonts w:hint="eastAsia"/>
                      <w:color w:val="auto"/>
                      <w:vertAlign w:val="superscript"/>
                    </w:rPr>
                    <w:t>2</w:t>
                  </w:r>
                  <w:r>
                    <w:rPr>
                      <w:rFonts w:hint="eastAsia"/>
                      <w:color w:val="auto"/>
                    </w:rPr>
                    <w:t>，用于职工办公</w:t>
                  </w:r>
                </w:p>
                <w:p>
                  <w:pPr>
                    <w:rPr>
                      <w:color w:val="auto"/>
                    </w:rPr>
                  </w:pPr>
                  <w:r>
                    <w:rPr>
                      <w:rFonts w:hint="eastAsia"/>
                      <w:color w:val="auto"/>
                    </w:rPr>
                    <w:t>研发中心：位于厂区南侧，三层，</w:t>
                  </w:r>
                  <w:r>
                    <w:rPr>
                      <w:rFonts w:hint="eastAsia"/>
                      <w:color w:val="auto"/>
                      <w:lang w:val="en-US" w:eastAsia="zh-CN"/>
                    </w:rPr>
                    <w:t>高9m，</w:t>
                  </w:r>
                  <w:r>
                    <w:rPr>
                      <w:rFonts w:hint="eastAsia"/>
                      <w:color w:val="auto"/>
                    </w:rPr>
                    <w:t>砖混结构，建筑面积1500m</w:t>
                  </w:r>
                  <w:r>
                    <w:rPr>
                      <w:rFonts w:hint="eastAsia"/>
                      <w:color w:val="auto"/>
                      <w:vertAlign w:val="superscript"/>
                    </w:rPr>
                    <w:t>2</w:t>
                  </w:r>
                  <w:r>
                    <w:rPr>
                      <w:rFonts w:hint="eastAsia"/>
                      <w:color w:val="auto"/>
                    </w:rPr>
                    <w:t>，用于科研和研发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7" w:type="pct"/>
                  <w:gridSpan w:val="2"/>
                  <w:vMerge w:val="restart"/>
                  <w:tcBorders>
                    <w:top w:val="single" w:color="auto" w:sz="4" w:space="0"/>
                    <w:right w:val="single" w:color="auto" w:sz="4" w:space="0"/>
                  </w:tcBorders>
                  <w:tcMar>
                    <w:left w:w="57" w:type="dxa"/>
                    <w:right w:w="57" w:type="dxa"/>
                  </w:tcMar>
                  <w:vAlign w:val="center"/>
                </w:tcPr>
                <w:p>
                  <w:pPr>
                    <w:pStyle w:val="30"/>
                    <w:spacing w:line="300" w:lineRule="exact"/>
                    <w:rPr>
                      <w:rFonts w:eastAsia="宋体"/>
                      <w:bCs/>
                      <w:color w:val="auto"/>
                      <w:szCs w:val="21"/>
                    </w:rPr>
                  </w:pPr>
                  <w:r>
                    <w:rPr>
                      <w:rFonts w:hint="eastAsia" w:eastAsia="宋体"/>
                      <w:bCs/>
                      <w:color w:val="auto"/>
                      <w:szCs w:val="21"/>
                    </w:rPr>
                    <w:t>储运工程</w:t>
                  </w:r>
                </w:p>
              </w:tc>
              <w:tc>
                <w:tcPr>
                  <w:tcW w:w="4122" w:type="pct"/>
                  <w:tcBorders>
                    <w:top w:val="single" w:color="auto" w:sz="4" w:space="0"/>
                    <w:left w:val="single" w:color="auto" w:sz="4" w:space="0"/>
                  </w:tcBorders>
                  <w:tcMar>
                    <w:left w:w="57" w:type="dxa"/>
                    <w:right w:w="57" w:type="dxa"/>
                  </w:tcMar>
                  <w:vAlign w:val="center"/>
                </w:tcPr>
                <w:p>
                  <w:pPr>
                    <w:spacing w:line="240" w:lineRule="exact"/>
                    <w:rPr>
                      <w:color w:val="auto"/>
                    </w:rPr>
                  </w:pPr>
                  <w:r>
                    <w:rPr>
                      <w:rFonts w:hint="eastAsia"/>
                      <w:color w:val="auto"/>
                    </w:rPr>
                    <w:t>1#生产厂房原料区：位于1#生产厂房内</w:t>
                  </w:r>
                  <w:r>
                    <w:rPr>
                      <w:rFonts w:hint="eastAsia"/>
                      <w:color w:val="auto"/>
                      <w:lang w:val="en-US" w:eastAsia="zh-CN"/>
                    </w:rPr>
                    <w:t>西北角</w:t>
                  </w:r>
                  <w:r>
                    <w:rPr>
                      <w:rFonts w:hint="eastAsia"/>
                      <w:color w:val="auto"/>
                    </w:rPr>
                    <w:t>，建筑面积500m</w:t>
                  </w:r>
                  <w:r>
                    <w:rPr>
                      <w:rFonts w:hint="eastAsia"/>
                      <w:color w:val="auto"/>
                      <w:vertAlign w:val="superscript"/>
                    </w:rPr>
                    <w:t>2</w:t>
                  </w:r>
                  <w:r>
                    <w:rPr>
                      <w:rFonts w:hint="eastAsia"/>
                      <w:color w:val="auto"/>
                    </w:rPr>
                    <w:t>，主要用于冷轧板的储存。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7" w:type="pct"/>
                  <w:gridSpan w:val="2"/>
                  <w:vMerge w:val="continue"/>
                  <w:tcBorders>
                    <w:right w:val="single" w:color="auto" w:sz="4" w:space="0"/>
                  </w:tcBorders>
                  <w:tcMar>
                    <w:left w:w="57" w:type="dxa"/>
                    <w:right w:w="57" w:type="dxa"/>
                  </w:tcMar>
                  <w:vAlign w:val="center"/>
                </w:tcPr>
                <w:p>
                  <w:pPr>
                    <w:pStyle w:val="30"/>
                    <w:spacing w:line="300" w:lineRule="exact"/>
                    <w:rPr>
                      <w:rFonts w:eastAsia="宋体"/>
                      <w:bCs/>
                      <w:color w:val="auto"/>
                      <w:szCs w:val="21"/>
                    </w:rPr>
                  </w:pPr>
                </w:p>
              </w:tc>
              <w:tc>
                <w:tcPr>
                  <w:tcW w:w="4122" w:type="pct"/>
                  <w:tcBorders>
                    <w:left w:val="single" w:color="auto" w:sz="4" w:space="0"/>
                  </w:tcBorders>
                  <w:tcMar>
                    <w:left w:w="57" w:type="dxa"/>
                    <w:right w:w="57" w:type="dxa"/>
                  </w:tcMar>
                  <w:vAlign w:val="center"/>
                </w:tcPr>
                <w:p>
                  <w:pPr>
                    <w:spacing w:line="240" w:lineRule="exact"/>
                    <w:rPr>
                      <w:color w:val="auto"/>
                    </w:rPr>
                  </w:pPr>
                  <w:r>
                    <w:rPr>
                      <w:rFonts w:hint="eastAsia"/>
                      <w:color w:val="auto"/>
                    </w:rPr>
                    <w:t>2#生产厂房原料区：</w:t>
                  </w:r>
                  <w:r>
                    <w:rPr>
                      <w:rFonts w:hint="eastAsia"/>
                      <w:color w:val="auto"/>
                      <w:highlight w:val="none"/>
                    </w:rPr>
                    <w:t>位于</w:t>
                  </w:r>
                  <w:r>
                    <w:rPr>
                      <w:rFonts w:hint="eastAsia"/>
                      <w:color w:val="auto"/>
                      <w:highlight w:val="none"/>
                      <w:lang w:val="en-US" w:eastAsia="zh-CN"/>
                    </w:rPr>
                    <w:t>2</w:t>
                  </w:r>
                  <w:r>
                    <w:rPr>
                      <w:rFonts w:hint="eastAsia"/>
                      <w:color w:val="auto"/>
                      <w:highlight w:val="none"/>
                    </w:rPr>
                    <w:t>#生产厂房</w:t>
                  </w:r>
                  <w:r>
                    <w:rPr>
                      <w:rFonts w:hint="eastAsia"/>
                      <w:color w:val="auto"/>
                    </w:rPr>
                    <w:t>内</w:t>
                  </w:r>
                  <w:r>
                    <w:rPr>
                      <w:rFonts w:hint="eastAsia"/>
                      <w:color w:val="auto"/>
                      <w:lang w:val="en-US" w:eastAsia="zh-CN"/>
                    </w:rPr>
                    <w:t>东北角</w:t>
                  </w:r>
                  <w:r>
                    <w:rPr>
                      <w:rFonts w:hint="eastAsia"/>
                      <w:color w:val="auto"/>
                    </w:rPr>
                    <w:t>，建筑面积500m</w:t>
                  </w:r>
                  <w:r>
                    <w:rPr>
                      <w:rFonts w:hint="eastAsia"/>
                      <w:color w:val="auto"/>
                      <w:vertAlign w:val="superscript"/>
                    </w:rPr>
                    <w:t>2</w:t>
                  </w:r>
                  <w:r>
                    <w:rPr>
                      <w:rFonts w:hint="eastAsia"/>
                      <w:color w:val="auto"/>
                    </w:rPr>
                    <w:t>，主要用于</w:t>
                  </w:r>
                  <w:r>
                    <w:rPr>
                      <w:rFonts w:hint="eastAsia"/>
                      <w:color w:val="auto"/>
                      <w:lang w:val="en-US" w:eastAsia="zh-CN"/>
                    </w:rPr>
                    <w:t>铜排、</w:t>
                  </w:r>
                  <w:r>
                    <w:rPr>
                      <w:rFonts w:hint="eastAsia"/>
                      <w:color w:val="auto"/>
                    </w:rPr>
                    <w:t>粉末涂料和脱脂用药剂的储存。</w:t>
                  </w:r>
                </w:p>
                <w:p>
                  <w:pPr>
                    <w:spacing w:line="240" w:lineRule="exact"/>
                    <w:rPr>
                      <w:color w:val="auto"/>
                      <w:szCs w:val="21"/>
                    </w:rPr>
                  </w:pPr>
                  <w:r>
                    <w:rPr>
                      <w:rFonts w:hint="eastAsia"/>
                      <w:color w:val="auto"/>
                    </w:rPr>
                    <w:t>2#生产厂房</w:t>
                  </w:r>
                  <w:r>
                    <w:rPr>
                      <w:rFonts w:hint="eastAsia"/>
                      <w:color w:val="auto"/>
                      <w:lang w:val="en-US" w:eastAsia="zh-CN"/>
                    </w:rPr>
                    <w:t>半</w:t>
                  </w:r>
                  <w:r>
                    <w:rPr>
                      <w:rFonts w:hint="eastAsia"/>
                      <w:color w:val="auto"/>
                    </w:rPr>
                    <w:t>成品区：位于车间</w:t>
                  </w:r>
                  <w:r>
                    <w:rPr>
                      <w:rFonts w:hint="eastAsia"/>
                      <w:color w:val="auto"/>
                      <w:lang w:val="en-US" w:eastAsia="zh-CN"/>
                    </w:rPr>
                    <w:t>中部西</w:t>
                  </w:r>
                  <w:r>
                    <w:rPr>
                      <w:rFonts w:hint="eastAsia"/>
                      <w:color w:val="auto"/>
                    </w:rPr>
                    <w:t>侧，建筑面积500m</w:t>
                  </w:r>
                  <w:r>
                    <w:rPr>
                      <w:rFonts w:hint="eastAsia"/>
                      <w:color w:val="auto"/>
                      <w:vertAlign w:val="superscript"/>
                    </w:rPr>
                    <w:t>2</w:t>
                  </w:r>
                  <w:r>
                    <w:rPr>
                      <w:rFonts w:hint="eastAsia"/>
                      <w:color w:val="auto"/>
                    </w:rPr>
                    <w:t>，主要用于</w:t>
                  </w:r>
                  <w:r>
                    <w:rPr>
                      <w:rFonts w:hint="eastAsia"/>
                      <w:color w:val="auto"/>
                      <w:lang w:val="en-US" w:eastAsia="zh-CN"/>
                    </w:rPr>
                    <w:t>半</w:t>
                  </w:r>
                  <w:r>
                    <w:rPr>
                      <w:rFonts w:hint="eastAsia"/>
                      <w:color w:val="auto"/>
                    </w:rPr>
                    <w:t>成品配电柜和变电站储存。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vMerge w:val="restart"/>
                  <w:tcBorders>
                    <w:top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公用</w:t>
                  </w:r>
                </w:p>
                <w:p>
                  <w:pPr>
                    <w:spacing w:line="300" w:lineRule="exact"/>
                    <w:jc w:val="center"/>
                    <w:rPr>
                      <w:color w:val="auto"/>
                      <w:szCs w:val="21"/>
                    </w:rPr>
                  </w:pPr>
                  <w:r>
                    <w:rPr>
                      <w:color w:val="auto"/>
                      <w:szCs w:val="21"/>
                    </w:rPr>
                    <w:t>工程</w:t>
                  </w:r>
                </w:p>
              </w:tc>
              <w:tc>
                <w:tcPr>
                  <w:tcW w:w="4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供水</w:t>
                  </w:r>
                </w:p>
              </w:tc>
              <w:tc>
                <w:tcPr>
                  <w:tcW w:w="4122" w:type="pct"/>
                  <w:tcBorders>
                    <w:top w:val="single" w:color="auto" w:sz="4" w:space="0"/>
                    <w:left w:val="single" w:color="auto" w:sz="4" w:space="0"/>
                  </w:tcBorders>
                  <w:tcMar>
                    <w:left w:w="57" w:type="dxa"/>
                    <w:right w:w="57" w:type="dxa"/>
                  </w:tcMar>
                  <w:vAlign w:val="center"/>
                </w:tcPr>
                <w:p>
                  <w:pPr>
                    <w:widowControl/>
                    <w:jc w:val="left"/>
                    <w:rPr>
                      <w:color w:val="auto"/>
                      <w:szCs w:val="21"/>
                    </w:rPr>
                  </w:pPr>
                  <w:r>
                    <w:rPr>
                      <w:rFonts w:hint="eastAsia"/>
                      <w:color w:val="auto"/>
                      <w:szCs w:val="21"/>
                    </w:rPr>
                    <w:t>喷塑线生产用水和员工生活用水依托聚银公司现有的供水系统，由园区提供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供电</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生活和生产用电依托聚银公司现有的供电系统，由园区提供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color w:val="auto"/>
                      <w:szCs w:val="21"/>
                    </w:rPr>
                  </w:pPr>
                  <w:r>
                    <w:rPr>
                      <w:rFonts w:hAnsi="宋体"/>
                      <w:color w:val="auto"/>
                      <w:szCs w:val="21"/>
                    </w:rPr>
                    <w:t>供热</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办公室冬季取暖、夏季制冷均采用单体空调，喷塑生产线水洗后烘干、喷塑后固化采用天然气加热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hAnsi="宋体"/>
                      <w:color w:val="auto"/>
                      <w:szCs w:val="21"/>
                    </w:rPr>
                  </w:pPr>
                  <w:r>
                    <w:rPr>
                      <w:rFonts w:hint="eastAsia" w:hAnsi="宋体"/>
                      <w:color w:val="auto"/>
                      <w:szCs w:val="21"/>
                    </w:rPr>
                    <w:t>供气</w:t>
                  </w:r>
                </w:p>
              </w:tc>
              <w:tc>
                <w:tcPr>
                  <w:tcW w:w="4122" w:type="pct"/>
                  <w:tcBorders>
                    <w:top w:val="single" w:color="auto" w:sz="4" w:space="0"/>
                    <w:left w:val="single" w:color="auto" w:sz="4" w:space="0"/>
                    <w:bottom w:val="single" w:color="auto" w:sz="4" w:space="0"/>
                  </w:tcBorders>
                  <w:tcMar>
                    <w:left w:w="57" w:type="dxa"/>
                    <w:right w:w="57" w:type="dxa"/>
                  </w:tcMar>
                  <w:vAlign w:val="center"/>
                </w:tcPr>
                <w:p>
                  <w:pPr>
                    <w:widowControl/>
                    <w:rPr>
                      <w:color w:val="auto"/>
                      <w:szCs w:val="21"/>
                    </w:rPr>
                  </w:pPr>
                  <w:r>
                    <w:rPr>
                      <w:rFonts w:hint="eastAsia"/>
                      <w:color w:val="auto"/>
                      <w:szCs w:val="21"/>
                    </w:rPr>
                    <w:t>本项目生产过程中喷塑生产线水洗后烘干、喷塑后固化采用天然气，由开发区天然气供气管网供给。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bottom w:val="single" w:color="auto" w:sz="4" w:space="0"/>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0"/>
                    <w:spacing w:line="300" w:lineRule="exact"/>
                    <w:rPr>
                      <w:color w:val="auto"/>
                      <w:szCs w:val="21"/>
                    </w:rPr>
                  </w:pPr>
                  <w:r>
                    <w:rPr>
                      <w:color w:val="auto"/>
                      <w:szCs w:val="21"/>
                    </w:rPr>
                    <w:t>排水</w:t>
                  </w:r>
                </w:p>
              </w:tc>
              <w:tc>
                <w:tcPr>
                  <w:tcW w:w="4122" w:type="pct"/>
                  <w:tcBorders>
                    <w:top w:val="single" w:color="auto" w:sz="4" w:space="0"/>
                    <w:left w:val="single" w:color="auto" w:sz="4" w:space="0"/>
                    <w:bottom w:val="single" w:color="auto" w:sz="4" w:space="0"/>
                  </w:tcBorders>
                  <w:tcMar>
                    <w:left w:w="57" w:type="dxa"/>
                    <w:right w:w="57" w:type="dxa"/>
                  </w:tcMar>
                  <w:vAlign w:val="center"/>
                </w:tcPr>
                <w:p>
                  <w:pPr>
                    <w:pStyle w:val="30"/>
                    <w:spacing w:line="300" w:lineRule="exact"/>
                    <w:jc w:val="both"/>
                    <w:rPr>
                      <w:rFonts w:eastAsia="宋体"/>
                      <w:color w:val="auto"/>
                      <w:szCs w:val="21"/>
                    </w:rPr>
                  </w:pPr>
                  <w:r>
                    <w:rPr>
                      <w:rFonts w:hint="eastAsia" w:eastAsia="宋体"/>
                      <w:color w:val="auto"/>
                      <w:szCs w:val="21"/>
                    </w:rPr>
                    <w:t>本项目喷塑线生产废水经自建的一体化污水处理设施处理排入园区污水管网，最终进入魏县开发区污水处理厂处理；员工日常生活产生的生活废水依托聚银化粪池处理后排入园区污水管网，最终进入魏县开发区污水处理厂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42" w:type="pct"/>
                  <w:vMerge w:val="restart"/>
                  <w:tcBorders>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rPr>
                    <w:t>环保</w:t>
                  </w:r>
                </w:p>
                <w:p>
                  <w:pPr>
                    <w:spacing w:line="300" w:lineRule="exact"/>
                    <w:jc w:val="center"/>
                    <w:rPr>
                      <w:color w:val="auto"/>
                      <w:szCs w:val="21"/>
                    </w:rPr>
                  </w:pPr>
                  <w:r>
                    <w:rPr>
                      <w:rFonts w:hint="eastAsia"/>
                      <w:color w:val="auto"/>
                      <w:szCs w:val="21"/>
                    </w:rPr>
                    <w:t>工程</w:t>
                  </w:r>
                </w:p>
              </w:tc>
              <w:tc>
                <w:tcPr>
                  <w:tcW w:w="435" w:type="pct"/>
                  <w:tcBorders>
                    <w:left w:val="single" w:color="auto" w:sz="4" w:space="0"/>
                    <w:right w:val="single" w:color="auto" w:sz="4" w:space="0"/>
                  </w:tcBorders>
                  <w:tcMar>
                    <w:left w:w="57" w:type="dxa"/>
                    <w:right w:w="57" w:type="dxa"/>
                  </w:tcMar>
                  <w:vAlign w:val="center"/>
                </w:tcPr>
                <w:p>
                  <w:pPr>
                    <w:spacing w:line="300" w:lineRule="exact"/>
                    <w:jc w:val="center"/>
                    <w:rPr>
                      <w:color w:val="auto"/>
                      <w:szCs w:val="21"/>
                    </w:rPr>
                  </w:pPr>
                  <w:r>
                    <w:rPr>
                      <w:rFonts w:hint="eastAsia"/>
                      <w:color w:val="auto"/>
                      <w:szCs w:val="21"/>
                    </w:rPr>
                    <w:t>废气</w:t>
                  </w:r>
                </w:p>
              </w:tc>
              <w:tc>
                <w:tcPr>
                  <w:tcW w:w="4122" w:type="pct"/>
                  <w:tcBorders>
                    <w:left w:val="single" w:color="auto" w:sz="4" w:space="0"/>
                  </w:tcBorders>
                  <w:tcMar>
                    <w:left w:w="57" w:type="dxa"/>
                    <w:right w:w="57" w:type="dxa"/>
                  </w:tcMar>
                  <w:vAlign w:val="center"/>
                </w:tcPr>
                <w:p>
                  <w:pPr>
                    <w:pStyle w:val="30"/>
                    <w:spacing w:line="300" w:lineRule="exact"/>
                    <w:jc w:val="both"/>
                    <w:rPr>
                      <w:rFonts w:eastAsia="宋体"/>
                      <w:color w:val="auto"/>
                      <w:szCs w:val="21"/>
                    </w:rPr>
                  </w:pPr>
                  <w:r>
                    <w:rPr>
                      <w:rFonts w:hint="eastAsia" w:eastAsia="宋体"/>
                      <w:color w:val="auto"/>
                      <w:szCs w:val="21"/>
                    </w:rPr>
                    <w:t>切割、打孔和焊接工序废气经1套布袋除尘器处理后通过15m排气筒（DA001）排放到室外；喷塑工序喷塑含尘废气经喷粉房自带的</w:t>
                  </w:r>
                  <w:r>
                    <w:rPr>
                      <w:rFonts w:hint="eastAsia" w:eastAsia="宋体"/>
                      <w:color w:val="auto"/>
                      <w:szCs w:val="21"/>
                      <w:lang w:eastAsia="zh-CN"/>
                    </w:rPr>
                    <w:t>二级高效滤芯除尘器+布袋除尘器</w:t>
                  </w:r>
                  <w:r>
                    <w:rPr>
                      <w:rFonts w:hint="eastAsia" w:eastAsia="宋体"/>
                      <w:color w:val="auto"/>
                      <w:szCs w:val="21"/>
                    </w:rPr>
                    <w:t>处理后通过15m高排气筒排放（DA002）；天然气燃烧机废气通过15m高排气筒排放（DA003)，固化废气通过旋流塔+干湿过滤箱+活性炭吸附浓缩+催化燃烧装置处理后通过15m高排气筒排放（DA004）；手动喷粉房内含粉气体经1套布袋除尘器处理后通过15m排气筒（DA005）排放到室外，手喷件固化烘箱会产生固化废气通过1套二级活性炭吸附后通过15m排气筒（DA006）排放到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废水</w:t>
                  </w:r>
                </w:p>
              </w:tc>
              <w:tc>
                <w:tcPr>
                  <w:tcW w:w="4122" w:type="pct"/>
                  <w:tcBorders>
                    <w:top w:val="single" w:color="auto" w:sz="4" w:space="0"/>
                    <w:left w:val="single" w:color="auto" w:sz="4" w:space="0"/>
                  </w:tcBorders>
                  <w:tcMar>
                    <w:left w:w="57" w:type="dxa"/>
                    <w:right w:w="57" w:type="dxa"/>
                  </w:tcMar>
                  <w:vAlign w:val="center"/>
                </w:tcPr>
                <w:p>
                  <w:pPr>
                    <w:rPr>
                      <w:color w:val="auto"/>
                      <w:szCs w:val="21"/>
                    </w:rPr>
                  </w:pPr>
                  <w:r>
                    <w:rPr>
                      <w:rFonts w:hint="eastAsia"/>
                      <w:color w:val="auto"/>
                      <w:szCs w:val="21"/>
                    </w:rPr>
                    <w:t>本项目喷塑线生产废水经自建一体化污水处理设施处理排入园区污水管网，最终进入魏县开发区污水处理厂处理；员工日常生活产生的生活废水依托聚银化粪池处理后排入园区污水管网，最终进入魏县开发区污水处理厂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噪声</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240" w:lineRule="exact"/>
                    <w:rPr>
                      <w:color w:val="auto"/>
                      <w:szCs w:val="21"/>
                    </w:rPr>
                  </w:pPr>
                  <w:r>
                    <w:rPr>
                      <w:rFonts w:hint="eastAsia"/>
                      <w:bCs/>
                      <w:color w:val="auto"/>
                      <w:kern w:val="0"/>
                      <w:szCs w:val="21"/>
                    </w:rPr>
                    <w:t>低噪声设备、置于密闭车间、基础减振、消声等措施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tcBorders>
                    <w:right w:val="single" w:color="auto" w:sz="4" w:space="0"/>
                  </w:tcBorders>
                  <w:tcMar>
                    <w:left w:w="57" w:type="dxa"/>
                    <w:right w:w="57" w:type="dxa"/>
                  </w:tcMar>
                  <w:vAlign w:val="center"/>
                </w:tcPr>
                <w:p>
                  <w:pPr>
                    <w:spacing w:line="300" w:lineRule="exact"/>
                    <w:jc w:val="center"/>
                    <w:rPr>
                      <w:color w:val="auto"/>
                      <w:szCs w:val="21"/>
                    </w:rPr>
                  </w:pPr>
                </w:p>
              </w:tc>
              <w:tc>
                <w:tcPr>
                  <w:tcW w:w="4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color w:val="auto"/>
                      <w:szCs w:val="21"/>
                    </w:rPr>
                  </w:pPr>
                  <w:r>
                    <w:rPr>
                      <w:color w:val="auto"/>
                      <w:szCs w:val="21"/>
                    </w:rPr>
                    <w:t>固废</w:t>
                  </w:r>
                </w:p>
              </w:tc>
              <w:tc>
                <w:tcPr>
                  <w:tcW w:w="4122" w:type="pct"/>
                  <w:tcBorders>
                    <w:top w:val="single" w:color="auto" w:sz="4" w:space="0"/>
                    <w:left w:val="single" w:color="auto" w:sz="4" w:space="0"/>
                    <w:bottom w:val="single" w:color="auto" w:sz="4" w:space="0"/>
                  </w:tcBorders>
                  <w:tcMar>
                    <w:left w:w="57" w:type="dxa"/>
                    <w:right w:w="57" w:type="dxa"/>
                  </w:tcMar>
                  <w:vAlign w:val="center"/>
                </w:tcPr>
                <w:p>
                  <w:pPr>
                    <w:spacing w:line="240" w:lineRule="exact"/>
                    <w:rPr>
                      <w:color w:val="auto"/>
                      <w:szCs w:val="21"/>
                    </w:rPr>
                  </w:pPr>
                  <w:r>
                    <w:rPr>
                      <w:color w:val="auto"/>
                      <w:szCs w:val="21"/>
                    </w:rPr>
                    <w:t>边角料</w:t>
                  </w:r>
                  <w:r>
                    <w:rPr>
                      <w:rFonts w:hint="eastAsia"/>
                      <w:color w:val="auto"/>
                      <w:szCs w:val="21"/>
                    </w:rPr>
                    <w:t>、废铜线、焊渣</w:t>
                  </w:r>
                  <w:r>
                    <w:rPr>
                      <w:color w:val="auto"/>
                      <w:szCs w:val="21"/>
                    </w:rPr>
                    <w:t>收集后外售，</w:t>
                  </w:r>
                  <w:r>
                    <w:rPr>
                      <w:rFonts w:hint="eastAsia"/>
                      <w:color w:val="auto"/>
                      <w:szCs w:val="21"/>
                    </w:rPr>
                    <w:t>塑粉废包装袋、</w:t>
                  </w:r>
                  <w:r>
                    <w:rPr>
                      <w:rFonts w:hint="eastAsia"/>
                      <w:color w:val="auto"/>
                      <w:szCs w:val="21"/>
                      <w:lang w:val="en-US" w:eastAsia="zh-CN"/>
                    </w:rPr>
                    <w:t>脱脂剂</w:t>
                  </w:r>
                  <w:r>
                    <w:rPr>
                      <w:rFonts w:hint="eastAsia"/>
                      <w:color w:val="auto"/>
                      <w:szCs w:val="21"/>
                    </w:rPr>
                    <w:t>废包装桶、催化燃烧设备产生的废催化剂、喷涂产生的废滤芯由厂家回收利用，</w:t>
                  </w:r>
                  <w:r>
                    <w:rPr>
                      <w:color w:val="auto"/>
                      <w:szCs w:val="21"/>
                    </w:rPr>
                    <w:t>喷涂工序</w:t>
                  </w:r>
                  <w:r>
                    <w:rPr>
                      <w:rFonts w:hint="eastAsia"/>
                      <w:color w:val="auto"/>
                      <w:szCs w:val="21"/>
                      <w:lang w:val="en-US" w:eastAsia="zh-CN"/>
                    </w:rPr>
                    <w:t>布袋除尘器</w:t>
                  </w:r>
                  <w:r>
                    <w:rPr>
                      <w:color w:val="auto"/>
                      <w:szCs w:val="21"/>
                    </w:rPr>
                    <w:t>产生的除尘灰</w:t>
                  </w:r>
                  <w:r>
                    <w:rPr>
                      <w:rFonts w:hint="eastAsia"/>
                      <w:color w:val="auto"/>
                      <w:szCs w:val="21"/>
                      <w:lang w:val="en-US" w:eastAsia="zh-CN"/>
                    </w:rPr>
                    <w:t>委外处置</w:t>
                  </w:r>
                  <w:r>
                    <w:rPr>
                      <w:rFonts w:hint="eastAsia"/>
                      <w:color w:val="auto"/>
                      <w:szCs w:val="21"/>
                    </w:rPr>
                    <w:t>，</w:t>
                  </w:r>
                  <w:r>
                    <w:rPr>
                      <w:rFonts w:hint="eastAsia"/>
                      <w:color w:val="auto"/>
                      <w:szCs w:val="21"/>
                      <w:lang w:val="en-US" w:eastAsia="zh-CN"/>
                    </w:rPr>
                    <w:t>二级滤芯回收系统回收的废塑粉</w:t>
                  </w:r>
                  <w:r>
                    <w:rPr>
                      <w:rFonts w:hint="eastAsia"/>
                      <w:color w:val="auto"/>
                      <w:szCs w:val="21"/>
                    </w:rPr>
                    <w:t>回用于喷塑工序；</w:t>
                  </w:r>
                  <w:r>
                    <w:rPr>
                      <w:color w:val="auto"/>
                      <w:szCs w:val="21"/>
                    </w:rPr>
                    <w:t>废活性炭、</w:t>
                  </w:r>
                  <w:r>
                    <w:rPr>
                      <w:rFonts w:hint="eastAsia"/>
                      <w:color w:val="auto"/>
                      <w:szCs w:val="21"/>
                    </w:rPr>
                    <w:t>废过滤棉、</w:t>
                  </w:r>
                  <w:r>
                    <w:rPr>
                      <w:color w:val="auto"/>
                      <w:szCs w:val="21"/>
                    </w:rPr>
                    <w:t>废液压油</w:t>
                  </w:r>
                  <w:r>
                    <w:rPr>
                      <w:rFonts w:hint="eastAsia"/>
                      <w:color w:val="auto"/>
                      <w:szCs w:val="21"/>
                    </w:rPr>
                    <w:t>、废油桶、污水处理站污泥和气浮机产生的废油、脱脂槽产生的废槽渣</w:t>
                  </w:r>
                  <w:r>
                    <w:rPr>
                      <w:color w:val="auto"/>
                      <w:szCs w:val="21"/>
                    </w:rPr>
                    <w:t>贮存于危险废物贮存间定期交由有资质单位收集处置，生活垃圾由环卫部门统一定期清运。</w:t>
                  </w:r>
                </w:p>
              </w:tc>
            </w:tr>
          </w:tbl>
          <w:p>
            <w:pPr>
              <w:spacing w:line="360" w:lineRule="auto"/>
              <w:ind w:firstLine="472" w:firstLineChars="200"/>
              <w:rPr>
                <w:b/>
                <w:bCs/>
                <w:color w:val="auto"/>
                <w:sz w:val="24"/>
                <w:szCs w:val="24"/>
              </w:rPr>
            </w:pPr>
            <w:r>
              <w:rPr>
                <w:rFonts w:hint="eastAsia"/>
                <w:b/>
                <w:bCs/>
                <w:color w:val="auto"/>
                <w:sz w:val="24"/>
                <w:szCs w:val="24"/>
              </w:rPr>
              <w:t>2、产品方案</w:t>
            </w:r>
          </w:p>
          <w:p>
            <w:pPr>
              <w:spacing w:line="360" w:lineRule="auto"/>
              <w:ind w:firstLine="472" w:firstLineChars="200"/>
              <w:rPr>
                <w:rFonts w:eastAsiaTheme="minorEastAsia"/>
                <w:b/>
                <w:bCs/>
                <w:color w:val="auto"/>
                <w:spacing w:val="-2"/>
                <w:szCs w:val="24"/>
              </w:rPr>
            </w:pPr>
            <w:r>
              <w:rPr>
                <w:rFonts w:hint="eastAsia"/>
                <w:color w:val="auto"/>
                <w:sz w:val="24"/>
                <w:szCs w:val="24"/>
              </w:rPr>
              <w:t>本项目</w:t>
            </w:r>
            <w:bookmarkStart w:id="0" w:name="_Toc14893"/>
            <w:r>
              <w:rPr>
                <w:rFonts w:hint="eastAsia"/>
                <w:color w:val="auto"/>
                <w:sz w:val="24"/>
                <w:szCs w:val="24"/>
              </w:rPr>
              <w:t>产品一览表见表2-2。</w:t>
            </w:r>
            <w:bookmarkEnd w:id="0"/>
          </w:p>
          <w:p>
            <w:pPr>
              <w:pStyle w:val="24"/>
              <w:spacing w:line="360" w:lineRule="auto"/>
              <w:jc w:val="center"/>
              <w:rPr>
                <w:b/>
                <w:bCs/>
                <w:color w:val="auto"/>
              </w:rPr>
            </w:pPr>
            <w:r>
              <w:rPr>
                <w:rFonts w:hint="eastAsia" w:eastAsiaTheme="minorEastAsia"/>
                <w:b/>
                <w:bCs/>
                <w:color w:val="auto"/>
                <w:spacing w:val="-2"/>
                <w:szCs w:val="24"/>
              </w:rPr>
              <w:t>表2-2项目</w:t>
            </w:r>
            <w:r>
              <w:rPr>
                <w:rFonts w:hint="eastAsia" w:hAnsiTheme="minorEastAsia" w:eastAsiaTheme="minorEastAsia"/>
                <w:b/>
                <w:bCs/>
                <w:color w:val="auto"/>
                <w:spacing w:val="-2"/>
                <w:szCs w:val="24"/>
              </w:rPr>
              <w:t>产品方案</w:t>
            </w:r>
            <w:r>
              <w:rPr>
                <w:rFonts w:hAnsiTheme="minorEastAsia" w:eastAsiaTheme="minorEastAsia"/>
                <w:b/>
                <w:bCs/>
                <w:color w:val="auto"/>
              </w:rPr>
              <w:t>一览表</w:t>
            </w:r>
          </w:p>
          <w:tbl>
            <w:tblPr>
              <w:tblStyle w:val="20"/>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337"/>
              <w:gridCol w:w="1874"/>
              <w:gridCol w:w="36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90" w:type="pct"/>
                  <w:vAlign w:val="center"/>
                </w:tcPr>
                <w:p>
                  <w:pPr>
                    <w:pStyle w:val="24"/>
                    <w:jc w:val="center"/>
                    <w:rPr>
                      <w:b/>
                      <w:bCs/>
                      <w:color w:val="auto"/>
                      <w:sz w:val="21"/>
                      <w:szCs w:val="21"/>
                    </w:rPr>
                  </w:pPr>
                  <w:r>
                    <w:rPr>
                      <w:rFonts w:hint="eastAsia"/>
                      <w:b/>
                      <w:bCs/>
                      <w:color w:val="auto"/>
                      <w:sz w:val="21"/>
                      <w:szCs w:val="21"/>
                    </w:rPr>
                    <w:t>产品名称</w:t>
                  </w:r>
                </w:p>
              </w:tc>
              <w:tc>
                <w:tcPr>
                  <w:tcW w:w="757" w:type="pct"/>
                  <w:vAlign w:val="center"/>
                </w:tcPr>
                <w:p>
                  <w:pPr>
                    <w:pStyle w:val="24"/>
                    <w:jc w:val="center"/>
                    <w:rPr>
                      <w:b/>
                      <w:bCs/>
                      <w:color w:val="auto"/>
                      <w:sz w:val="21"/>
                      <w:szCs w:val="21"/>
                    </w:rPr>
                  </w:pPr>
                  <w:r>
                    <w:rPr>
                      <w:rFonts w:hint="eastAsia"/>
                      <w:b/>
                      <w:bCs/>
                      <w:color w:val="auto"/>
                      <w:sz w:val="21"/>
                      <w:szCs w:val="21"/>
                    </w:rPr>
                    <w:t>单位</w:t>
                  </w:r>
                </w:p>
              </w:tc>
              <w:tc>
                <w:tcPr>
                  <w:tcW w:w="1062" w:type="pct"/>
                  <w:vAlign w:val="center"/>
                </w:tcPr>
                <w:p>
                  <w:pPr>
                    <w:pStyle w:val="24"/>
                    <w:jc w:val="center"/>
                    <w:rPr>
                      <w:b/>
                      <w:bCs/>
                      <w:color w:val="auto"/>
                      <w:sz w:val="21"/>
                      <w:szCs w:val="21"/>
                    </w:rPr>
                  </w:pPr>
                  <w:r>
                    <w:rPr>
                      <w:rFonts w:hint="eastAsia"/>
                      <w:b/>
                      <w:bCs/>
                      <w:color w:val="auto"/>
                      <w:sz w:val="21"/>
                      <w:szCs w:val="21"/>
                    </w:rPr>
                    <w:t>数量</w:t>
                  </w:r>
                </w:p>
              </w:tc>
              <w:tc>
                <w:tcPr>
                  <w:tcW w:w="2089" w:type="pct"/>
                  <w:vAlign w:val="center"/>
                </w:tcPr>
                <w:p>
                  <w:pPr>
                    <w:pStyle w:val="24"/>
                    <w:jc w:val="center"/>
                    <w:rPr>
                      <w:b/>
                      <w:bCs/>
                      <w:color w:val="auto"/>
                      <w:sz w:val="21"/>
                      <w:szCs w:val="21"/>
                    </w:rPr>
                  </w:pPr>
                  <w:r>
                    <w:rPr>
                      <w:rFonts w:hint="eastAsia"/>
                      <w:b/>
                      <w:bCs/>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0" w:type="pct"/>
                  <w:vAlign w:val="center"/>
                </w:tcPr>
                <w:p>
                  <w:pPr>
                    <w:widowControl/>
                    <w:jc w:val="center"/>
                    <w:rPr>
                      <w:rFonts w:eastAsiaTheme="minorEastAsia"/>
                      <w:color w:val="auto"/>
                      <w:szCs w:val="21"/>
                    </w:rPr>
                  </w:pPr>
                  <w:r>
                    <w:rPr>
                      <w:rFonts w:hint="eastAsia"/>
                      <w:color w:val="auto"/>
                      <w:kern w:val="0"/>
                      <w:szCs w:val="21"/>
                    </w:rPr>
                    <w:t>厢式变电站</w:t>
                  </w:r>
                </w:p>
              </w:tc>
              <w:tc>
                <w:tcPr>
                  <w:tcW w:w="757" w:type="pct"/>
                  <w:vAlign w:val="center"/>
                </w:tcPr>
                <w:p>
                  <w:pPr>
                    <w:pStyle w:val="24"/>
                    <w:jc w:val="center"/>
                    <w:rPr>
                      <w:rFonts w:eastAsiaTheme="minorEastAsia"/>
                      <w:color w:val="auto"/>
                      <w:sz w:val="21"/>
                      <w:szCs w:val="21"/>
                    </w:rPr>
                  </w:pPr>
                  <w:r>
                    <w:rPr>
                      <w:rFonts w:hint="eastAsia" w:eastAsiaTheme="minorEastAsia"/>
                      <w:color w:val="auto"/>
                      <w:sz w:val="21"/>
                      <w:szCs w:val="21"/>
                    </w:rPr>
                    <w:t>台/年</w:t>
                  </w:r>
                </w:p>
              </w:tc>
              <w:tc>
                <w:tcPr>
                  <w:tcW w:w="1062" w:type="pct"/>
                  <w:vAlign w:val="center"/>
                </w:tcPr>
                <w:p>
                  <w:pPr>
                    <w:pStyle w:val="24"/>
                    <w:jc w:val="center"/>
                    <w:rPr>
                      <w:color w:val="auto"/>
                      <w:sz w:val="21"/>
                      <w:szCs w:val="21"/>
                    </w:rPr>
                  </w:pPr>
                  <w:r>
                    <w:rPr>
                      <w:rFonts w:hint="eastAsia"/>
                      <w:color w:val="auto"/>
                      <w:sz w:val="21"/>
                      <w:szCs w:val="21"/>
                    </w:rPr>
                    <w:t>500</w:t>
                  </w:r>
                </w:p>
              </w:tc>
              <w:tc>
                <w:tcPr>
                  <w:tcW w:w="2089" w:type="pct"/>
                  <w:vAlign w:val="center"/>
                </w:tcPr>
                <w:p>
                  <w:pPr>
                    <w:pStyle w:val="24"/>
                    <w:jc w:val="center"/>
                    <w:rPr>
                      <w:color w:val="auto"/>
                      <w:sz w:val="21"/>
                      <w:szCs w:val="21"/>
                    </w:rPr>
                  </w:pPr>
                  <w:r>
                    <w:rPr>
                      <w:rFonts w:hint="eastAsia"/>
                      <w:color w:val="auto"/>
                      <w:sz w:val="21"/>
                      <w:szCs w:val="21"/>
                    </w:rPr>
                    <w:t>分为常规型号和客户定制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0" w:type="pct"/>
                  <w:vAlign w:val="center"/>
                </w:tcPr>
                <w:p>
                  <w:pPr>
                    <w:widowControl/>
                    <w:jc w:val="center"/>
                    <w:rPr>
                      <w:rFonts w:eastAsiaTheme="minorEastAsia"/>
                      <w:color w:val="auto"/>
                      <w:szCs w:val="21"/>
                    </w:rPr>
                  </w:pPr>
                  <w:r>
                    <w:rPr>
                      <w:rFonts w:hint="eastAsia"/>
                      <w:color w:val="auto"/>
                      <w:kern w:val="0"/>
                      <w:szCs w:val="21"/>
                    </w:rPr>
                    <w:t>高压配电柜</w:t>
                  </w:r>
                </w:p>
              </w:tc>
              <w:tc>
                <w:tcPr>
                  <w:tcW w:w="757" w:type="pct"/>
                  <w:vAlign w:val="center"/>
                </w:tcPr>
                <w:p>
                  <w:pPr>
                    <w:pStyle w:val="24"/>
                    <w:jc w:val="center"/>
                    <w:rPr>
                      <w:rFonts w:eastAsiaTheme="minorEastAsia"/>
                      <w:color w:val="auto"/>
                      <w:sz w:val="21"/>
                      <w:szCs w:val="21"/>
                    </w:rPr>
                  </w:pPr>
                  <w:r>
                    <w:rPr>
                      <w:rFonts w:hint="eastAsia" w:eastAsiaTheme="minorEastAsia"/>
                      <w:color w:val="auto"/>
                      <w:sz w:val="21"/>
                      <w:szCs w:val="21"/>
                    </w:rPr>
                    <w:t>套/年</w:t>
                  </w:r>
                </w:p>
              </w:tc>
              <w:tc>
                <w:tcPr>
                  <w:tcW w:w="1062" w:type="pct"/>
                  <w:vAlign w:val="center"/>
                </w:tcPr>
                <w:p>
                  <w:pPr>
                    <w:pStyle w:val="24"/>
                    <w:jc w:val="center"/>
                    <w:rPr>
                      <w:rFonts w:hint="default" w:eastAsia="宋体"/>
                      <w:color w:val="auto"/>
                      <w:sz w:val="21"/>
                      <w:szCs w:val="21"/>
                      <w:lang w:val="en-US" w:eastAsia="zh-CN"/>
                    </w:rPr>
                  </w:pPr>
                  <w:r>
                    <w:rPr>
                      <w:rFonts w:hint="eastAsia"/>
                      <w:color w:val="auto"/>
                      <w:sz w:val="21"/>
                      <w:szCs w:val="21"/>
                      <w:lang w:val="en-US" w:eastAsia="zh-CN"/>
                    </w:rPr>
                    <w:t>2000</w:t>
                  </w:r>
                </w:p>
              </w:tc>
              <w:tc>
                <w:tcPr>
                  <w:tcW w:w="2089" w:type="pct"/>
                  <w:vAlign w:val="center"/>
                </w:tcPr>
                <w:p>
                  <w:pPr>
                    <w:pStyle w:val="24"/>
                    <w:jc w:val="center"/>
                    <w:rPr>
                      <w:color w:val="auto"/>
                      <w:sz w:val="21"/>
                      <w:szCs w:val="21"/>
                    </w:rPr>
                  </w:pPr>
                  <w:r>
                    <w:rPr>
                      <w:rFonts w:hint="eastAsia"/>
                      <w:color w:val="auto"/>
                      <w:sz w:val="21"/>
                      <w:szCs w:val="21"/>
                    </w:rPr>
                    <w:t>分为常规型号和客户定制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0" w:type="pct"/>
                  <w:vAlign w:val="center"/>
                </w:tcPr>
                <w:p>
                  <w:pPr>
                    <w:widowControl/>
                    <w:jc w:val="center"/>
                    <w:rPr>
                      <w:rFonts w:eastAsiaTheme="minorEastAsia"/>
                      <w:color w:val="auto"/>
                      <w:szCs w:val="21"/>
                    </w:rPr>
                  </w:pPr>
                  <w:r>
                    <w:rPr>
                      <w:rFonts w:hint="eastAsia"/>
                      <w:color w:val="auto"/>
                      <w:kern w:val="0"/>
                      <w:szCs w:val="21"/>
                    </w:rPr>
                    <w:t>低压配电柜</w:t>
                  </w:r>
                </w:p>
              </w:tc>
              <w:tc>
                <w:tcPr>
                  <w:tcW w:w="757" w:type="pct"/>
                  <w:vAlign w:val="center"/>
                </w:tcPr>
                <w:p>
                  <w:pPr>
                    <w:pStyle w:val="24"/>
                    <w:jc w:val="center"/>
                    <w:rPr>
                      <w:rFonts w:eastAsiaTheme="minorEastAsia"/>
                      <w:color w:val="auto"/>
                      <w:sz w:val="21"/>
                      <w:szCs w:val="21"/>
                    </w:rPr>
                  </w:pPr>
                  <w:r>
                    <w:rPr>
                      <w:rFonts w:hint="eastAsia" w:eastAsiaTheme="minorEastAsia"/>
                      <w:color w:val="auto"/>
                      <w:sz w:val="21"/>
                      <w:szCs w:val="21"/>
                    </w:rPr>
                    <w:t>套/年</w:t>
                  </w:r>
                </w:p>
              </w:tc>
              <w:tc>
                <w:tcPr>
                  <w:tcW w:w="1062" w:type="pct"/>
                  <w:vAlign w:val="center"/>
                </w:tcPr>
                <w:p>
                  <w:pPr>
                    <w:pStyle w:val="24"/>
                    <w:jc w:val="center"/>
                    <w:rPr>
                      <w:rFonts w:hint="default" w:eastAsia="宋体"/>
                      <w:color w:val="auto"/>
                      <w:sz w:val="21"/>
                      <w:szCs w:val="21"/>
                      <w:lang w:val="en-US" w:eastAsia="zh-CN"/>
                    </w:rPr>
                  </w:pPr>
                  <w:r>
                    <w:rPr>
                      <w:rFonts w:hint="eastAsia"/>
                      <w:color w:val="auto"/>
                      <w:sz w:val="21"/>
                      <w:szCs w:val="21"/>
                      <w:lang w:val="en-US" w:eastAsia="zh-CN"/>
                    </w:rPr>
                    <w:t>1000</w:t>
                  </w:r>
                </w:p>
              </w:tc>
              <w:tc>
                <w:tcPr>
                  <w:tcW w:w="2089" w:type="pct"/>
                  <w:vAlign w:val="center"/>
                </w:tcPr>
                <w:p>
                  <w:pPr>
                    <w:pStyle w:val="24"/>
                    <w:jc w:val="center"/>
                    <w:rPr>
                      <w:color w:val="auto"/>
                      <w:sz w:val="21"/>
                      <w:szCs w:val="21"/>
                    </w:rPr>
                  </w:pPr>
                  <w:r>
                    <w:rPr>
                      <w:rFonts w:hint="eastAsia"/>
                      <w:color w:val="auto"/>
                      <w:sz w:val="21"/>
                      <w:szCs w:val="21"/>
                    </w:rPr>
                    <w:t>分为常规型号和客户定制</w:t>
                  </w:r>
                </w:p>
              </w:tc>
            </w:tr>
          </w:tbl>
          <w:p>
            <w:pPr>
              <w:spacing w:line="360" w:lineRule="auto"/>
              <w:ind w:firstLine="472" w:firstLineChars="200"/>
              <w:rPr>
                <w:b/>
                <w:bCs/>
                <w:color w:val="auto"/>
                <w:spacing w:val="-1"/>
                <w:sz w:val="24"/>
              </w:rPr>
            </w:pPr>
            <w:r>
              <w:rPr>
                <w:rFonts w:hint="eastAsia"/>
                <w:color w:val="auto"/>
                <w:sz w:val="24"/>
              </w:rPr>
              <w:t>3、</w:t>
            </w:r>
            <w:r>
              <w:rPr>
                <w:rFonts w:hint="eastAsia"/>
                <w:b/>
                <w:bCs/>
                <w:color w:val="auto"/>
                <w:spacing w:val="-1"/>
                <w:sz w:val="24"/>
              </w:rPr>
              <w:t>主要生产设备</w:t>
            </w:r>
          </w:p>
          <w:p>
            <w:pPr>
              <w:spacing w:line="360" w:lineRule="auto"/>
              <w:ind w:firstLine="472" w:firstLineChars="200"/>
              <w:jc w:val="left"/>
              <w:rPr>
                <w:rFonts w:hAnsiTheme="minorEastAsia" w:eastAsiaTheme="minorEastAsia"/>
                <w:bCs/>
                <w:color w:val="auto"/>
                <w:sz w:val="24"/>
              </w:rPr>
            </w:pPr>
            <w:r>
              <w:rPr>
                <w:rFonts w:hint="eastAsia" w:hAnsiTheme="minorEastAsia" w:eastAsiaTheme="minorEastAsia"/>
                <w:bCs/>
                <w:color w:val="auto"/>
                <w:sz w:val="24"/>
              </w:rPr>
              <w:t>本</w:t>
            </w:r>
            <w:r>
              <w:rPr>
                <w:rFonts w:hAnsiTheme="minorEastAsia" w:eastAsiaTheme="minorEastAsia"/>
                <w:bCs/>
                <w:color w:val="auto"/>
                <w:sz w:val="24"/>
              </w:rPr>
              <w:t>工程主要</w:t>
            </w:r>
            <w:r>
              <w:rPr>
                <w:rFonts w:hint="eastAsia" w:hAnsiTheme="minorEastAsia" w:eastAsiaTheme="minorEastAsia"/>
                <w:bCs/>
                <w:color w:val="auto"/>
                <w:sz w:val="24"/>
              </w:rPr>
              <w:t>生产</w:t>
            </w:r>
            <w:r>
              <w:rPr>
                <w:rFonts w:hAnsiTheme="minorEastAsia" w:eastAsiaTheme="minorEastAsia"/>
                <w:bCs/>
                <w:color w:val="auto"/>
                <w:sz w:val="24"/>
              </w:rPr>
              <w:t>设备一览表</w:t>
            </w:r>
            <w:r>
              <w:rPr>
                <w:rFonts w:hint="eastAsia" w:hAnsiTheme="minorEastAsia" w:eastAsiaTheme="minorEastAsia"/>
                <w:bCs/>
                <w:color w:val="auto"/>
                <w:sz w:val="24"/>
              </w:rPr>
              <w:t>见表2-3.</w:t>
            </w:r>
          </w:p>
          <w:p>
            <w:pPr>
              <w:spacing w:line="360" w:lineRule="auto"/>
              <w:ind w:firstLine="472" w:firstLineChars="200"/>
              <w:jc w:val="center"/>
              <w:rPr>
                <w:b/>
                <w:color w:val="auto"/>
                <w:sz w:val="24"/>
                <w:szCs w:val="24"/>
              </w:rPr>
            </w:pPr>
            <w:r>
              <w:rPr>
                <w:b/>
                <w:color w:val="auto"/>
                <w:sz w:val="24"/>
                <w:szCs w:val="24"/>
              </w:rPr>
              <w:t>表</w:t>
            </w:r>
            <w:r>
              <w:rPr>
                <w:rFonts w:hint="eastAsia"/>
                <w:b/>
                <w:color w:val="auto"/>
                <w:sz w:val="24"/>
                <w:szCs w:val="24"/>
              </w:rPr>
              <w:t>2-3</w:t>
            </w:r>
            <w:r>
              <w:rPr>
                <w:b/>
                <w:color w:val="auto"/>
                <w:sz w:val="24"/>
                <w:szCs w:val="24"/>
              </w:rPr>
              <w:t xml:space="preserve">  </w:t>
            </w:r>
            <w:r>
              <w:rPr>
                <w:rFonts w:hint="eastAsia"/>
                <w:b/>
                <w:color w:val="auto"/>
                <w:sz w:val="24"/>
                <w:szCs w:val="24"/>
              </w:rPr>
              <w:t>主要设备</w:t>
            </w:r>
            <w:r>
              <w:rPr>
                <w:b/>
                <w:color w:val="auto"/>
                <w:sz w:val="24"/>
                <w:szCs w:val="24"/>
              </w:rPr>
              <w:t>一览表</w:t>
            </w:r>
          </w:p>
          <w:tbl>
            <w:tblPr>
              <w:tblStyle w:val="19"/>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392"/>
              <w:gridCol w:w="2425"/>
              <w:gridCol w:w="866"/>
              <w:gridCol w:w="246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序号</w:t>
                  </w:r>
                </w:p>
              </w:tc>
              <w:tc>
                <w:tcPr>
                  <w:tcW w:w="1355" w:type="pct"/>
                  <w:tcBorders>
                    <w:tl2br w:val="nil"/>
                    <w:tr2bl w:val="nil"/>
                  </w:tcBorders>
                  <w:vAlign w:val="center"/>
                </w:tcPr>
                <w:p>
                  <w:pPr>
                    <w:spacing w:line="0" w:lineRule="atLeast"/>
                    <w:jc w:val="center"/>
                    <w:rPr>
                      <w:bCs/>
                      <w:color w:val="auto"/>
                      <w:spacing w:val="9"/>
                      <w:szCs w:val="21"/>
                    </w:rPr>
                  </w:pPr>
                  <w:r>
                    <w:rPr>
                      <w:bCs/>
                      <w:color w:val="auto"/>
                      <w:spacing w:val="9"/>
                      <w:szCs w:val="21"/>
                    </w:rPr>
                    <w:t>设备名称</w:t>
                  </w:r>
                </w:p>
              </w:tc>
              <w:tc>
                <w:tcPr>
                  <w:tcW w:w="1373" w:type="pct"/>
                  <w:tcBorders>
                    <w:tl2br w:val="nil"/>
                    <w:tr2bl w:val="nil"/>
                  </w:tcBorders>
                  <w:vAlign w:val="center"/>
                </w:tcPr>
                <w:p>
                  <w:pPr>
                    <w:spacing w:line="0" w:lineRule="atLeast"/>
                    <w:jc w:val="center"/>
                    <w:rPr>
                      <w:bCs/>
                      <w:color w:val="auto"/>
                      <w:spacing w:val="9"/>
                      <w:szCs w:val="21"/>
                    </w:rPr>
                  </w:pPr>
                  <w:r>
                    <w:rPr>
                      <w:bCs/>
                      <w:color w:val="auto"/>
                      <w:spacing w:val="9"/>
                      <w:szCs w:val="21"/>
                    </w:rPr>
                    <w:t>规格型号</w:t>
                  </w:r>
                </w:p>
              </w:tc>
              <w:tc>
                <w:tcPr>
                  <w:tcW w:w="491" w:type="pct"/>
                  <w:tcBorders>
                    <w:tl2br w:val="nil"/>
                    <w:tr2bl w:val="nil"/>
                  </w:tcBorders>
                  <w:vAlign w:val="center"/>
                </w:tcPr>
                <w:p>
                  <w:pPr>
                    <w:spacing w:line="0" w:lineRule="atLeast"/>
                    <w:jc w:val="center"/>
                    <w:rPr>
                      <w:bCs/>
                      <w:color w:val="auto"/>
                      <w:spacing w:val="9"/>
                      <w:szCs w:val="21"/>
                    </w:rPr>
                  </w:pPr>
                  <w:r>
                    <w:rPr>
                      <w:bCs/>
                      <w:color w:val="auto"/>
                      <w:spacing w:val="9"/>
                      <w:szCs w:val="21"/>
                    </w:rPr>
                    <w:t>数量</w:t>
                  </w:r>
                </w:p>
              </w:tc>
              <w:tc>
                <w:tcPr>
                  <w:tcW w:w="1396"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1</w:t>
                  </w:r>
                </w:p>
              </w:tc>
              <w:tc>
                <w:tcPr>
                  <w:tcW w:w="1355" w:type="pct"/>
                  <w:tcBorders>
                    <w:tl2br w:val="nil"/>
                    <w:tr2bl w:val="nil"/>
                  </w:tcBorders>
                </w:tcPr>
                <w:p>
                  <w:pPr>
                    <w:widowControl/>
                    <w:jc w:val="center"/>
                    <w:rPr>
                      <w:color w:val="auto"/>
                      <w:kern w:val="0"/>
                      <w:szCs w:val="21"/>
                    </w:rPr>
                  </w:pPr>
                  <w:r>
                    <w:rPr>
                      <w:rFonts w:hint="eastAsia"/>
                      <w:color w:val="auto"/>
                      <w:kern w:val="0"/>
                      <w:szCs w:val="21"/>
                    </w:rPr>
                    <w:t>多工位母线机</w:t>
                  </w:r>
                </w:p>
              </w:tc>
              <w:tc>
                <w:tcPr>
                  <w:tcW w:w="1373" w:type="pct"/>
                  <w:tcBorders>
                    <w:tl2br w:val="nil"/>
                    <w:tr2bl w:val="nil"/>
                  </w:tcBorders>
                </w:tcPr>
                <w:p>
                  <w:pPr>
                    <w:autoSpaceDE w:val="0"/>
                    <w:autoSpaceDN w:val="0"/>
                    <w:jc w:val="center"/>
                    <w:rPr>
                      <w:color w:val="auto"/>
                      <w:kern w:val="0"/>
                      <w:szCs w:val="21"/>
                    </w:rPr>
                  </w:pPr>
                  <w:r>
                    <w:rPr>
                      <w:color w:val="auto"/>
                      <w:kern w:val="0"/>
                      <w:szCs w:val="21"/>
                    </w:rPr>
                    <w:t>DGWMX-303E-3-S</w:t>
                  </w:r>
                </w:p>
              </w:tc>
              <w:tc>
                <w:tcPr>
                  <w:tcW w:w="491" w:type="pct"/>
                  <w:tcBorders>
                    <w:tl2br w:val="nil"/>
                    <w:tr2bl w:val="nil"/>
                  </w:tcBorders>
                </w:tcPr>
                <w:p>
                  <w:pPr>
                    <w:widowControl/>
                    <w:jc w:val="center"/>
                    <w:rPr>
                      <w:color w:val="auto"/>
                      <w:kern w:val="0"/>
                      <w:szCs w:val="21"/>
                    </w:rPr>
                  </w:pPr>
                  <w:r>
                    <w:rPr>
                      <w:rFonts w:hint="eastAsia"/>
                      <w:color w:val="auto"/>
                      <w:kern w:val="0"/>
                      <w:szCs w:val="21"/>
                    </w:rPr>
                    <w:t>1台</w:t>
                  </w:r>
                </w:p>
              </w:tc>
              <w:tc>
                <w:tcPr>
                  <w:tcW w:w="1396" w:type="pct"/>
                  <w:tcBorders>
                    <w:tl2br w:val="nil"/>
                    <w:tr2bl w:val="nil"/>
                  </w:tcBorders>
                </w:tcPr>
                <w:p>
                  <w:pPr>
                    <w:widowControl/>
                    <w:jc w:val="center"/>
                    <w:rPr>
                      <w:color w:val="auto"/>
                      <w:kern w:val="0"/>
                      <w:szCs w:val="21"/>
                    </w:rPr>
                  </w:pPr>
                  <w:r>
                    <w:rPr>
                      <w:rFonts w:hint="eastAsia"/>
                      <w:color w:val="auto"/>
                      <w:kern w:val="0"/>
                      <w:szCs w:val="21"/>
                    </w:rPr>
                    <w:t>用于铜母线的冲、剪、折加工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2</w:t>
                  </w:r>
                </w:p>
              </w:tc>
              <w:tc>
                <w:tcPr>
                  <w:tcW w:w="1355" w:type="pct"/>
                  <w:tcBorders>
                    <w:tl2br w:val="nil"/>
                    <w:tr2bl w:val="nil"/>
                  </w:tcBorders>
                </w:tcPr>
                <w:p>
                  <w:pPr>
                    <w:widowControl/>
                    <w:jc w:val="center"/>
                    <w:rPr>
                      <w:color w:val="auto"/>
                      <w:kern w:val="0"/>
                      <w:szCs w:val="21"/>
                    </w:rPr>
                  </w:pPr>
                  <w:r>
                    <w:rPr>
                      <w:rFonts w:hint="eastAsia"/>
                      <w:color w:val="auto"/>
                      <w:kern w:val="0"/>
                      <w:szCs w:val="21"/>
                    </w:rPr>
                    <w:t>数控母线折弯机</w:t>
                  </w:r>
                </w:p>
              </w:tc>
              <w:tc>
                <w:tcPr>
                  <w:tcW w:w="1373" w:type="pct"/>
                  <w:tcBorders>
                    <w:tl2br w:val="nil"/>
                    <w:tr2bl w:val="nil"/>
                  </w:tcBorders>
                </w:tcPr>
                <w:p>
                  <w:pPr>
                    <w:autoSpaceDE w:val="0"/>
                    <w:autoSpaceDN w:val="0"/>
                    <w:jc w:val="center"/>
                    <w:rPr>
                      <w:color w:val="auto"/>
                      <w:kern w:val="0"/>
                      <w:szCs w:val="21"/>
                    </w:rPr>
                  </w:pPr>
                  <w:r>
                    <w:rPr>
                      <w:color w:val="auto"/>
                      <w:kern w:val="0"/>
                      <w:szCs w:val="21"/>
                    </w:rPr>
                    <w:t>NC·40Z-1200</w:t>
                  </w:r>
                </w:p>
              </w:tc>
              <w:tc>
                <w:tcPr>
                  <w:tcW w:w="491" w:type="pct"/>
                  <w:tcBorders>
                    <w:tl2br w:val="nil"/>
                    <w:tr2bl w:val="nil"/>
                  </w:tcBorders>
                </w:tcPr>
                <w:p>
                  <w:pPr>
                    <w:widowControl/>
                    <w:jc w:val="center"/>
                    <w:rPr>
                      <w:color w:val="auto"/>
                      <w:kern w:val="0"/>
                      <w:szCs w:val="21"/>
                    </w:rPr>
                  </w:pPr>
                  <w:r>
                    <w:rPr>
                      <w:rFonts w:hint="eastAsia"/>
                      <w:color w:val="auto"/>
                      <w:kern w:val="0"/>
                      <w:szCs w:val="21"/>
                    </w:rPr>
                    <w:t>1台</w:t>
                  </w:r>
                </w:p>
              </w:tc>
              <w:tc>
                <w:tcPr>
                  <w:tcW w:w="1396" w:type="pct"/>
                  <w:tcBorders>
                    <w:tl2br w:val="nil"/>
                    <w:tr2bl w:val="nil"/>
                  </w:tcBorders>
                </w:tcPr>
                <w:p>
                  <w:pPr>
                    <w:widowControl/>
                    <w:jc w:val="center"/>
                    <w:rPr>
                      <w:color w:val="auto"/>
                      <w:kern w:val="0"/>
                      <w:szCs w:val="21"/>
                    </w:rPr>
                  </w:pPr>
                  <w:r>
                    <w:rPr>
                      <w:rFonts w:hint="eastAsia"/>
                      <w:color w:val="auto"/>
                      <w:kern w:val="0"/>
                      <w:szCs w:val="21"/>
                    </w:rPr>
                    <w:t>用于铜母线的折弯加工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3</w:t>
                  </w:r>
                </w:p>
              </w:tc>
              <w:tc>
                <w:tcPr>
                  <w:tcW w:w="1355" w:type="pct"/>
                  <w:tcBorders>
                    <w:tl2br w:val="nil"/>
                    <w:tr2bl w:val="nil"/>
                  </w:tcBorders>
                </w:tcPr>
                <w:p>
                  <w:pPr>
                    <w:widowControl/>
                    <w:jc w:val="center"/>
                    <w:rPr>
                      <w:color w:val="auto"/>
                      <w:kern w:val="0"/>
                      <w:szCs w:val="21"/>
                    </w:rPr>
                  </w:pPr>
                  <w:r>
                    <w:rPr>
                      <w:rFonts w:hint="eastAsia"/>
                      <w:color w:val="auto"/>
                      <w:kern w:val="0"/>
                      <w:szCs w:val="21"/>
                    </w:rPr>
                    <w:t>数控母线冲剪机</w:t>
                  </w:r>
                </w:p>
              </w:tc>
              <w:tc>
                <w:tcPr>
                  <w:tcW w:w="1373" w:type="pct"/>
                  <w:tcBorders>
                    <w:tl2br w:val="nil"/>
                    <w:tr2bl w:val="nil"/>
                  </w:tcBorders>
                </w:tcPr>
                <w:p>
                  <w:pPr>
                    <w:autoSpaceDE w:val="0"/>
                    <w:autoSpaceDN w:val="0"/>
                    <w:jc w:val="center"/>
                    <w:rPr>
                      <w:color w:val="auto"/>
                      <w:kern w:val="0"/>
                      <w:szCs w:val="21"/>
                    </w:rPr>
                  </w:pPr>
                  <w:r>
                    <w:rPr>
                      <w:color w:val="auto"/>
                      <w:kern w:val="0"/>
                      <w:szCs w:val="21"/>
                    </w:rPr>
                    <w:t>602K-7C</w:t>
                  </w:r>
                </w:p>
              </w:tc>
              <w:tc>
                <w:tcPr>
                  <w:tcW w:w="491" w:type="pct"/>
                  <w:tcBorders>
                    <w:tl2br w:val="nil"/>
                    <w:tr2bl w:val="nil"/>
                  </w:tcBorders>
                </w:tcPr>
                <w:p>
                  <w:pPr>
                    <w:widowControl/>
                    <w:jc w:val="center"/>
                    <w:rPr>
                      <w:color w:val="auto"/>
                      <w:kern w:val="0"/>
                      <w:szCs w:val="21"/>
                    </w:rPr>
                  </w:pPr>
                  <w:r>
                    <w:rPr>
                      <w:rFonts w:hint="eastAsia"/>
                      <w:color w:val="auto"/>
                      <w:kern w:val="0"/>
                      <w:szCs w:val="21"/>
                    </w:rPr>
                    <w:t>1台</w:t>
                  </w:r>
                </w:p>
              </w:tc>
              <w:tc>
                <w:tcPr>
                  <w:tcW w:w="1396" w:type="pct"/>
                  <w:tcBorders>
                    <w:tl2br w:val="nil"/>
                    <w:tr2bl w:val="nil"/>
                  </w:tcBorders>
                </w:tcPr>
                <w:p>
                  <w:pPr>
                    <w:widowControl/>
                    <w:jc w:val="center"/>
                    <w:rPr>
                      <w:color w:val="auto"/>
                      <w:kern w:val="0"/>
                      <w:szCs w:val="21"/>
                    </w:rPr>
                  </w:pPr>
                  <w:r>
                    <w:rPr>
                      <w:rFonts w:hint="eastAsia"/>
                      <w:color w:val="auto"/>
                      <w:kern w:val="0"/>
                      <w:szCs w:val="21"/>
                    </w:rPr>
                    <w:t>用于铜母线的冲、剪加工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4</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数控板料折弯机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PBA-220/3100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用于板材的折弯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5</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数控板料折弯机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PBA-110/3100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用于板材的折弯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spacing w:line="0" w:lineRule="atLeast"/>
                    <w:jc w:val="center"/>
                    <w:rPr>
                      <w:bCs/>
                      <w:color w:val="auto"/>
                      <w:spacing w:val="9"/>
                      <w:szCs w:val="21"/>
                    </w:rPr>
                  </w:pPr>
                  <w:r>
                    <w:rPr>
                      <w:rFonts w:hint="eastAsia"/>
                      <w:bCs/>
                      <w:color w:val="auto"/>
                      <w:spacing w:val="9"/>
                      <w:szCs w:val="21"/>
                    </w:rPr>
                    <w:t>6</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电脑剥线机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HS380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用于剥除导线外面的防护层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color w:val="auto"/>
                      <w:kern w:val="0"/>
                      <w:szCs w:val="21"/>
                    </w:rPr>
                    <w:t>7</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气动压线钳</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GNQ-10A</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用于压着端子，接线、接插件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color w:val="auto"/>
                      <w:kern w:val="0"/>
                      <w:szCs w:val="21"/>
                    </w:rPr>
                    <w:t>8</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调试台</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color w:val="auto"/>
                      <w:kern w:val="0"/>
                      <w:szCs w:val="21"/>
                    </w:rPr>
                    <w:t>9</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自动料库+砖塔冲</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HPC-3058-38LA2</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1套</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w:t>
                  </w:r>
                  <w:r>
                    <w:rPr>
                      <w:rFonts w:ascii="Arial" w:hAnsi="Arial" w:cs="Arial"/>
                      <w:color w:val="auto"/>
                      <w:szCs w:val="21"/>
                      <w:shd w:val="clear" w:color="auto" w:fill="FFFFFF"/>
                    </w:rPr>
                    <w:t>板材上冲孔加工、浅拉深成型的压力加工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10</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光纤激光切割机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HLB-2040</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1套</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用于板材切割</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11</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折弯机械臂</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ER80-E4D-P-D</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用于板材折弯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bCs/>
                      <w:color w:val="auto"/>
                      <w:spacing w:val="9"/>
                      <w:szCs w:val="21"/>
                    </w:rPr>
                  </w:pPr>
                  <w:r>
                    <w:rPr>
                      <w:rFonts w:hint="eastAsia"/>
                      <w:color w:val="auto"/>
                      <w:kern w:val="0"/>
                      <w:szCs w:val="21"/>
                    </w:rPr>
                    <w:t>12</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二保焊机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NB-315F</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color w:val="auto"/>
                      <w:kern w:val="0"/>
                      <w:szCs w:val="21"/>
                    </w:rPr>
                  </w:pPr>
                  <w:r>
                    <w:rPr>
                      <w:rFonts w:hint="eastAsia"/>
                      <w:color w:val="auto"/>
                      <w:kern w:val="0"/>
                      <w:szCs w:val="21"/>
                    </w:rPr>
                    <w:t>13</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氩弧焊机</w:t>
                  </w:r>
                </w:p>
              </w:tc>
              <w:tc>
                <w:tcPr>
                  <w:tcW w:w="1373" w:type="pct"/>
                  <w:tcBorders>
                    <w:tl2br w:val="nil"/>
                    <w:tr2bl w:val="nil"/>
                  </w:tcBorders>
                  <w:vAlign w:val="center"/>
                </w:tcPr>
                <w:p>
                  <w:pPr>
                    <w:autoSpaceDE w:val="0"/>
                    <w:autoSpaceDN w:val="0"/>
                    <w:jc w:val="center"/>
                    <w:rPr>
                      <w:color w:val="auto"/>
                      <w:kern w:val="0"/>
                      <w:szCs w:val="21"/>
                    </w:rPr>
                  </w:pPr>
                  <w:r>
                    <w:rPr>
                      <w:color w:val="auto"/>
                      <w:kern w:val="0"/>
                      <w:szCs w:val="21"/>
                    </w:rPr>
                    <w:t>WS-315ST</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1台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Borders>
                    <w:tl2br w:val="nil"/>
                    <w:tr2bl w:val="nil"/>
                  </w:tcBorders>
                  <w:vAlign w:val="center"/>
                </w:tcPr>
                <w:p>
                  <w:pPr>
                    <w:autoSpaceDE w:val="0"/>
                    <w:autoSpaceDN w:val="0"/>
                    <w:jc w:val="center"/>
                    <w:rPr>
                      <w:color w:val="auto"/>
                      <w:kern w:val="0"/>
                      <w:szCs w:val="21"/>
                    </w:rPr>
                  </w:pPr>
                  <w:r>
                    <w:rPr>
                      <w:rFonts w:hint="eastAsia"/>
                      <w:color w:val="auto"/>
                      <w:kern w:val="0"/>
                      <w:szCs w:val="21"/>
                    </w:rPr>
                    <w:t>14</w:t>
                  </w:r>
                </w:p>
              </w:tc>
              <w:tc>
                <w:tcPr>
                  <w:tcW w:w="1355" w:type="pct"/>
                  <w:tcBorders>
                    <w:tl2br w:val="nil"/>
                    <w:tr2bl w:val="nil"/>
                  </w:tcBorders>
                  <w:vAlign w:val="center"/>
                </w:tcPr>
                <w:p>
                  <w:pPr>
                    <w:widowControl/>
                    <w:jc w:val="center"/>
                    <w:rPr>
                      <w:color w:val="auto"/>
                      <w:kern w:val="0"/>
                      <w:szCs w:val="21"/>
                    </w:rPr>
                  </w:pPr>
                  <w:r>
                    <w:rPr>
                      <w:rFonts w:hint="eastAsia"/>
                      <w:color w:val="auto"/>
                      <w:kern w:val="0"/>
                      <w:szCs w:val="21"/>
                    </w:rPr>
                    <w:t>激光焊机</w:t>
                  </w:r>
                </w:p>
              </w:tc>
              <w:tc>
                <w:tcPr>
                  <w:tcW w:w="1373" w:type="pct"/>
                  <w:tcBorders>
                    <w:tl2br w:val="nil"/>
                    <w:tr2bl w:val="nil"/>
                  </w:tcBorders>
                  <w:vAlign w:val="center"/>
                </w:tcPr>
                <w:p>
                  <w:pPr>
                    <w:autoSpaceDE w:val="0"/>
                    <w:autoSpaceDN w:val="0"/>
                    <w:jc w:val="center"/>
                    <w:rPr>
                      <w:color w:val="auto"/>
                      <w:kern w:val="0"/>
                      <w:szCs w:val="21"/>
                    </w:rPr>
                  </w:pPr>
                  <w:r>
                    <w:rPr>
                      <w:rFonts w:hint="eastAsia"/>
                      <w:color w:val="auto"/>
                      <w:kern w:val="0"/>
                      <w:szCs w:val="21"/>
                    </w:rPr>
                    <w:t>/</w:t>
                  </w:r>
                </w:p>
              </w:tc>
              <w:tc>
                <w:tcPr>
                  <w:tcW w:w="491" w:type="pct"/>
                  <w:tcBorders>
                    <w:tl2br w:val="nil"/>
                    <w:tr2bl w:val="nil"/>
                  </w:tcBorders>
                  <w:vAlign w:val="center"/>
                </w:tcPr>
                <w:p>
                  <w:pPr>
                    <w:widowControl/>
                    <w:jc w:val="center"/>
                    <w:rPr>
                      <w:color w:val="auto"/>
                      <w:kern w:val="0"/>
                      <w:szCs w:val="21"/>
                    </w:rPr>
                  </w:pPr>
                  <w:r>
                    <w:rPr>
                      <w:rFonts w:hint="eastAsia"/>
                      <w:color w:val="auto"/>
                      <w:kern w:val="0"/>
                      <w:szCs w:val="21"/>
                    </w:rPr>
                    <w:t>2台</w:t>
                  </w:r>
                </w:p>
              </w:tc>
              <w:tc>
                <w:tcPr>
                  <w:tcW w:w="1396" w:type="pct"/>
                  <w:tcBorders>
                    <w:tl2br w:val="nil"/>
                    <w:tr2bl w:val="nil"/>
                  </w:tcBorders>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15</w:t>
                  </w:r>
                </w:p>
              </w:tc>
              <w:tc>
                <w:tcPr>
                  <w:tcW w:w="1355" w:type="pct"/>
                  <w:vAlign w:val="center"/>
                </w:tcPr>
                <w:p>
                  <w:pPr>
                    <w:widowControl/>
                    <w:jc w:val="center"/>
                    <w:rPr>
                      <w:color w:val="auto"/>
                      <w:kern w:val="0"/>
                      <w:szCs w:val="21"/>
                    </w:rPr>
                  </w:pPr>
                  <w:r>
                    <w:rPr>
                      <w:rFonts w:hint="eastAsia"/>
                      <w:color w:val="auto"/>
                      <w:kern w:val="0"/>
                      <w:szCs w:val="21"/>
                    </w:rPr>
                    <w:t>焊接机器人</w:t>
                  </w:r>
                </w:p>
              </w:tc>
              <w:tc>
                <w:tcPr>
                  <w:tcW w:w="1373" w:type="pct"/>
                  <w:vAlign w:val="center"/>
                </w:tcPr>
                <w:p>
                  <w:pPr>
                    <w:autoSpaceDE w:val="0"/>
                    <w:autoSpaceDN w:val="0"/>
                    <w:jc w:val="center"/>
                    <w:rPr>
                      <w:color w:val="auto"/>
                      <w:kern w:val="0"/>
                      <w:szCs w:val="21"/>
                    </w:rPr>
                  </w:pPr>
                  <w:r>
                    <w:rPr>
                      <w:rFonts w:hint="eastAsia"/>
                      <w:color w:val="auto"/>
                      <w:kern w:val="0"/>
                      <w:szCs w:val="21"/>
                    </w:rPr>
                    <w:t>/</w:t>
                  </w:r>
                </w:p>
              </w:tc>
              <w:tc>
                <w:tcPr>
                  <w:tcW w:w="491" w:type="pct"/>
                  <w:vAlign w:val="center"/>
                </w:tcPr>
                <w:p>
                  <w:pPr>
                    <w:widowControl/>
                    <w:jc w:val="center"/>
                    <w:rPr>
                      <w:color w:val="auto"/>
                      <w:kern w:val="0"/>
                      <w:szCs w:val="21"/>
                    </w:rPr>
                  </w:pPr>
                  <w:r>
                    <w:rPr>
                      <w:rFonts w:hint="eastAsia"/>
                      <w:color w:val="auto"/>
                      <w:kern w:val="0"/>
                      <w:szCs w:val="21"/>
                    </w:rPr>
                    <w:t>2台</w:t>
                  </w:r>
                </w:p>
              </w:tc>
              <w:tc>
                <w:tcPr>
                  <w:tcW w:w="1396" w:type="pct"/>
                  <w:vAlign w:val="center"/>
                </w:tcPr>
                <w:p>
                  <w:pPr>
                    <w:widowControl/>
                    <w:jc w:val="center"/>
                    <w:rPr>
                      <w:color w:val="auto"/>
                      <w:kern w:val="0"/>
                      <w:szCs w:val="21"/>
                    </w:rPr>
                  </w:pPr>
                  <w:r>
                    <w:rPr>
                      <w:rFonts w:hint="eastAsia"/>
                      <w:color w:val="auto"/>
                      <w:kern w:val="0"/>
                      <w:szCs w:val="21"/>
                    </w:rPr>
                    <w:t>焊接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16</w:t>
                  </w:r>
                </w:p>
              </w:tc>
              <w:tc>
                <w:tcPr>
                  <w:tcW w:w="1355" w:type="pct"/>
                  <w:vAlign w:val="center"/>
                </w:tcPr>
                <w:p>
                  <w:pPr>
                    <w:widowControl/>
                    <w:jc w:val="center"/>
                    <w:rPr>
                      <w:color w:val="auto"/>
                      <w:kern w:val="0"/>
                      <w:szCs w:val="21"/>
                    </w:rPr>
                  </w:pPr>
                  <w:r>
                    <w:rPr>
                      <w:rFonts w:hint="eastAsia"/>
                      <w:color w:val="auto"/>
                      <w:kern w:val="0"/>
                      <w:szCs w:val="21"/>
                    </w:rPr>
                    <w:t>空压机</w:t>
                  </w:r>
                </w:p>
              </w:tc>
              <w:tc>
                <w:tcPr>
                  <w:tcW w:w="1373" w:type="pct"/>
                  <w:vAlign w:val="center"/>
                </w:tcPr>
                <w:p>
                  <w:pPr>
                    <w:autoSpaceDE w:val="0"/>
                    <w:autoSpaceDN w:val="0"/>
                    <w:jc w:val="center"/>
                    <w:rPr>
                      <w:color w:val="auto"/>
                      <w:kern w:val="0"/>
                      <w:szCs w:val="21"/>
                    </w:rPr>
                  </w:pPr>
                  <w:r>
                    <w:rPr>
                      <w:color w:val="auto"/>
                      <w:kern w:val="0"/>
                      <w:szCs w:val="21"/>
                    </w:rPr>
                    <w:t>HP-30E</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17</w:t>
                  </w:r>
                </w:p>
              </w:tc>
              <w:tc>
                <w:tcPr>
                  <w:tcW w:w="1355" w:type="pct"/>
                  <w:vAlign w:val="center"/>
                </w:tcPr>
                <w:p>
                  <w:pPr>
                    <w:widowControl/>
                    <w:jc w:val="center"/>
                    <w:rPr>
                      <w:color w:val="auto"/>
                      <w:kern w:val="0"/>
                      <w:szCs w:val="21"/>
                    </w:rPr>
                  </w:pPr>
                  <w:r>
                    <w:rPr>
                      <w:rFonts w:hint="eastAsia"/>
                      <w:color w:val="auto"/>
                      <w:kern w:val="0"/>
                      <w:szCs w:val="21"/>
                    </w:rPr>
                    <w:t>空压机</w:t>
                  </w:r>
                </w:p>
              </w:tc>
              <w:tc>
                <w:tcPr>
                  <w:tcW w:w="1373" w:type="pct"/>
                  <w:vAlign w:val="center"/>
                </w:tcPr>
                <w:p>
                  <w:pPr>
                    <w:autoSpaceDE w:val="0"/>
                    <w:autoSpaceDN w:val="0"/>
                    <w:jc w:val="center"/>
                    <w:rPr>
                      <w:color w:val="auto"/>
                      <w:kern w:val="0"/>
                      <w:szCs w:val="21"/>
                    </w:rPr>
                  </w:pPr>
                  <w:r>
                    <w:rPr>
                      <w:color w:val="auto"/>
                      <w:kern w:val="0"/>
                      <w:szCs w:val="21"/>
                    </w:rPr>
                    <w:t>RE30A</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18</w:t>
                  </w:r>
                </w:p>
              </w:tc>
              <w:tc>
                <w:tcPr>
                  <w:tcW w:w="1355" w:type="pct"/>
                  <w:vAlign w:val="center"/>
                </w:tcPr>
                <w:p>
                  <w:pPr>
                    <w:widowControl/>
                    <w:jc w:val="center"/>
                    <w:rPr>
                      <w:color w:val="auto"/>
                      <w:kern w:val="0"/>
                      <w:szCs w:val="21"/>
                    </w:rPr>
                  </w:pPr>
                  <w:r>
                    <w:rPr>
                      <w:rFonts w:hint="eastAsia"/>
                      <w:color w:val="auto"/>
                      <w:kern w:val="0"/>
                      <w:szCs w:val="21"/>
                    </w:rPr>
                    <w:t>行吊</w:t>
                  </w:r>
                </w:p>
              </w:tc>
              <w:tc>
                <w:tcPr>
                  <w:tcW w:w="1373" w:type="pct"/>
                  <w:vAlign w:val="center"/>
                </w:tcPr>
                <w:p>
                  <w:pPr>
                    <w:autoSpaceDE w:val="0"/>
                    <w:autoSpaceDN w:val="0"/>
                    <w:jc w:val="center"/>
                    <w:rPr>
                      <w:color w:val="auto"/>
                      <w:kern w:val="0"/>
                      <w:szCs w:val="21"/>
                    </w:rPr>
                  </w:pPr>
                  <w:r>
                    <w:rPr>
                      <w:rFonts w:hint="eastAsia"/>
                      <w:color w:val="auto"/>
                      <w:kern w:val="0"/>
                      <w:szCs w:val="21"/>
                    </w:rPr>
                    <w:t>/</w:t>
                  </w:r>
                </w:p>
              </w:tc>
              <w:tc>
                <w:tcPr>
                  <w:tcW w:w="491" w:type="pct"/>
                  <w:vAlign w:val="center"/>
                </w:tcPr>
                <w:p>
                  <w:pPr>
                    <w:widowControl/>
                    <w:jc w:val="center"/>
                    <w:rPr>
                      <w:color w:val="auto"/>
                      <w:kern w:val="0"/>
                      <w:szCs w:val="21"/>
                    </w:rPr>
                  </w:pPr>
                  <w:r>
                    <w:rPr>
                      <w:rFonts w:hint="eastAsia"/>
                      <w:color w:val="auto"/>
                      <w:kern w:val="0"/>
                      <w:szCs w:val="21"/>
                    </w:rPr>
                    <w:t>2套</w:t>
                  </w:r>
                </w:p>
              </w:tc>
              <w:tc>
                <w:tcPr>
                  <w:tcW w:w="1396" w:type="pct"/>
                  <w:vAlign w:val="center"/>
                </w:tcPr>
                <w:p>
                  <w:pPr>
                    <w:widowControl/>
                    <w:jc w:val="center"/>
                    <w:rPr>
                      <w:color w:val="auto"/>
                      <w:kern w:val="0"/>
                      <w:szCs w:val="21"/>
                    </w:rPr>
                  </w:pPr>
                  <w:r>
                    <w:rPr>
                      <w:rFonts w:hint="eastAsia"/>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19</w:t>
                  </w:r>
                </w:p>
              </w:tc>
              <w:tc>
                <w:tcPr>
                  <w:tcW w:w="1355" w:type="pct"/>
                  <w:vAlign w:val="center"/>
                </w:tcPr>
                <w:p>
                  <w:pPr>
                    <w:widowControl/>
                    <w:jc w:val="center"/>
                    <w:rPr>
                      <w:color w:val="auto"/>
                      <w:kern w:val="0"/>
                      <w:szCs w:val="21"/>
                    </w:rPr>
                  </w:pPr>
                  <w:r>
                    <w:rPr>
                      <w:rFonts w:hint="eastAsia"/>
                      <w:color w:val="auto"/>
                      <w:kern w:val="0"/>
                      <w:szCs w:val="21"/>
                    </w:rPr>
                    <w:t>前处理线</w:t>
                  </w:r>
                </w:p>
              </w:tc>
              <w:tc>
                <w:tcPr>
                  <w:tcW w:w="1373" w:type="pct"/>
                  <w:vAlign w:val="center"/>
                </w:tcPr>
                <w:p>
                  <w:pPr>
                    <w:autoSpaceDE w:val="0"/>
                    <w:autoSpaceDN w:val="0"/>
                    <w:jc w:val="center"/>
                    <w:rPr>
                      <w:color w:val="auto"/>
                      <w:kern w:val="0"/>
                      <w:szCs w:val="21"/>
                    </w:rPr>
                  </w:pPr>
                  <w:r>
                    <w:rPr>
                      <w:color w:val="auto"/>
                      <w:sz w:val="24"/>
                      <w:lang w:eastAsia="zh-TW"/>
                    </w:rPr>
                    <w:t>L</w:t>
                  </w:r>
                  <w:r>
                    <w:rPr>
                      <w:color w:val="auto"/>
                      <w:sz w:val="24"/>
                    </w:rPr>
                    <w:t>30</w:t>
                  </w:r>
                  <w:r>
                    <w:rPr>
                      <w:color w:val="auto"/>
                      <w:sz w:val="24"/>
                      <w:lang w:eastAsia="zh-TW"/>
                    </w:rPr>
                    <w:t>×W</w:t>
                  </w:r>
                  <w:r>
                    <w:rPr>
                      <w:rFonts w:hint="eastAsia"/>
                      <w:color w:val="auto"/>
                      <w:sz w:val="24"/>
                    </w:rPr>
                    <w:t>1.5</w:t>
                  </w:r>
                  <w:r>
                    <w:rPr>
                      <w:color w:val="auto"/>
                      <w:sz w:val="24"/>
                      <w:lang w:eastAsia="zh-TW"/>
                    </w:rPr>
                    <w:t>×H</w:t>
                  </w:r>
                  <w:r>
                    <w:rPr>
                      <w:rFonts w:hint="eastAsia"/>
                      <w:color w:val="auto"/>
                      <w:sz w:val="24"/>
                    </w:rPr>
                    <w:t>2.84</w:t>
                  </w:r>
                  <w:r>
                    <w:rPr>
                      <w:color w:val="auto"/>
                      <w:sz w:val="24"/>
                    </w:rPr>
                    <w:t>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自动喷粉线脱脂前处理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20</w:t>
                  </w:r>
                </w:p>
              </w:tc>
              <w:tc>
                <w:tcPr>
                  <w:tcW w:w="1355" w:type="pct"/>
                  <w:vAlign w:val="center"/>
                </w:tcPr>
                <w:p>
                  <w:pPr>
                    <w:widowControl/>
                    <w:jc w:val="center"/>
                    <w:rPr>
                      <w:color w:val="auto"/>
                      <w:kern w:val="0"/>
                      <w:szCs w:val="21"/>
                    </w:rPr>
                  </w:pPr>
                  <w:r>
                    <w:rPr>
                      <w:rFonts w:hint="eastAsia"/>
                      <w:color w:val="auto"/>
                      <w:kern w:val="0"/>
                      <w:szCs w:val="21"/>
                    </w:rPr>
                    <w:t>脱水烘道</w:t>
                  </w:r>
                </w:p>
              </w:tc>
              <w:tc>
                <w:tcPr>
                  <w:tcW w:w="1373" w:type="pct"/>
                  <w:vAlign w:val="center"/>
                </w:tcPr>
                <w:p>
                  <w:pPr>
                    <w:autoSpaceDE w:val="0"/>
                    <w:autoSpaceDN w:val="0"/>
                    <w:jc w:val="center"/>
                    <w:rPr>
                      <w:color w:val="auto"/>
                      <w:kern w:val="0"/>
                      <w:szCs w:val="21"/>
                    </w:rPr>
                  </w:pPr>
                  <w:r>
                    <w:rPr>
                      <w:color w:val="auto"/>
                      <w:sz w:val="24"/>
                      <w:lang w:eastAsia="zh-TW"/>
                    </w:rPr>
                    <w:t>L</w:t>
                  </w:r>
                  <w:r>
                    <w:rPr>
                      <w:color w:val="auto"/>
                      <w:sz w:val="24"/>
                    </w:rPr>
                    <w:t>30</w:t>
                  </w:r>
                  <w:r>
                    <w:rPr>
                      <w:color w:val="auto"/>
                      <w:sz w:val="24"/>
                      <w:lang w:eastAsia="zh-TW"/>
                    </w:rPr>
                    <w:t>×W</w:t>
                  </w:r>
                  <w:r>
                    <w:rPr>
                      <w:color w:val="auto"/>
                      <w:sz w:val="24"/>
                    </w:rPr>
                    <w:t>1.2</w:t>
                  </w:r>
                  <w:r>
                    <w:rPr>
                      <w:color w:val="auto"/>
                      <w:sz w:val="24"/>
                      <w:lang w:eastAsia="zh-TW"/>
                    </w:rPr>
                    <w:t>×H</w:t>
                  </w:r>
                  <w:r>
                    <w:rPr>
                      <w:color w:val="auto"/>
                      <w:sz w:val="24"/>
                    </w:rPr>
                    <w:t>2.14m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自动喷粉线水洗后脱水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21</w:t>
                  </w:r>
                </w:p>
              </w:tc>
              <w:tc>
                <w:tcPr>
                  <w:tcW w:w="1355" w:type="pct"/>
                  <w:vAlign w:val="center"/>
                </w:tcPr>
                <w:p>
                  <w:pPr>
                    <w:widowControl/>
                    <w:jc w:val="center"/>
                    <w:rPr>
                      <w:color w:val="auto"/>
                      <w:kern w:val="0"/>
                      <w:szCs w:val="21"/>
                    </w:rPr>
                  </w:pPr>
                  <w:r>
                    <w:rPr>
                      <w:rFonts w:hint="eastAsia"/>
                      <w:color w:val="auto"/>
                      <w:kern w:val="0"/>
                      <w:szCs w:val="21"/>
                    </w:rPr>
                    <w:t>固化烘道</w:t>
                  </w:r>
                </w:p>
              </w:tc>
              <w:tc>
                <w:tcPr>
                  <w:tcW w:w="1373" w:type="pct"/>
                  <w:vAlign w:val="center"/>
                </w:tcPr>
                <w:p>
                  <w:pPr>
                    <w:autoSpaceDE w:val="0"/>
                    <w:autoSpaceDN w:val="0"/>
                    <w:jc w:val="center"/>
                    <w:rPr>
                      <w:color w:val="auto"/>
                      <w:kern w:val="0"/>
                      <w:szCs w:val="21"/>
                    </w:rPr>
                  </w:pPr>
                  <w:r>
                    <w:rPr>
                      <w:color w:val="auto"/>
                      <w:kern w:val="0"/>
                      <w:szCs w:val="21"/>
                      <w:lang w:eastAsia="zh-TW"/>
                    </w:rPr>
                    <w:t>L</w:t>
                  </w:r>
                  <w:r>
                    <w:rPr>
                      <w:color w:val="auto"/>
                      <w:kern w:val="0"/>
                      <w:szCs w:val="21"/>
                    </w:rPr>
                    <w:t>30</w:t>
                  </w:r>
                  <w:r>
                    <w:rPr>
                      <w:color w:val="auto"/>
                      <w:kern w:val="0"/>
                      <w:szCs w:val="21"/>
                      <w:lang w:eastAsia="zh-TW"/>
                    </w:rPr>
                    <w:t>×W</w:t>
                  </w:r>
                  <w:r>
                    <w:rPr>
                      <w:rFonts w:hint="eastAsia"/>
                      <w:color w:val="auto"/>
                      <w:kern w:val="0"/>
                      <w:szCs w:val="21"/>
                    </w:rPr>
                    <w:t>2.4</w:t>
                  </w:r>
                  <w:r>
                    <w:rPr>
                      <w:color w:val="auto"/>
                      <w:kern w:val="0"/>
                      <w:szCs w:val="21"/>
                      <w:lang w:eastAsia="zh-TW"/>
                    </w:rPr>
                    <w:t>×H</w:t>
                  </w:r>
                  <w:r>
                    <w:rPr>
                      <w:color w:val="auto"/>
                      <w:kern w:val="0"/>
                      <w:szCs w:val="21"/>
                    </w:rPr>
                    <w:t>2.14m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自动喷粉线喷塑后固化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22</w:t>
                  </w:r>
                </w:p>
              </w:tc>
              <w:tc>
                <w:tcPr>
                  <w:tcW w:w="1355" w:type="pct"/>
                  <w:vAlign w:val="center"/>
                </w:tcPr>
                <w:p>
                  <w:pPr>
                    <w:widowControl/>
                    <w:jc w:val="center"/>
                    <w:rPr>
                      <w:color w:val="auto"/>
                      <w:kern w:val="0"/>
                      <w:szCs w:val="21"/>
                    </w:rPr>
                  </w:pPr>
                  <w:r>
                    <w:rPr>
                      <w:color w:val="auto"/>
                      <w:kern w:val="0"/>
                      <w:szCs w:val="21"/>
                    </w:rPr>
                    <w:t>悬挂式吊空输送带设备</w:t>
                  </w:r>
                </w:p>
              </w:tc>
              <w:tc>
                <w:tcPr>
                  <w:tcW w:w="1373" w:type="pct"/>
                  <w:vAlign w:val="center"/>
                </w:tcPr>
                <w:p>
                  <w:pPr>
                    <w:autoSpaceDE w:val="0"/>
                    <w:autoSpaceDN w:val="0"/>
                    <w:jc w:val="center"/>
                    <w:rPr>
                      <w:color w:val="auto"/>
                      <w:kern w:val="0"/>
                      <w:szCs w:val="21"/>
                    </w:rPr>
                  </w:pPr>
                  <w:r>
                    <w:rPr>
                      <w:rFonts w:hint="eastAsia"/>
                      <w:color w:val="auto"/>
                      <w:kern w:val="0"/>
                      <w:szCs w:val="21"/>
                    </w:rPr>
                    <w:t>输送线约260米</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自动喷粉线输送设备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23</w:t>
                  </w:r>
                </w:p>
              </w:tc>
              <w:tc>
                <w:tcPr>
                  <w:tcW w:w="1355" w:type="pct"/>
                  <w:vAlign w:val="center"/>
                </w:tcPr>
                <w:p>
                  <w:pPr>
                    <w:widowControl/>
                    <w:jc w:val="center"/>
                    <w:rPr>
                      <w:color w:val="auto"/>
                      <w:kern w:val="0"/>
                      <w:szCs w:val="21"/>
                    </w:rPr>
                  </w:pPr>
                  <w:r>
                    <w:rPr>
                      <w:rFonts w:hint="eastAsia"/>
                      <w:color w:val="auto"/>
                      <w:kern w:val="0"/>
                      <w:szCs w:val="21"/>
                      <w:lang w:val="en-US" w:eastAsia="zh-CN"/>
                    </w:rPr>
                    <w:t>脱水</w:t>
                  </w:r>
                  <w:r>
                    <w:rPr>
                      <w:rFonts w:hint="eastAsia"/>
                      <w:color w:val="auto"/>
                      <w:kern w:val="0"/>
                      <w:szCs w:val="21"/>
                    </w:rPr>
                    <w:t>天然气燃烧机</w:t>
                  </w:r>
                </w:p>
              </w:tc>
              <w:tc>
                <w:tcPr>
                  <w:tcW w:w="1373" w:type="pct"/>
                  <w:vAlign w:val="center"/>
                </w:tcPr>
                <w:p>
                  <w:pPr>
                    <w:autoSpaceDE w:val="0"/>
                    <w:autoSpaceDN w:val="0"/>
                    <w:jc w:val="center"/>
                    <w:rPr>
                      <w:color w:val="auto"/>
                      <w:kern w:val="0"/>
                      <w:szCs w:val="21"/>
                    </w:rPr>
                  </w:pPr>
                  <w:r>
                    <w:rPr>
                      <w:rFonts w:hint="eastAsia"/>
                      <w:color w:val="auto"/>
                      <w:kern w:val="0"/>
                      <w:szCs w:val="21"/>
                    </w:rPr>
                    <w:t>40万大卡</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自动喷粉线加热设备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24</w:t>
                  </w:r>
                </w:p>
              </w:tc>
              <w:tc>
                <w:tcPr>
                  <w:tcW w:w="1355" w:type="pct"/>
                  <w:vAlign w:val="center"/>
                </w:tcPr>
                <w:p>
                  <w:pPr>
                    <w:widowControl/>
                    <w:jc w:val="center"/>
                    <w:rPr>
                      <w:color w:val="auto"/>
                      <w:kern w:val="0"/>
                      <w:szCs w:val="21"/>
                    </w:rPr>
                  </w:pPr>
                  <w:r>
                    <w:rPr>
                      <w:rFonts w:hint="eastAsia"/>
                      <w:color w:val="auto"/>
                      <w:kern w:val="0"/>
                      <w:szCs w:val="21"/>
                      <w:lang w:val="en-US" w:eastAsia="zh-CN"/>
                    </w:rPr>
                    <w:t>固化</w:t>
                  </w:r>
                  <w:r>
                    <w:rPr>
                      <w:rFonts w:hint="eastAsia"/>
                      <w:color w:val="auto"/>
                      <w:kern w:val="0"/>
                      <w:szCs w:val="21"/>
                    </w:rPr>
                    <w:t>天然气燃烧机</w:t>
                  </w:r>
                </w:p>
              </w:tc>
              <w:tc>
                <w:tcPr>
                  <w:tcW w:w="1373" w:type="pct"/>
                  <w:vAlign w:val="center"/>
                </w:tcPr>
                <w:p>
                  <w:pPr>
                    <w:autoSpaceDE w:val="0"/>
                    <w:autoSpaceDN w:val="0"/>
                    <w:jc w:val="center"/>
                    <w:rPr>
                      <w:color w:val="auto"/>
                      <w:kern w:val="0"/>
                      <w:szCs w:val="21"/>
                    </w:rPr>
                  </w:pPr>
                  <w:r>
                    <w:rPr>
                      <w:rFonts w:hint="eastAsia"/>
                      <w:color w:val="auto"/>
                      <w:kern w:val="0"/>
                      <w:szCs w:val="21"/>
                    </w:rPr>
                    <w:t>70万大卡</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自动喷粉线加热设备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25</w:t>
                  </w:r>
                </w:p>
              </w:tc>
              <w:tc>
                <w:tcPr>
                  <w:tcW w:w="1355" w:type="pct"/>
                  <w:vAlign w:val="center"/>
                </w:tcPr>
                <w:p>
                  <w:pPr>
                    <w:widowControl/>
                    <w:jc w:val="center"/>
                    <w:rPr>
                      <w:color w:val="auto"/>
                      <w:kern w:val="0"/>
                      <w:szCs w:val="21"/>
                    </w:rPr>
                  </w:pPr>
                  <w:r>
                    <w:rPr>
                      <w:rFonts w:hint="eastAsia"/>
                      <w:color w:val="auto"/>
                      <w:kern w:val="0"/>
                      <w:szCs w:val="21"/>
                    </w:rPr>
                    <w:t>喷粉房（自带二级滤芯回收）</w:t>
                  </w:r>
                </w:p>
              </w:tc>
              <w:tc>
                <w:tcPr>
                  <w:tcW w:w="1373" w:type="pct"/>
                  <w:vAlign w:val="center"/>
                </w:tcPr>
                <w:p>
                  <w:pPr>
                    <w:autoSpaceDE w:val="0"/>
                    <w:autoSpaceDN w:val="0"/>
                    <w:jc w:val="center"/>
                    <w:rPr>
                      <w:color w:val="auto"/>
                      <w:kern w:val="0"/>
                      <w:szCs w:val="21"/>
                    </w:rPr>
                  </w:pPr>
                  <w:r>
                    <w:rPr>
                      <w:color w:val="auto"/>
                      <w:kern w:val="0"/>
                      <w:szCs w:val="21"/>
                      <w:lang w:eastAsia="zh-TW"/>
                    </w:rPr>
                    <w:t>L</w:t>
                  </w:r>
                  <w:r>
                    <w:rPr>
                      <w:rFonts w:hint="eastAsia"/>
                      <w:color w:val="auto"/>
                      <w:kern w:val="0"/>
                      <w:szCs w:val="21"/>
                    </w:rPr>
                    <w:t>12</w:t>
                  </w:r>
                  <w:r>
                    <w:rPr>
                      <w:color w:val="auto"/>
                      <w:kern w:val="0"/>
                      <w:szCs w:val="21"/>
                      <w:lang w:eastAsia="zh-TW"/>
                    </w:rPr>
                    <w:t>×W</w:t>
                  </w:r>
                  <w:r>
                    <w:rPr>
                      <w:rFonts w:hint="eastAsia"/>
                      <w:color w:val="auto"/>
                      <w:kern w:val="0"/>
                      <w:szCs w:val="21"/>
                    </w:rPr>
                    <w:t>3</w:t>
                  </w:r>
                  <w:r>
                    <w:rPr>
                      <w:color w:val="auto"/>
                      <w:kern w:val="0"/>
                      <w:szCs w:val="21"/>
                      <w:lang w:eastAsia="zh-TW"/>
                    </w:rPr>
                    <w:t>×H</w:t>
                  </w:r>
                  <w:r>
                    <w:rPr>
                      <w:rFonts w:hint="eastAsia"/>
                      <w:color w:val="auto"/>
                      <w:kern w:val="0"/>
                      <w:szCs w:val="21"/>
                    </w:rPr>
                    <w:t>3</w:t>
                  </w:r>
                  <w:r>
                    <w:rPr>
                      <w:color w:val="auto"/>
                      <w:kern w:val="0"/>
                      <w:szCs w:val="21"/>
                    </w:rPr>
                    <w:t>m</w:t>
                  </w:r>
                </w:p>
              </w:tc>
              <w:tc>
                <w:tcPr>
                  <w:tcW w:w="491" w:type="pct"/>
                  <w:vAlign w:val="center"/>
                </w:tcPr>
                <w:p>
                  <w:pPr>
                    <w:widowControl/>
                    <w:jc w:val="center"/>
                    <w:rPr>
                      <w:color w:val="auto"/>
                      <w:kern w:val="0"/>
                      <w:szCs w:val="21"/>
                    </w:rPr>
                  </w:pPr>
                  <w:r>
                    <w:rPr>
                      <w:rFonts w:hint="eastAsia"/>
                      <w:color w:val="auto"/>
                      <w:kern w:val="0"/>
                      <w:szCs w:val="21"/>
                    </w:rPr>
                    <w:t>2套</w:t>
                  </w:r>
                </w:p>
              </w:tc>
              <w:tc>
                <w:tcPr>
                  <w:tcW w:w="1396" w:type="pct"/>
                  <w:vAlign w:val="center"/>
                </w:tcPr>
                <w:p>
                  <w:pPr>
                    <w:widowControl/>
                    <w:jc w:val="center"/>
                    <w:rPr>
                      <w:color w:val="auto"/>
                      <w:kern w:val="0"/>
                      <w:szCs w:val="21"/>
                    </w:rPr>
                  </w:pPr>
                  <w:r>
                    <w:rPr>
                      <w:rFonts w:hint="eastAsia"/>
                      <w:color w:val="auto"/>
                      <w:kern w:val="0"/>
                      <w:szCs w:val="21"/>
                    </w:rPr>
                    <w:t>自动喷粉线喷塑设备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26</w:t>
                  </w:r>
                </w:p>
              </w:tc>
              <w:tc>
                <w:tcPr>
                  <w:tcW w:w="1355" w:type="pct"/>
                  <w:vAlign w:val="center"/>
                </w:tcPr>
                <w:p>
                  <w:pPr>
                    <w:widowControl/>
                    <w:jc w:val="center"/>
                    <w:rPr>
                      <w:color w:val="auto"/>
                      <w:kern w:val="0"/>
                      <w:szCs w:val="21"/>
                    </w:rPr>
                  </w:pPr>
                  <w:r>
                    <w:rPr>
                      <w:rFonts w:hint="eastAsia"/>
                      <w:color w:val="auto"/>
                      <w:kern w:val="0"/>
                      <w:szCs w:val="21"/>
                    </w:rPr>
                    <w:t>手动喷粉室</w:t>
                  </w:r>
                </w:p>
              </w:tc>
              <w:tc>
                <w:tcPr>
                  <w:tcW w:w="1373" w:type="pct"/>
                  <w:vAlign w:val="center"/>
                </w:tcPr>
                <w:p>
                  <w:pPr>
                    <w:autoSpaceDE w:val="0"/>
                    <w:autoSpaceDN w:val="0"/>
                    <w:jc w:val="center"/>
                    <w:rPr>
                      <w:color w:val="auto"/>
                      <w:kern w:val="0"/>
                      <w:szCs w:val="21"/>
                    </w:rPr>
                  </w:pPr>
                  <w:r>
                    <w:rPr>
                      <w:color w:val="auto"/>
                      <w:kern w:val="0"/>
                      <w:szCs w:val="21"/>
                      <w:lang w:eastAsia="zh-TW"/>
                    </w:rPr>
                    <w:t>L</w:t>
                  </w:r>
                  <w:r>
                    <w:rPr>
                      <w:rFonts w:hint="eastAsia"/>
                      <w:color w:val="auto"/>
                      <w:kern w:val="0"/>
                      <w:szCs w:val="21"/>
                    </w:rPr>
                    <w:t>12.5</w:t>
                  </w:r>
                  <w:r>
                    <w:rPr>
                      <w:color w:val="auto"/>
                      <w:kern w:val="0"/>
                      <w:szCs w:val="21"/>
                      <w:lang w:eastAsia="zh-TW"/>
                    </w:rPr>
                    <w:t>×W</w:t>
                  </w:r>
                  <w:r>
                    <w:rPr>
                      <w:rFonts w:hint="eastAsia"/>
                      <w:color w:val="auto"/>
                      <w:kern w:val="0"/>
                      <w:szCs w:val="21"/>
                    </w:rPr>
                    <w:t>2.59</w:t>
                  </w:r>
                  <w:r>
                    <w:rPr>
                      <w:color w:val="auto"/>
                      <w:kern w:val="0"/>
                      <w:szCs w:val="21"/>
                      <w:lang w:eastAsia="zh-TW"/>
                    </w:rPr>
                    <w:t>×H</w:t>
                  </w:r>
                  <w:r>
                    <w:rPr>
                      <w:rFonts w:hint="eastAsia"/>
                      <w:color w:val="auto"/>
                      <w:kern w:val="0"/>
                      <w:szCs w:val="21"/>
                    </w:rPr>
                    <w:t>3</w:t>
                  </w:r>
                  <w:r>
                    <w:rPr>
                      <w:color w:val="auto"/>
                      <w:kern w:val="0"/>
                      <w:szCs w:val="21"/>
                    </w:rPr>
                    <w:t>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手动喷粉设备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3" w:type="pct"/>
                </w:tcPr>
                <w:p>
                  <w:pPr>
                    <w:autoSpaceDE w:val="0"/>
                    <w:autoSpaceDN w:val="0"/>
                    <w:jc w:val="center"/>
                    <w:rPr>
                      <w:color w:val="auto"/>
                      <w:kern w:val="0"/>
                      <w:szCs w:val="21"/>
                    </w:rPr>
                  </w:pPr>
                  <w:r>
                    <w:rPr>
                      <w:rFonts w:hint="eastAsia"/>
                      <w:color w:val="auto"/>
                      <w:kern w:val="0"/>
                      <w:szCs w:val="21"/>
                    </w:rPr>
                    <w:t>27</w:t>
                  </w:r>
                </w:p>
              </w:tc>
              <w:tc>
                <w:tcPr>
                  <w:tcW w:w="1355" w:type="pct"/>
                  <w:vAlign w:val="center"/>
                </w:tcPr>
                <w:p>
                  <w:pPr>
                    <w:widowControl/>
                    <w:jc w:val="center"/>
                    <w:rPr>
                      <w:color w:val="auto"/>
                      <w:kern w:val="0"/>
                      <w:szCs w:val="21"/>
                    </w:rPr>
                  </w:pPr>
                  <w:r>
                    <w:rPr>
                      <w:rFonts w:hint="eastAsia"/>
                      <w:color w:val="auto"/>
                      <w:kern w:val="0"/>
                      <w:szCs w:val="21"/>
                    </w:rPr>
                    <w:t>手喷件固化烘箱</w:t>
                  </w:r>
                </w:p>
              </w:tc>
              <w:tc>
                <w:tcPr>
                  <w:tcW w:w="1373" w:type="pct"/>
                  <w:vAlign w:val="center"/>
                </w:tcPr>
                <w:p>
                  <w:pPr>
                    <w:autoSpaceDE w:val="0"/>
                    <w:autoSpaceDN w:val="0"/>
                    <w:jc w:val="center"/>
                    <w:rPr>
                      <w:color w:val="auto"/>
                      <w:kern w:val="0"/>
                      <w:szCs w:val="21"/>
                    </w:rPr>
                  </w:pPr>
                  <w:r>
                    <w:rPr>
                      <w:color w:val="auto"/>
                      <w:kern w:val="0"/>
                      <w:szCs w:val="21"/>
                      <w:lang w:eastAsia="zh-TW"/>
                    </w:rPr>
                    <w:t>L</w:t>
                  </w:r>
                  <w:r>
                    <w:rPr>
                      <w:rFonts w:hint="eastAsia"/>
                      <w:color w:val="auto"/>
                      <w:kern w:val="0"/>
                      <w:szCs w:val="21"/>
                    </w:rPr>
                    <w:t>12.5</w:t>
                  </w:r>
                  <w:r>
                    <w:rPr>
                      <w:color w:val="auto"/>
                      <w:kern w:val="0"/>
                      <w:szCs w:val="21"/>
                      <w:lang w:eastAsia="zh-TW"/>
                    </w:rPr>
                    <w:t>×W</w:t>
                  </w:r>
                  <w:r>
                    <w:rPr>
                      <w:rFonts w:hint="eastAsia"/>
                      <w:color w:val="auto"/>
                      <w:kern w:val="0"/>
                      <w:szCs w:val="21"/>
                    </w:rPr>
                    <w:t>3.5</w:t>
                  </w:r>
                  <w:r>
                    <w:rPr>
                      <w:color w:val="auto"/>
                      <w:kern w:val="0"/>
                      <w:szCs w:val="21"/>
                      <w:lang w:eastAsia="zh-TW"/>
                    </w:rPr>
                    <w:t>×H</w:t>
                  </w:r>
                  <w:r>
                    <w:rPr>
                      <w:rFonts w:hint="eastAsia"/>
                      <w:color w:val="auto"/>
                      <w:kern w:val="0"/>
                      <w:szCs w:val="21"/>
                    </w:rPr>
                    <w:t>3</w:t>
                  </w:r>
                  <w:r>
                    <w:rPr>
                      <w:color w:val="auto"/>
                      <w:kern w:val="0"/>
                      <w:szCs w:val="21"/>
                    </w:rPr>
                    <w:t>m</w:t>
                  </w:r>
                </w:p>
              </w:tc>
              <w:tc>
                <w:tcPr>
                  <w:tcW w:w="491" w:type="pct"/>
                  <w:vAlign w:val="center"/>
                </w:tcPr>
                <w:p>
                  <w:pPr>
                    <w:widowControl/>
                    <w:jc w:val="center"/>
                    <w:rPr>
                      <w:color w:val="auto"/>
                      <w:kern w:val="0"/>
                      <w:szCs w:val="21"/>
                    </w:rPr>
                  </w:pPr>
                  <w:r>
                    <w:rPr>
                      <w:rFonts w:hint="eastAsia"/>
                      <w:color w:val="auto"/>
                      <w:kern w:val="0"/>
                      <w:szCs w:val="21"/>
                    </w:rPr>
                    <w:t>1套</w:t>
                  </w:r>
                </w:p>
              </w:tc>
              <w:tc>
                <w:tcPr>
                  <w:tcW w:w="1396" w:type="pct"/>
                  <w:vAlign w:val="center"/>
                </w:tcPr>
                <w:p>
                  <w:pPr>
                    <w:widowControl/>
                    <w:jc w:val="center"/>
                    <w:rPr>
                      <w:color w:val="auto"/>
                      <w:kern w:val="0"/>
                      <w:szCs w:val="21"/>
                    </w:rPr>
                  </w:pPr>
                  <w:r>
                    <w:rPr>
                      <w:rFonts w:hint="eastAsia"/>
                      <w:color w:val="auto"/>
                      <w:kern w:val="0"/>
                      <w:szCs w:val="21"/>
                    </w:rPr>
                    <w:t>手喷件固化设备</w:t>
                  </w:r>
                </w:p>
              </w:tc>
            </w:tr>
          </w:tbl>
          <w:p>
            <w:pPr>
              <w:spacing w:line="360" w:lineRule="auto"/>
              <w:ind w:firstLine="468" w:firstLineChars="200"/>
              <w:rPr>
                <w:b/>
                <w:bCs/>
                <w:color w:val="auto"/>
                <w:spacing w:val="-1"/>
                <w:sz w:val="24"/>
              </w:rPr>
            </w:pPr>
            <w:r>
              <w:rPr>
                <w:rFonts w:hint="eastAsia"/>
                <w:b/>
                <w:bCs/>
                <w:color w:val="auto"/>
                <w:spacing w:val="-1"/>
                <w:sz w:val="24"/>
              </w:rPr>
              <w:t>4、</w:t>
            </w:r>
            <w:r>
              <w:rPr>
                <w:b/>
                <w:bCs/>
                <w:color w:val="auto"/>
                <w:spacing w:val="-1"/>
                <w:sz w:val="24"/>
              </w:rPr>
              <w:t>项目原辅材料及性质</w:t>
            </w:r>
          </w:p>
          <w:p>
            <w:pPr>
              <w:spacing w:line="360" w:lineRule="auto"/>
              <w:ind w:firstLine="472" w:firstLineChars="200"/>
              <w:rPr>
                <w:color w:val="auto"/>
                <w:sz w:val="24"/>
              </w:rPr>
            </w:pPr>
            <w:r>
              <w:rPr>
                <w:color w:val="auto"/>
                <w:sz w:val="24"/>
              </w:rPr>
              <w:t>本项目主要原辅材料消耗见表</w:t>
            </w:r>
            <w:r>
              <w:rPr>
                <w:rFonts w:hint="eastAsia"/>
                <w:color w:val="auto"/>
                <w:sz w:val="24"/>
              </w:rPr>
              <w:t>2-4</w:t>
            </w:r>
            <w:r>
              <w:rPr>
                <w:color w:val="auto"/>
                <w:sz w:val="24"/>
              </w:rPr>
              <w:t>。</w:t>
            </w:r>
          </w:p>
          <w:p>
            <w:pPr>
              <w:spacing w:line="360" w:lineRule="auto"/>
              <w:ind w:firstLine="472" w:firstLineChars="200"/>
              <w:jc w:val="center"/>
              <w:rPr>
                <w:b/>
                <w:color w:val="auto"/>
                <w:sz w:val="24"/>
                <w:szCs w:val="24"/>
              </w:rPr>
            </w:pPr>
            <w:r>
              <w:rPr>
                <w:b/>
                <w:color w:val="auto"/>
                <w:sz w:val="24"/>
                <w:szCs w:val="24"/>
              </w:rPr>
              <w:t>表</w:t>
            </w:r>
            <w:r>
              <w:rPr>
                <w:rFonts w:hint="eastAsia"/>
                <w:b/>
                <w:color w:val="auto"/>
                <w:sz w:val="24"/>
                <w:szCs w:val="24"/>
              </w:rPr>
              <w:t>2-4</w:t>
            </w:r>
            <w:r>
              <w:rPr>
                <w:b/>
                <w:color w:val="auto"/>
                <w:sz w:val="24"/>
                <w:szCs w:val="24"/>
              </w:rPr>
              <w:t xml:space="preserve"> 主要原辅材料消耗一览表</w:t>
            </w:r>
          </w:p>
          <w:tbl>
            <w:tblPr>
              <w:tblStyle w:val="19"/>
              <w:tblW w:w="47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97"/>
              <w:gridCol w:w="1517"/>
              <w:gridCol w:w="1300"/>
              <w:gridCol w:w="1283"/>
              <w:gridCol w:w="1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color w:val="auto"/>
                      <w:szCs w:val="21"/>
                    </w:rPr>
                    <w:t>序号</w:t>
                  </w:r>
                </w:p>
              </w:tc>
              <w:tc>
                <w:tcPr>
                  <w:tcW w:w="1597" w:type="dxa"/>
                  <w:vAlign w:val="center"/>
                </w:tcPr>
                <w:p>
                  <w:pPr>
                    <w:jc w:val="center"/>
                    <w:rPr>
                      <w:color w:val="auto"/>
                      <w:szCs w:val="21"/>
                    </w:rPr>
                  </w:pPr>
                  <w:r>
                    <w:rPr>
                      <w:rFonts w:hint="eastAsia"/>
                      <w:color w:val="auto"/>
                      <w:szCs w:val="21"/>
                    </w:rPr>
                    <w:t>名称</w:t>
                  </w:r>
                </w:p>
              </w:tc>
              <w:tc>
                <w:tcPr>
                  <w:tcW w:w="1517" w:type="dxa"/>
                  <w:vAlign w:val="center"/>
                </w:tcPr>
                <w:p>
                  <w:pPr>
                    <w:jc w:val="center"/>
                    <w:rPr>
                      <w:color w:val="auto"/>
                      <w:szCs w:val="21"/>
                    </w:rPr>
                  </w:pPr>
                  <w:r>
                    <w:rPr>
                      <w:rFonts w:hint="eastAsia"/>
                      <w:color w:val="auto"/>
                      <w:szCs w:val="21"/>
                    </w:rPr>
                    <w:t>规格型号</w:t>
                  </w:r>
                </w:p>
              </w:tc>
              <w:tc>
                <w:tcPr>
                  <w:tcW w:w="1300" w:type="dxa"/>
                  <w:vAlign w:val="center"/>
                </w:tcPr>
                <w:p>
                  <w:pPr>
                    <w:jc w:val="center"/>
                    <w:rPr>
                      <w:color w:val="auto"/>
                      <w:szCs w:val="21"/>
                    </w:rPr>
                  </w:pPr>
                  <w:r>
                    <w:rPr>
                      <w:rFonts w:hint="eastAsia"/>
                      <w:color w:val="auto"/>
                      <w:szCs w:val="21"/>
                    </w:rPr>
                    <w:t>单位</w:t>
                  </w:r>
                </w:p>
              </w:tc>
              <w:tc>
                <w:tcPr>
                  <w:tcW w:w="1283" w:type="dxa"/>
                  <w:vAlign w:val="center"/>
                </w:tcPr>
                <w:p>
                  <w:pPr>
                    <w:jc w:val="center"/>
                    <w:rPr>
                      <w:color w:val="auto"/>
                      <w:szCs w:val="21"/>
                    </w:rPr>
                  </w:pPr>
                  <w:r>
                    <w:rPr>
                      <w:rFonts w:hint="eastAsia"/>
                      <w:color w:val="auto"/>
                      <w:szCs w:val="21"/>
                    </w:rPr>
                    <w:t>年用量</w:t>
                  </w:r>
                </w:p>
              </w:tc>
              <w:tc>
                <w:tcPr>
                  <w:tcW w:w="1904" w:type="dxa"/>
                  <w:vAlign w:val="center"/>
                </w:tcPr>
                <w:p>
                  <w:pPr>
                    <w:jc w:val="center"/>
                    <w:rPr>
                      <w:color w:val="auto"/>
                      <w:szCs w:val="21"/>
                    </w:rPr>
                  </w:pPr>
                  <w:r>
                    <w:rPr>
                      <w:rFonts w:hint="eastAsia"/>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color w:val="auto"/>
                      <w:szCs w:val="21"/>
                    </w:rPr>
                    <w:t>1</w:t>
                  </w:r>
                </w:p>
              </w:tc>
              <w:tc>
                <w:tcPr>
                  <w:tcW w:w="1597" w:type="dxa"/>
                </w:tcPr>
                <w:p>
                  <w:pPr>
                    <w:widowControl/>
                    <w:jc w:val="center"/>
                    <w:rPr>
                      <w:color w:val="auto"/>
                      <w:szCs w:val="21"/>
                    </w:rPr>
                  </w:pPr>
                  <w:r>
                    <w:rPr>
                      <w:rFonts w:hint="eastAsia"/>
                      <w:color w:val="auto"/>
                      <w:kern w:val="0"/>
                      <w:szCs w:val="21"/>
                    </w:rPr>
                    <w:t>铜排</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rFonts w:hint="eastAsia"/>
                      <w:color w:val="auto"/>
                      <w:kern w:val="0"/>
                      <w:szCs w:val="21"/>
                    </w:rPr>
                    <w:t>1</w:t>
                  </w:r>
                  <w:r>
                    <w:rPr>
                      <w:color w:val="auto"/>
                      <w:kern w:val="0"/>
                      <w:szCs w:val="21"/>
                    </w:rPr>
                    <w:t>300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2</w:t>
                  </w:r>
                </w:p>
              </w:tc>
              <w:tc>
                <w:tcPr>
                  <w:tcW w:w="1597" w:type="dxa"/>
                </w:tcPr>
                <w:p>
                  <w:pPr>
                    <w:widowControl/>
                    <w:jc w:val="center"/>
                    <w:rPr>
                      <w:color w:val="auto"/>
                      <w:szCs w:val="21"/>
                    </w:rPr>
                  </w:pPr>
                  <w:r>
                    <w:rPr>
                      <w:rFonts w:hint="eastAsia"/>
                      <w:color w:val="auto"/>
                      <w:kern w:val="0"/>
                      <w:szCs w:val="21"/>
                    </w:rPr>
                    <w:t>铜线</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color w:val="auto"/>
                      <w:kern w:val="0"/>
                      <w:szCs w:val="21"/>
                    </w:rPr>
                    <w:t>1500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color w:val="auto"/>
                      <w:szCs w:val="21"/>
                    </w:rPr>
                  </w:pPr>
                  <w:r>
                    <w:rPr>
                      <w:rFonts w:hint="eastAsia"/>
                      <w:color w:val="auto"/>
                      <w:szCs w:val="21"/>
                    </w:rPr>
                    <w:t>3</w:t>
                  </w:r>
                </w:p>
              </w:tc>
              <w:tc>
                <w:tcPr>
                  <w:tcW w:w="1597" w:type="dxa"/>
                </w:tcPr>
                <w:p>
                  <w:pPr>
                    <w:widowControl/>
                    <w:jc w:val="center"/>
                    <w:rPr>
                      <w:color w:val="auto"/>
                      <w:szCs w:val="21"/>
                    </w:rPr>
                  </w:pPr>
                  <w:r>
                    <w:rPr>
                      <w:rFonts w:hint="eastAsia"/>
                      <w:color w:val="auto"/>
                      <w:kern w:val="0"/>
                      <w:szCs w:val="21"/>
                    </w:rPr>
                    <w:t>热缩管</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rFonts w:hint="eastAsia"/>
                      <w:color w:val="auto"/>
                      <w:kern w:val="0"/>
                      <w:szCs w:val="21"/>
                    </w:rPr>
                    <w:t>6</w:t>
                  </w:r>
                  <w:r>
                    <w:rPr>
                      <w:color w:val="auto"/>
                      <w:kern w:val="0"/>
                      <w:szCs w:val="21"/>
                    </w:rPr>
                    <w:t>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4</w:t>
                  </w:r>
                </w:p>
              </w:tc>
              <w:tc>
                <w:tcPr>
                  <w:tcW w:w="1597" w:type="dxa"/>
                </w:tcPr>
                <w:p>
                  <w:pPr>
                    <w:widowControl/>
                    <w:jc w:val="center"/>
                    <w:rPr>
                      <w:color w:val="auto"/>
                      <w:szCs w:val="21"/>
                    </w:rPr>
                  </w:pPr>
                  <w:r>
                    <w:rPr>
                      <w:rFonts w:hint="eastAsia"/>
                      <w:color w:val="auto"/>
                      <w:kern w:val="0"/>
                      <w:szCs w:val="21"/>
                    </w:rPr>
                    <w:t>五金配件</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szCs w:val="21"/>
                    </w:rPr>
                  </w:pPr>
                  <w:r>
                    <w:rPr>
                      <w:rFonts w:hint="eastAsia"/>
                      <w:color w:val="auto"/>
                      <w:kern w:val="0"/>
                      <w:szCs w:val="21"/>
                    </w:rPr>
                    <w:t>2</w:t>
                  </w:r>
                  <w:r>
                    <w:rPr>
                      <w:color w:val="auto"/>
                      <w:kern w:val="0"/>
                      <w:szCs w:val="21"/>
                    </w:rPr>
                    <w:t>300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5</w:t>
                  </w:r>
                </w:p>
              </w:tc>
              <w:tc>
                <w:tcPr>
                  <w:tcW w:w="1597" w:type="dxa"/>
                </w:tcPr>
                <w:p>
                  <w:pPr>
                    <w:widowControl/>
                    <w:jc w:val="center"/>
                    <w:rPr>
                      <w:color w:val="auto"/>
                      <w:kern w:val="0"/>
                      <w:szCs w:val="21"/>
                    </w:rPr>
                  </w:pPr>
                  <w:r>
                    <w:rPr>
                      <w:rFonts w:hint="eastAsia"/>
                      <w:color w:val="auto"/>
                      <w:kern w:val="0"/>
                      <w:szCs w:val="21"/>
                    </w:rPr>
                    <w:t>冷轧板</w:t>
                  </w:r>
                </w:p>
              </w:tc>
              <w:tc>
                <w:tcPr>
                  <w:tcW w:w="1517" w:type="dxa"/>
                </w:tcPr>
                <w:p>
                  <w:pPr>
                    <w:widowControl/>
                    <w:jc w:val="center"/>
                    <w:rPr>
                      <w:color w:val="auto"/>
                      <w:kern w:val="0"/>
                      <w:szCs w:val="21"/>
                    </w:rPr>
                  </w:pPr>
                  <w:r>
                    <w:rPr>
                      <w:rFonts w:hint="eastAsia"/>
                      <w:color w:val="auto"/>
                      <w:kern w:val="0"/>
                      <w:szCs w:val="21"/>
                    </w:rPr>
                    <w:t>/</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kern w:val="0"/>
                      <w:szCs w:val="21"/>
                    </w:rPr>
                  </w:pPr>
                  <w:r>
                    <w:rPr>
                      <w:rFonts w:hint="eastAsia"/>
                      <w:color w:val="auto"/>
                      <w:kern w:val="0"/>
                      <w:szCs w:val="21"/>
                    </w:rPr>
                    <w:t>1500</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6</w:t>
                  </w:r>
                </w:p>
              </w:tc>
              <w:tc>
                <w:tcPr>
                  <w:tcW w:w="1597" w:type="dxa"/>
                  <w:vAlign w:val="center"/>
                </w:tcPr>
                <w:p>
                  <w:pPr>
                    <w:widowControl/>
                    <w:jc w:val="center"/>
                    <w:rPr>
                      <w:color w:val="auto"/>
                      <w:kern w:val="0"/>
                      <w:szCs w:val="21"/>
                    </w:rPr>
                  </w:pPr>
                  <w:r>
                    <w:rPr>
                      <w:rFonts w:hint="eastAsia"/>
                      <w:color w:val="auto"/>
                      <w:kern w:val="0"/>
                      <w:szCs w:val="21"/>
                    </w:rPr>
                    <w:t>塑粉</w:t>
                  </w:r>
                </w:p>
              </w:tc>
              <w:tc>
                <w:tcPr>
                  <w:tcW w:w="1517" w:type="dxa"/>
                  <w:vAlign w:val="center"/>
                </w:tcPr>
                <w:p>
                  <w:pPr>
                    <w:widowControl/>
                    <w:jc w:val="center"/>
                    <w:rPr>
                      <w:color w:val="auto"/>
                      <w:kern w:val="0"/>
                      <w:szCs w:val="21"/>
                    </w:rPr>
                  </w:pPr>
                  <w:r>
                    <w:rPr>
                      <w:rFonts w:hint="eastAsia"/>
                      <w:color w:val="auto"/>
                      <w:kern w:val="0"/>
                      <w:szCs w:val="21"/>
                    </w:rPr>
                    <w:t>20kg/箱</w:t>
                  </w:r>
                </w:p>
              </w:tc>
              <w:tc>
                <w:tcPr>
                  <w:tcW w:w="1300" w:type="dxa"/>
                  <w:vAlign w:val="center"/>
                </w:tcPr>
                <w:p>
                  <w:pPr>
                    <w:jc w:val="center"/>
                    <w:rPr>
                      <w:color w:val="auto"/>
                      <w:szCs w:val="21"/>
                    </w:rPr>
                  </w:pPr>
                  <w:r>
                    <w:rPr>
                      <w:color w:val="auto"/>
                      <w:szCs w:val="21"/>
                    </w:rPr>
                    <w:t>t/a</w:t>
                  </w:r>
                </w:p>
              </w:tc>
              <w:tc>
                <w:tcPr>
                  <w:tcW w:w="1283" w:type="dxa"/>
                  <w:vAlign w:val="center"/>
                </w:tcPr>
                <w:p>
                  <w:pPr>
                    <w:widowControl/>
                    <w:jc w:val="center"/>
                    <w:rPr>
                      <w:color w:val="auto"/>
                      <w:kern w:val="0"/>
                      <w:szCs w:val="21"/>
                    </w:rPr>
                  </w:pPr>
                  <w:r>
                    <w:rPr>
                      <w:rFonts w:hint="eastAsia"/>
                      <w:color w:val="auto"/>
                      <w:kern w:val="0"/>
                      <w:szCs w:val="21"/>
                    </w:rPr>
                    <w:t>90</w:t>
                  </w:r>
                </w:p>
              </w:tc>
              <w:tc>
                <w:tcPr>
                  <w:tcW w:w="1904" w:type="dxa"/>
                  <w:vAlign w:val="center"/>
                </w:tcPr>
                <w:p>
                  <w:pPr>
                    <w:jc w:val="center"/>
                    <w:rPr>
                      <w:color w:val="auto"/>
                      <w:szCs w:val="21"/>
                    </w:rPr>
                  </w:pPr>
                  <w:r>
                    <w:rPr>
                      <w:rFonts w:hint="eastAsia"/>
                      <w:color w:val="auto"/>
                      <w:szCs w:val="21"/>
                    </w:rPr>
                    <w:t>其中自动喷塑线消耗81t/a，手动喷粉室消耗9t/a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color w:val="auto"/>
                      <w:szCs w:val="21"/>
                    </w:rPr>
                  </w:pPr>
                  <w:r>
                    <w:rPr>
                      <w:rFonts w:hint="eastAsia"/>
                      <w:color w:val="auto"/>
                      <w:szCs w:val="21"/>
                    </w:rPr>
                    <w:t>7</w:t>
                  </w:r>
                </w:p>
              </w:tc>
              <w:tc>
                <w:tcPr>
                  <w:tcW w:w="1597" w:type="dxa"/>
                </w:tcPr>
                <w:p>
                  <w:pPr>
                    <w:widowControl/>
                    <w:jc w:val="center"/>
                    <w:rPr>
                      <w:color w:val="auto"/>
                      <w:kern w:val="0"/>
                      <w:szCs w:val="21"/>
                    </w:rPr>
                  </w:pPr>
                  <w:r>
                    <w:rPr>
                      <w:rFonts w:hint="eastAsia"/>
                      <w:color w:val="auto"/>
                      <w:kern w:val="0"/>
                      <w:szCs w:val="21"/>
                    </w:rPr>
                    <w:t>焊材</w:t>
                  </w:r>
                </w:p>
              </w:tc>
              <w:tc>
                <w:tcPr>
                  <w:tcW w:w="1517" w:type="dxa"/>
                </w:tcPr>
                <w:p>
                  <w:pPr>
                    <w:widowControl/>
                    <w:jc w:val="center"/>
                    <w:rPr>
                      <w:color w:val="auto"/>
                      <w:kern w:val="0"/>
                      <w:szCs w:val="21"/>
                    </w:rPr>
                  </w:pPr>
                  <w:r>
                    <w:rPr>
                      <w:rFonts w:hint="eastAsia"/>
                      <w:color w:val="auto"/>
                      <w:kern w:val="0"/>
                      <w:szCs w:val="21"/>
                    </w:rPr>
                    <w:t>10kg/卷</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kern w:val="0"/>
                      <w:szCs w:val="21"/>
                    </w:rPr>
                  </w:pPr>
                  <w:r>
                    <w:rPr>
                      <w:rFonts w:hint="eastAsia"/>
                      <w:color w:val="auto"/>
                      <w:kern w:val="0"/>
                      <w:szCs w:val="21"/>
                    </w:rPr>
                    <w:t>3</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8</w:t>
                  </w:r>
                </w:p>
              </w:tc>
              <w:tc>
                <w:tcPr>
                  <w:tcW w:w="1597" w:type="dxa"/>
                </w:tcPr>
                <w:p>
                  <w:pPr>
                    <w:widowControl/>
                    <w:jc w:val="center"/>
                    <w:rPr>
                      <w:rFonts w:hint="eastAsia" w:eastAsia="宋体"/>
                      <w:color w:val="auto"/>
                      <w:kern w:val="0"/>
                      <w:szCs w:val="21"/>
                      <w:lang w:eastAsia="zh-CN"/>
                    </w:rPr>
                  </w:pPr>
                  <w:r>
                    <w:rPr>
                      <w:rFonts w:hint="eastAsia"/>
                      <w:color w:val="auto"/>
                      <w:kern w:val="0"/>
                      <w:szCs w:val="21"/>
                      <w:lang w:eastAsia="zh-CN"/>
                    </w:rPr>
                    <w:t>脱脂剂</w:t>
                  </w:r>
                </w:p>
              </w:tc>
              <w:tc>
                <w:tcPr>
                  <w:tcW w:w="1517" w:type="dxa"/>
                </w:tcPr>
                <w:p>
                  <w:pPr>
                    <w:widowControl/>
                    <w:jc w:val="center"/>
                    <w:rPr>
                      <w:color w:val="auto"/>
                      <w:kern w:val="0"/>
                      <w:szCs w:val="21"/>
                    </w:rPr>
                  </w:pPr>
                  <w:r>
                    <w:rPr>
                      <w:rFonts w:hint="eastAsia"/>
                      <w:color w:val="auto"/>
                      <w:kern w:val="0"/>
                      <w:szCs w:val="21"/>
                    </w:rPr>
                    <w:t>25kg/桶</w:t>
                  </w:r>
                </w:p>
              </w:tc>
              <w:tc>
                <w:tcPr>
                  <w:tcW w:w="1300" w:type="dxa"/>
                  <w:vAlign w:val="center"/>
                </w:tcPr>
                <w:p>
                  <w:pPr>
                    <w:jc w:val="center"/>
                    <w:rPr>
                      <w:color w:val="auto"/>
                      <w:szCs w:val="21"/>
                    </w:rPr>
                  </w:pPr>
                  <w:r>
                    <w:rPr>
                      <w:color w:val="auto"/>
                      <w:szCs w:val="21"/>
                    </w:rPr>
                    <w:t>t/a</w:t>
                  </w:r>
                </w:p>
              </w:tc>
              <w:tc>
                <w:tcPr>
                  <w:tcW w:w="1283" w:type="dxa"/>
                </w:tcPr>
                <w:p>
                  <w:pPr>
                    <w:widowControl/>
                    <w:jc w:val="center"/>
                    <w:rPr>
                      <w:color w:val="auto"/>
                      <w:kern w:val="0"/>
                      <w:szCs w:val="21"/>
                    </w:rPr>
                  </w:pPr>
                  <w:r>
                    <w:rPr>
                      <w:rFonts w:hint="eastAsia"/>
                      <w:color w:val="auto"/>
                      <w:kern w:val="0"/>
                      <w:szCs w:val="21"/>
                    </w:rPr>
                    <w:t>5</w:t>
                  </w:r>
                </w:p>
              </w:tc>
              <w:tc>
                <w:tcPr>
                  <w:tcW w:w="1904" w:type="dxa"/>
                  <w:vAlign w:val="center"/>
                </w:tcPr>
                <w:p>
                  <w:pPr>
                    <w:jc w:val="center"/>
                    <w:rPr>
                      <w:color w:val="auto"/>
                      <w:szCs w:val="21"/>
                    </w:rPr>
                  </w:pPr>
                  <w:r>
                    <w:rPr>
                      <w:rFonts w:hint="eastAsia"/>
                      <w:color w:val="auto"/>
                      <w:szCs w:val="21"/>
                    </w:rPr>
                    <w:t>用于前处理脱脂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color w:val="auto"/>
                      <w:szCs w:val="21"/>
                    </w:rPr>
                  </w:pPr>
                  <w:r>
                    <w:rPr>
                      <w:rFonts w:hint="eastAsia"/>
                      <w:color w:val="auto"/>
                      <w:szCs w:val="21"/>
                    </w:rPr>
                    <w:t>9</w:t>
                  </w:r>
                </w:p>
              </w:tc>
              <w:tc>
                <w:tcPr>
                  <w:tcW w:w="1597" w:type="dxa"/>
                </w:tcPr>
                <w:p>
                  <w:pPr>
                    <w:widowControl/>
                    <w:jc w:val="center"/>
                    <w:rPr>
                      <w:color w:val="auto"/>
                      <w:kern w:val="0"/>
                      <w:szCs w:val="21"/>
                    </w:rPr>
                  </w:pPr>
                  <w:r>
                    <w:rPr>
                      <w:rFonts w:hint="eastAsia"/>
                      <w:color w:val="auto"/>
                      <w:kern w:val="0"/>
                      <w:szCs w:val="21"/>
                    </w:rPr>
                    <w:t>液压油</w:t>
                  </w:r>
                </w:p>
              </w:tc>
              <w:tc>
                <w:tcPr>
                  <w:tcW w:w="1517" w:type="dxa"/>
                </w:tcPr>
                <w:p>
                  <w:pPr>
                    <w:widowControl/>
                    <w:jc w:val="center"/>
                    <w:rPr>
                      <w:color w:val="auto"/>
                      <w:kern w:val="0"/>
                      <w:szCs w:val="21"/>
                    </w:rPr>
                  </w:pPr>
                  <w:r>
                    <w:rPr>
                      <w:rFonts w:hint="eastAsia"/>
                      <w:color w:val="auto"/>
                      <w:kern w:val="0"/>
                      <w:szCs w:val="21"/>
                    </w:rPr>
                    <w:t>25kg/桶</w:t>
                  </w:r>
                </w:p>
              </w:tc>
              <w:tc>
                <w:tcPr>
                  <w:tcW w:w="1300" w:type="dxa"/>
                  <w:vAlign w:val="center"/>
                </w:tcPr>
                <w:p>
                  <w:pPr>
                    <w:jc w:val="center"/>
                    <w:rPr>
                      <w:color w:val="auto"/>
                      <w:szCs w:val="21"/>
                    </w:rPr>
                  </w:pPr>
                  <w:r>
                    <w:rPr>
                      <w:color w:val="auto"/>
                      <w:szCs w:val="21"/>
                    </w:rPr>
                    <w:t>t/a</w:t>
                  </w:r>
                </w:p>
              </w:tc>
              <w:tc>
                <w:tcPr>
                  <w:tcW w:w="1283" w:type="dxa"/>
                  <w:vAlign w:val="center"/>
                </w:tcPr>
                <w:p>
                  <w:pPr>
                    <w:jc w:val="center"/>
                    <w:rPr>
                      <w:color w:val="auto"/>
                      <w:szCs w:val="21"/>
                    </w:rPr>
                  </w:pPr>
                  <w:r>
                    <w:rPr>
                      <w:rFonts w:hint="eastAsia"/>
                      <w:color w:val="auto"/>
                      <w:szCs w:val="21"/>
                    </w:rPr>
                    <w:t>1</w:t>
                  </w:r>
                </w:p>
              </w:tc>
              <w:tc>
                <w:tcPr>
                  <w:tcW w:w="1904" w:type="dxa"/>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eastAsia="宋体"/>
                      <w:color w:val="auto"/>
                      <w:szCs w:val="21"/>
                      <w:lang w:val="en-US" w:eastAsia="zh-CN"/>
                    </w:rPr>
                  </w:pPr>
                  <w:r>
                    <w:rPr>
                      <w:rFonts w:hint="eastAsia"/>
                      <w:color w:val="auto"/>
                      <w:szCs w:val="21"/>
                      <w:lang w:val="en-US" w:eastAsia="zh-CN"/>
                    </w:rPr>
                    <w:t>10</w:t>
                  </w:r>
                </w:p>
              </w:tc>
              <w:tc>
                <w:tcPr>
                  <w:tcW w:w="1597" w:type="dxa"/>
                </w:tcPr>
                <w:p>
                  <w:pPr>
                    <w:widowControl/>
                    <w:jc w:val="center"/>
                    <w:rPr>
                      <w:rFonts w:hint="default" w:eastAsia="宋体"/>
                      <w:color w:val="auto"/>
                      <w:kern w:val="0"/>
                      <w:szCs w:val="21"/>
                      <w:lang w:val="en-US" w:eastAsia="zh-CN"/>
                    </w:rPr>
                  </w:pPr>
                  <w:r>
                    <w:rPr>
                      <w:rFonts w:hint="eastAsia"/>
                      <w:color w:val="auto"/>
                      <w:kern w:val="0"/>
                      <w:szCs w:val="21"/>
                      <w:lang w:val="en-US" w:eastAsia="zh-CN"/>
                    </w:rPr>
                    <w:t>混凝剂（PAM）</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rPr>
                    <w:t>25kg/</w:t>
                  </w:r>
                  <w:r>
                    <w:rPr>
                      <w:rFonts w:hint="eastAsia"/>
                      <w:color w:val="auto"/>
                      <w:kern w:val="0"/>
                      <w:szCs w:val="21"/>
                      <w:lang w:val="en-US" w:eastAsia="zh-CN"/>
                    </w:rPr>
                    <w:t>袋</w:t>
                  </w:r>
                </w:p>
              </w:tc>
              <w:tc>
                <w:tcPr>
                  <w:tcW w:w="1300" w:type="dxa"/>
                  <w:vAlign w:val="center"/>
                </w:tcPr>
                <w:p>
                  <w:pPr>
                    <w:jc w:val="center"/>
                    <w:rPr>
                      <w:color w:val="auto"/>
                      <w:szCs w:val="21"/>
                    </w:rPr>
                  </w:pPr>
                  <w:r>
                    <w:rPr>
                      <w:color w:val="auto"/>
                      <w:szCs w:val="21"/>
                    </w:rPr>
                    <w:t>t/a</w:t>
                  </w:r>
                </w:p>
              </w:tc>
              <w:tc>
                <w:tcPr>
                  <w:tcW w:w="1283" w:type="dxa"/>
                  <w:vAlign w:val="center"/>
                </w:tcPr>
                <w:p>
                  <w:pPr>
                    <w:jc w:val="center"/>
                    <w:rPr>
                      <w:rFonts w:hint="eastAsia" w:eastAsia="宋体"/>
                      <w:color w:val="auto"/>
                      <w:szCs w:val="21"/>
                      <w:lang w:val="en-US" w:eastAsia="zh-CN"/>
                    </w:rPr>
                  </w:pPr>
                  <w:r>
                    <w:rPr>
                      <w:rFonts w:hint="eastAsia"/>
                      <w:color w:val="auto"/>
                      <w:szCs w:val="21"/>
                      <w:lang w:val="en-US" w:eastAsia="zh-CN"/>
                    </w:rPr>
                    <w:t>1</w:t>
                  </w:r>
                </w:p>
              </w:tc>
              <w:tc>
                <w:tcPr>
                  <w:tcW w:w="1904" w:type="dxa"/>
                  <w:vAlign w:val="center"/>
                </w:tcPr>
                <w:p>
                  <w:pPr>
                    <w:jc w:val="center"/>
                    <w:rPr>
                      <w:rFonts w:hint="default" w:eastAsia="宋体"/>
                      <w:color w:val="auto"/>
                      <w:szCs w:val="21"/>
                      <w:lang w:val="en-US" w:eastAsia="zh-CN"/>
                    </w:rPr>
                  </w:pPr>
                  <w:r>
                    <w:rPr>
                      <w:rFonts w:hint="eastAsia"/>
                      <w:color w:val="auto"/>
                      <w:szCs w:val="21"/>
                      <w:lang w:val="en-US" w:eastAsia="zh-CN"/>
                    </w:rPr>
                    <w:t>污水处理站药剂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11</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断路器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rFonts w:hint="default" w:eastAsia="宋体"/>
                      <w:color w:val="auto"/>
                      <w:szCs w:val="21"/>
                      <w:lang w:val="en-US" w:eastAsia="zh-CN"/>
                    </w:rPr>
                  </w:pPr>
                  <w:r>
                    <w:rPr>
                      <w:rFonts w:hint="eastAsia"/>
                      <w:color w:val="auto"/>
                      <w:szCs w:val="21"/>
                      <w:lang w:val="en-US" w:eastAsia="zh-CN"/>
                    </w:rPr>
                    <w:t>台/年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3500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12</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变压器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台/年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13</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电流表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rFonts w:hint="default" w:eastAsia="宋体"/>
                      <w:color w:val="auto"/>
                      <w:szCs w:val="21"/>
                      <w:lang w:val="en-US" w:eastAsia="zh-CN"/>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14</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电压表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15</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电流互感器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7500</w:t>
                  </w:r>
                </w:p>
              </w:tc>
              <w:tc>
                <w:tcPr>
                  <w:tcW w:w="1904" w:type="dxa"/>
                  <w:vAlign w:val="center"/>
                </w:tcPr>
                <w:p>
                  <w:pPr>
                    <w:jc w:val="center"/>
                    <w:rPr>
                      <w:rFonts w:hint="eastAsia"/>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hint="default"/>
                      <w:color w:val="auto"/>
                      <w:szCs w:val="21"/>
                      <w:lang w:val="en-US" w:eastAsia="zh-CN"/>
                    </w:rPr>
                  </w:pPr>
                  <w:r>
                    <w:rPr>
                      <w:rFonts w:hint="eastAsia"/>
                      <w:color w:val="auto"/>
                      <w:szCs w:val="21"/>
                      <w:lang w:val="en-US" w:eastAsia="zh-CN"/>
                    </w:rPr>
                    <w:t>16</w:t>
                  </w:r>
                </w:p>
              </w:tc>
              <w:tc>
                <w:tcPr>
                  <w:tcW w:w="1597" w:type="dxa"/>
                </w:tcPr>
                <w:p>
                  <w:pPr>
                    <w:widowControl/>
                    <w:jc w:val="center"/>
                    <w:rPr>
                      <w:rFonts w:hint="default"/>
                      <w:color w:val="auto"/>
                      <w:kern w:val="0"/>
                      <w:szCs w:val="21"/>
                      <w:lang w:val="en-US" w:eastAsia="zh-CN"/>
                    </w:rPr>
                  </w:pPr>
                  <w:r>
                    <w:rPr>
                      <w:rFonts w:hint="eastAsia"/>
                      <w:color w:val="auto"/>
                      <w:kern w:val="0"/>
                      <w:szCs w:val="21"/>
                      <w:lang w:val="en-US" w:eastAsia="zh-CN"/>
                    </w:rPr>
                    <w:t>电压互感器</w:t>
                  </w:r>
                </w:p>
              </w:tc>
              <w:tc>
                <w:tcPr>
                  <w:tcW w:w="1517" w:type="dxa"/>
                </w:tcPr>
                <w:p>
                  <w:pPr>
                    <w:widowControl/>
                    <w:jc w:val="center"/>
                    <w:rPr>
                      <w:rFonts w:hint="eastAsia" w:eastAsia="宋体"/>
                      <w:color w:val="auto"/>
                      <w:kern w:val="0"/>
                      <w:szCs w:val="21"/>
                      <w:lang w:val="en-US" w:eastAsia="zh-CN"/>
                    </w:rPr>
                  </w:pPr>
                  <w:r>
                    <w:rPr>
                      <w:rFonts w:hint="eastAsia"/>
                      <w:color w:val="auto"/>
                      <w:kern w:val="0"/>
                      <w:szCs w:val="21"/>
                      <w:lang w:val="en-US" w:eastAsia="zh-CN"/>
                    </w:rPr>
                    <w:t>/</w:t>
                  </w:r>
                </w:p>
              </w:tc>
              <w:tc>
                <w:tcPr>
                  <w:tcW w:w="1300" w:type="dxa"/>
                  <w:vAlign w:val="center"/>
                </w:tcPr>
                <w:p>
                  <w:pPr>
                    <w:jc w:val="center"/>
                    <w:rPr>
                      <w:color w:val="auto"/>
                      <w:szCs w:val="21"/>
                    </w:rPr>
                  </w:pPr>
                  <w:r>
                    <w:rPr>
                      <w:rFonts w:hint="eastAsia"/>
                      <w:color w:val="auto"/>
                      <w:szCs w:val="21"/>
                      <w:lang w:val="en-US" w:eastAsia="zh-CN"/>
                    </w:rPr>
                    <w:t>个/年</w:t>
                  </w:r>
                </w:p>
              </w:tc>
              <w:tc>
                <w:tcPr>
                  <w:tcW w:w="1283" w:type="dxa"/>
                  <w:vAlign w:val="center"/>
                </w:tcPr>
                <w:p>
                  <w:pPr>
                    <w:jc w:val="center"/>
                    <w:rPr>
                      <w:rFonts w:hint="default"/>
                      <w:color w:val="auto"/>
                      <w:szCs w:val="21"/>
                      <w:lang w:val="en-US" w:eastAsia="zh-CN"/>
                    </w:rPr>
                  </w:pPr>
                  <w:r>
                    <w:rPr>
                      <w:rFonts w:hint="eastAsia"/>
                      <w:color w:val="auto"/>
                      <w:szCs w:val="21"/>
                      <w:lang w:val="en-US" w:eastAsia="zh-CN"/>
                    </w:rPr>
                    <w:t>500</w:t>
                  </w:r>
                </w:p>
              </w:tc>
              <w:tc>
                <w:tcPr>
                  <w:tcW w:w="1904" w:type="dxa"/>
                  <w:vAlign w:val="center"/>
                </w:tcPr>
                <w:p>
                  <w:pPr>
                    <w:jc w:val="center"/>
                    <w:rPr>
                      <w:rFonts w:hint="eastAsia"/>
                      <w:color w:val="auto"/>
                      <w:szCs w:val="21"/>
                      <w:lang w:val="en-US" w:eastAsia="zh-CN"/>
                    </w:rPr>
                  </w:pPr>
                </w:p>
              </w:tc>
            </w:tr>
          </w:tbl>
          <w:p>
            <w:pPr>
              <w:spacing w:line="360" w:lineRule="auto"/>
              <w:ind w:firstLine="472" w:firstLineChars="200"/>
              <w:rPr>
                <w:color w:val="auto"/>
                <w:sz w:val="24"/>
              </w:rPr>
            </w:pPr>
            <w:r>
              <w:rPr>
                <w:rFonts w:hint="eastAsia"/>
                <w:color w:val="auto"/>
                <w:sz w:val="24"/>
              </w:rPr>
              <w:t>①塑粉：本项目所用</w:t>
            </w:r>
            <w:r>
              <w:rPr>
                <w:rFonts w:hint="eastAsia"/>
                <w:color w:val="auto"/>
                <w:sz w:val="24"/>
                <w:szCs w:val="24"/>
              </w:rPr>
              <w:t>粉末涂料由聚酯树脂、TGIC、钛白粉、硫酸钡组成，聚酯树脂为基料，TGIC为固化剂，在固化条件下二者发生固化反应而交联成膜</w:t>
            </w:r>
            <w:r>
              <w:rPr>
                <w:rFonts w:hint="eastAsia"/>
                <w:color w:val="auto"/>
                <w:sz w:val="24"/>
              </w:rPr>
              <w:t>。</w:t>
            </w:r>
          </w:p>
          <w:p>
            <w:pPr>
              <w:spacing w:line="360" w:lineRule="auto"/>
              <w:ind w:firstLine="472" w:firstLineChars="200"/>
              <w:rPr>
                <w:color w:val="auto"/>
                <w:sz w:val="24"/>
              </w:rPr>
            </w:pPr>
            <w:r>
              <w:rPr>
                <w:rFonts w:hint="eastAsia"/>
                <w:color w:val="auto"/>
                <w:sz w:val="24"/>
              </w:rPr>
              <w:t>②</w:t>
            </w:r>
            <w:r>
              <w:rPr>
                <w:rFonts w:hint="eastAsia"/>
                <w:color w:val="auto"/>
                <w:sz w:val="24"/>
                <w:lang w:eastAsia="zh-CN"/>
              </w:rPr>
              <w:t>脱脂剂</w:t>
            </w:r>
            <w:r>
              <w:rPr>
                <w:color w:val="auto"/>
                <w:sz w:val="24"/>
              </w:rPr>
              <w:t>：</w:t>
            </w:r>
            <w:r>
              <w:rPr>
                <w:rFonts w:hint="eastAsia"/>
                <w:color w:val="auto"/>
                <w:sz w:val="24"/>
              </w:rPr>
              <w:t>根据</w:t>
            </w:r>
            <w:r>
              <w:rPr>
                <w:rFonts w:hint="eastAsia"/>
                <w:color w:val="auto"/>
                <w:sz w:val="24"/>
                <w:highlight w:val="none"/>
              </w:rPr>
              <w:t>原料供应商提供的主要成分百分比，本项目所</w:t>
            </w:r>
            <w:r>
              <w:rPr>
                <w:rFonts w:hint="eastAsia"/>
                <w:color w:val="auto"/>
                <w:sz w:val="24"/>
              </w:rPr>
              <w:t>用</w:t>
            </w:r>
            <w:r>
              <w:rPr>
                <w:rFonts w:hint="eastAsia"/>
                <w:color w:val="auto"/>
                <w:sz w:val="24"/>
                <w:lang w:val="en-US" w:eastAsia="zh-CN"/>
              </w:rPr>
              <w:t>脱脂剂</w:t>
            </w:r>
            <w:r>
              <w:rPr>
                <w:rFonts w:hint="eastAsia"/>
                <w:color w:val="auto"/>
                <w:sz w:val="24"/>
              </w:rPr>
              <w:t>中含酒石酸1.5%、元明粉1%、钼酸铵1.3%、柠檬酸0.5%、活性剂2%、渗透剂0.4%、三乙醇胺3%、水90.3%。在一个槽内即可完成出游、酸洗、表调、皮膜等全过程，同时</w:t>
            </w:r>
            <w:r>
              <w:rPr>
                <w:rFonts w:hint="eastAsia"/>
                <w:color w:val="auto"/>
                <w:sz w:val="24"/>
                <w:lang w:val="en-US" w:eastAsia="zh-CN"/>
              </w:rPr>
              <w:t>脱脂</w:t>
            </w:r>
            <w:r>
              <w:rPr>
                <w:rFonts w:hint="eastAsia"/>
                <w:color w:val="auto"/>
                <w:sz w:val="24"/>
              </w:rPr>
              <w:t>处理过程无需加热，节约能源，工艺简单稳定性好。</w:t>
            </w:r>
            <w:r>
              <w:rPr>
                <w:rFonts w:hint="eastAsia"/>
                <w:color w:val="auto"/>
                <w:sz w:val="24"/>
                <w:lang w:eastAsia="zh-CN"/>
              </w:rPr>
              <w:t>脱脂剂</w:t>
            </w:r>
            <w:r>
              <w:rPr>
                <w:rFonts w:hint="eastAsia"/>
                <w:color w:val="auto"/>
                <w:sz w:val="24"/>
              </w:rPr>
              <w:t>中不含磷、亚硝酸盐、硝酸钠、六价铬等有害物质，属于新型环保产品。</w:t>
            </w:r>
          </w:p>
          <w:p>
            <w:pPr>
              <w:spacing w:line="360" w:lineRule="auto"/>
              <w:ind w:firstLine="472" w:firstLineChars="200"/>
              <w:rPr>
                <w:color w:val="auto"/>
                <w:sz w:val="24"/>
                <w:szCs w:val="24"/>
              </w:rPr>
            </w:pPr>
            <w:r>
              <w:rPr>
                <w:color w:val="auto"/>
                <w:sz w:val="24"/>
                <w:szCs w:val="24"/>
              </w:rPr>
              <w:t>参考《浅析喷塑与喷漆的工艺特点》，静电喷涂过程环氧树脂粉末附着率约</w:t>
            </w:r>
            <w:r>
              <w:rPr>
                <w:rFonts w:hint="eastAsia"/>
                <w:color w:val="auto"/>
                <w:sz w:val="24"/>
                <w:szCs w:val="24"/>
                <w:lang w:val="en-US" w:eastAsia="zh-CN"/>
              </w:rPr>
              <w:t>90</w:t>
            </w:r>
            <w:r>
              <w:rPr>
                <w:color w:val="auto"/>
                <w:sz w:val="24"/>
                <w:szCs w:val="24"/>
              </w:rPr>
              <w:t>%，本项目使用聚酯树脂塑粉</w:t>
            </w:r>
            <w:r>
              <w:rPr>
                <w:rFonts w:hint="eastAsia"/>
                <w:color w:val="auto"/>
                <w:sz w:val="24"/>
                <w:szCs w:val="24"/>
              </w:rPr>
              <w:t>90</w:t>
            </w:r>
            <w:r>
              <w:rPr>
                <w:color w:val="auto"/>
                <w:sz w:val="24"/>
                <w:szCs w:val="24"/>
              </w:rPr>
              <w:t>t/a，固化过程非甲烷总烃的挥发量约占</w:t>
            </w:r>
            <w:r>
              <w:rPr>
                <w:rFonts w:hint="eastAsia"/>
                <w:color w:val="auto"/>
                <w:sz w:val="24"/>
                <w:szCs w:val="24"/>
              </w:rPr>
              <w:t>聚酯</w:t>
            </w:r>
            <w:r>
              <w:rPr>
                <w:color w:val="auto"/>
                <w:sz w:val="24"/>
                <w:szCs w:val="24"/>
              </w:rPr>
              <w:t>树脂粉末使用量的</w:t>
            </w:r>
            <w:r>
              <w:rPr>
                <w:rFonts w:hint="eastAsia"/>
                <w:color w:val="auto"/>
                <w:sz w:val="24"/>
                <w:szCs w:val="24"/>
                <w:highlight w:val="none"/>
                <w:lang w:val="en-US" w:eastAsia="zh-CN"/>
              </w:rPr>
              <w:t>1.0</w:t>
            </w:r>
            <w:r>
              <w:rPr>
                <w:color w:val="auto"/>
                <w:sz w:val="24"/>
                <w:szCs w:val="24"/>
                <w:highlight w:val="none"/>
              </w:rPr>
              <w:t>%。</w:t>
            </w:r>
          </w:p>
          <w:p>
            <w:pPr>
              <w:spacing w:line="360" w:lineRule="auto"/>
              <w:ind w:firstLine="472" w:firstLineChars="200"/>
              <w:rPr>
                <w:color w:val="auto"/>
                <w:sz w:val="24"/>
                <w:szCs w:val="24"/>
                <w:highlight w:val="none"/>
              </w:rPr>
            </w:pPr>
            <w:r>
              <w:rPr>
                <w:color w:val="auto"/>
                <w:sz w:val="24"/>
                <w:szCs w:val="24"/>
                <w:highlight w:val="none"/>
              </w:rPr>
              <w:t>根据本项目塑粉的使用量及非甲烷总烃的含量情况，确定喷塑及固化工序物料平衡及非甲烷总烃平衡见图</w:t>
            </w:r>
            <w:r>
              <w:rPr>
                <w:rFonts w:hint="eastAsia"/>
                <w:color w:val="auto"/>
                <w:sz w:val="24"/>
                <w:szCs w:val="24"/>
                <w:highlight w:val="none"/>
              </w:rPr>
              <w:t>2-1</w:t>
            </w:r>
            <w:r>
              <w:rPr>
                <w:color w:val="auto"/>
                <w:sz w:val="24"/>
                <w:szCs w:val="24"/>
                <w:highlight w:val="none"/>
              </w:rPr>
              <w:t>～</w:t>
            </w:r>
            <w:r>
              <w:rPr>
                <w:rFonts w:hint="eastAsia"/>
                <w:color w:val="auto"/>
                <w:sz w:val="24"/>
                <w:szCs w:val="24"/>
                <w:highlight w:val="none"/>
              </w:rPr>
              <w:t>2-2</w:t>
            </w:r>
            <w:r>
              <w:rPr>
                <w:color w:val="auto"/>
                <w:sz w:val="24"/>
                <w:szCs w:val="24"/>
                <w:highlight w:val="none"/>
              </w:rPr>
              <w:t>。</w:t>
            </w:r>
          </w:p>
          <w:p>
            <w:pPr>
              <w:spacing w:line="240" w:lineRule="atLeast"/>
              <w:jc w:val="center"/>
              <w:rPr>
                <w:b/>
                <w:color w:val="auto"/>
              </w:rPr>
            </w:pPr>
            <w:r>
              <w:rPr>
                <w:b/>
                <w:color w:val="auto"/>
              </w:rPr>
              <mc:AlternateContent>
                <mc:Choice Requires="wpc">
                  <w:drawing>
                    <wp:inline distT="0" distB="0" distL="114300" distR="114300">
                      <wp:extent cx="4606290" cy="2077720"/>
                      <wp:effectExtent l="0" t="0" r="0" b="0"/>
                      <wp:docPr id="71" name="画布 71"/>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43" name="文本框 43"/>
                              <wps:cNvSpPr txBox="true"/>
                              <wps:spPr>
                                <a:xfrm>
                                  <a:off x="248920" y="654050"/>
                                  <a:ext cx="439420" cy="182245"/>
                                </a:xfrm>
                                <a:prstGeom prst="rect">
                                  <a:avLst/>
                                </a:prstGeom>
                                <a:noFill/>
                                <a:ln w="6350">
                                  <a:noFill/>
                                </a:ln>
                              </wps:spPr>
                              <wps:txbx>
                                <w:txbxContent>
                                  <w:p>
                                    <w:pPr>
                                      <w:jc w:val="center"/>
                                      <w:rPr>
                                        <w:rFonts w:eastAsiaTheme="minorEastAsia"/>
                                      </w:rPr>
                                    </w:pPr>
                                    <w:r>
                                      <w:rPr>
                                        <w:rFonts w:hint="eastAsia"/>
                                      </w:rPr>
                                      <w:t>90</w:t>
                                    </w:r>
                                  </w:p>
                                </w:txbxContent>
                              </wps:txbx>
                              <wps:bodyPr lIns="0" tIns="0" rIns="0" bIns="0" upright="true"/>
                            </wps:wsp>
                            <wps:wsp>
                              <wps:cNvPr id="55" name="文本框 55"/>
                              <wps:cNvSpPr txBox="true"/>
                              <wps:spPr>
                                <a:xfrm>
                                  <a:off x="827405" y="1562100"/>
                                  <a:ext cx="774700" cy="2038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工件塑粉膜</w:t>
                                    </w:r>
                                  </w:p>
                                </w:txbxContent>
                              </wps:txbx>
                              <wps:bodyPr lIns="0" tIns="0" rIns="0" bIns="0" upright="true"/>
                            </wps:wsp>
                            <wps:wsp>
                              <wps:cNvPr id="56" name="文本框 56"/>
                              <wps:cNvSpPr txBox="true"/>
                              <wps:spPr>
                                <a:xfrm>
                                  <a:off x="1186815" y="1287145"/>
                                  <a:ext cx="439420" cy="192405"/>
                                </a:xfrm>
                                <a:prstGeom prst="rect">
                                  <a:avLst/>
                                </a:prstGeom>
                                <a:noFill/>
                                <a:ln w="6350">
                                  <a:noFill/>
                                </a:ln>
                              </wps:spPr>
                              <wps:txbx>
                                <w:txbxContent>
                                  <w:p>
                                    <w:pPr>
                                      <w:jc w:val="center"/>
                                      <w:rPr>
                                        <w:rFonts w:eastAsiaTheme="minorEastAsia"/>
                                      </w:rPr>
                                    </w:pPr>
                                    <w:r>
                                      <w:rPr>
                                        <w:rFonts w:hint="eastAsia"/>
                                      </w:rPr>
                                      <w:t>81</w:t>
                                    </w:r>
                                  </w:p>
                                </w:txbxContent>
                              </wps:txbx>
                              <wps:bodyPr lIns="0" tIns="0" rIns="0" bIns="0" upright="true"/>
                            </wps:wsp>
                            <wps:wsp>
                              <wps:cNvPr id="57" name="文本框 57"/>
                              <wps:cNvSpPr txBox="true"/>
                              <wps:spPr>
                                <a:xfrm>
                                  <a:off x="60325" y="480695"/>
                                  <a:ext cx="288925" cy="1170940"/>
                                </a:xfrm>
                                <a:prstGeom prst="rect">
                                  <a:avLst/>
                                </a:prstGeom>
                                <a:noFill/>
                                <a:ln w="6350">
                                  <a:noFill/>
                                </a:ln>
                              </wps:spPr>
                              <wps:txbx>
                                <w:txbxContent>
                                  <w:p>
                                    <w:pPr>
                                      <w:jc w:val="center"/>
                                    </w:pPr>
                                    <w:r>
                                      <w:rPr>
                                        <w:rFonts w:hint="eastAsia"/>
                                      </w:rPr>
                                      <w:t>聚酯树脂塑粉</w:t>
                                    </w:r>
                                  </w:p>
                                </w:txbxContent>
                              </wps:txbx>
                              <wps:bodyPr lIns="0" tIns="0" rIns="0" bIns="0" upright="true"/>
                            </wps:wsp>
                            <wps:wsp>
                              <wps:cNvPr id="58" name="文本框 58"/>
                              <wps:cNvSpPr txBox="true"/>
                              <wps:spPr>
                                <a:xfrm>
                                  <a:off x="929005" y="0"/>
                                  <a:ext cx="702310" cy="348615"/>
                                </a:xfrm>
                                <a:prstGeom prst="rect">
                                  <a:avLst/>
                                </a:prstGeom>
                                <a:noFill/>
                                <a:ln w="6350">
                                  <a:noFill/>
                                </a:ln>
                              </wps:spPr>
                              <wps:txbx>
                                <w:txbxContent>
                                  <w:p>
                                    <w:pPr>
                                      <w:jc w:val="center"/>
                                    </w:pPr>
                                    <w:r>
                                      <w:rPr>
                                        <w:rFonts w:hint="eastAsia"/>
                                      </w:rPr>
                                      <w:t>待喷塑工件</w:t>
                                    </w:r>
                                  </w:p>
                                </w:txbxContent>
                              </wps:txbx>
                              <wps:bodyPr lIns="0" tIns="0" rIns="0" bIns="0" upright="true"/>
                            </wps:wsp>
                            <wps:wsp>
                              <wps:cNvPr id="59" name="直接箭头连接符 59"/>
                              <wps:cNvCnPr/>
                              <wps:spPr>
                                <a:xfrm flipH="true">
                                  <a:off x="1155700" y="227330"/>
                                  <a:ext cx="1270" cy="196215"/>
                                </a:xfrm>
                                <a:prstGeom prst="straightConnector1">
                                  <a:avLst/>
                                </a:prstGeom>
                                <a:ln w="6350" cap="flat" cmpd="sng">
                                  <a:solidFill>
                                    <a:srgbClr val="000000"/>
                                  </a:solidFill>
                                  <a:prstDash val="solid"/>
                                  <a:headEnd type="none" w="med" len="med"/>
                                  <a:tailEnd type="triangle" w="med" len="med"/>
                                </a:ln>
                              </wps:spPr>
                              <wps:bodyPr/>
                            </wps:wsp>
                            <wps:wsp>
                              <wps:cNvPr id="61" name="文本框 61"/>
                              <wps:cNvSpPr txBox="true"/>
                              <wps:spPr>
                                <a:xfrm>
                                  <a:off x="2131695" y="415290"/>
                                  <a:ext cx="955675" cy="51879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脉冲滤芯处理装置</w:t>
                                    </w:r>
                                  </w:p>
                                </w:txbxContent>
                              </wps:txbx>
                              <wps:bodyPr lIns="0" tIns="0" rIns="0" bIns="0" upright="true"/>
                            </wps:wsp>
                            <wps:wsp>
                              <wps:cNvPr id="62" name="文本框 62"/>
                              <wps:cNvSpPr txBox="true"/>
                              <wps:spPr>
                                <a:xfrm>
                                  <a:off x="3709035" y="516255"/>
                                  <a:ext cx="560705" cy="2057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排放</w:t>
                                    </w:r>
                                  </w:p>
                                </w:txbxContent>
                              </wps:txbx>
                              <wps:bodyPr lIns="0" tIns="0" rIns="0" bIns="0" upright="true"/>
                            </wps:wsp>
                            <wps:wsp>
                              <wps:cNvPr id="63" name="直接箭头连接符 63"/>
                              <wps:cNvCnPr/>
                              <wps:spPr>
                                <a:xfrm>
                                  <a:off x="1596774" y="622491"/>
                                  <a:ext cx="553085" cy="0"/>
                                </a:xfrm>
                                <a:prstGeom prst="straightConnector1">
                                  <a:avLst/>
                                </a:prstGeom>
                                <a:ln w="6350" cap="flat" cmpd="sng">
                                  <a:solidFill>
                                    <a:srgbClr val="000000"/>
                                  </a:solidFill>
                                  <a:prstDash val="solid"/>
                                  <a:headEnd type="none" w="med" len="med"/>
                                  <a:tailEnd type="triangle" w="med" len="med"/>
                                </a:ln>
                              </wps:spPr>
                              <wps:bodyPr/>
                            </wps:wsp>
                            <wps:wsp>
                              <wps:cNvPr id="64" name="直接箭头连接符 64"/>
                              <wps:cNvCnPr/>
                              <wps:spPr>
                                <a:xfrm flipV="true">
                                  <a:off x="3098800" y="641985"/>
                                  <a:ext cx="629285" cy="635"/>
                                </a:xfrm>
                                <a:prstGeom prst="straightConnector1">
                                  <a:avLst/>
                                </a:prstGeom>
                                <a:ln w="6350" cap="flat" cmpd="sng">
                                  <a:solidFill>
                                    <a:srgbClr val="000000"/>
                                  </a:solidFill>
                                  <a:prstDash val="solid"/>
                                  <a:headEnd type="none" w="med" len="med"/>
                                  <a:tailEnd type="triangle" w="med" len="med"/>
                                </a:ln>
                              </wps:spPr>
                              <wps:bodyPr/>
                            </wps:wsp>
                            <wps:wsp>
                              <wps:cNvPr id="65" name="文本框 65"/>
                              <wps:cNvSpPr txBox="true"/>
                              <wps:spPr>
                                <a:xfrm>
                                  <a:off x="1544955" y="324485"/>
                                  <a:ext cx="466090" cy="234950"/>
                                </a:xfrm>
                                <a:prstGeom prst="rect">
                                  <a:avLst/>
                                </a:prstGeom>
                                <a:noFill/>
                                <a:ln w="6350">
                                  <a:noFill/>
                                </a:ln>
                              </wps:spPr>
                              <wps:txbx>
                                <w:txbxContent>
                                  <w:p>
                                    <w:pPr>
                                      <w:jc w:val="center"/>
                                      <w:rPr>
                                        <w:rFonts w:eastAsiaTheme="minorEastAsia"/>
                                      </w:rPr>
                                    </w:pPr>
                                  </w:p>
                                </w:txbxContent>
                              </wps:txbx>
                              <wps:bodyPr lIns="0" tIns="0" rIns="0" bIns="0" upright="true"/>
                            </wps:wsp>
                            <wps:wsp>
                              <wps:cNvPr id="67" name="文本框 67"/>
                              <wps:cNvSpPr txBox="true"/>
                              <wps:spPr>
                                <a:xfrm>
                                  <a:off x="3233420" y="434340"/>
                                  <a:ext cx="370840" cy="181610"/>
                                </a:xfrm>
                                <a:prstGeom prst="rect">
                                  <a:avLst/>
                                </a:prstGeom>
                                <a:noFill/>
                                <a:ln w="6350">
                                  <a:noFill/>
                                </a:ln>
                              </wps:spPr>
                              <wps:txbx>
                                <w:txbxContent>
                                  <w:p>
                                    <w:pPr>
                                      <w:jc w:val="center"/>
                                      <w:rPr>
                                        <w:rFonts w:eastAsiaTheme="minorEastAsia"/>
                                      </w:rPr>
                                    </w:pPr>
                                    <w:r>
                                      <w:rPr>
                                        <w:rFonts w:hint="eastAsia" w:eastAsiaTheme="minorEastAsia"/>
                                      </w:rPr>
                                      <w:t>0.081</w:t>
                                    </w:r>
                                  </w:p>
                                </w:txbxContent>
                              </wps:txbx>
                              <wps:bodyPr lIns="0" tIns="0" rIns="0" bIns="0" upright="true"/>
                            </wps:wsp>
                            <wps:wsp>
                              <wps:cNvPr id="68" name="直接箭头连接符 68"/>
                              <wps:cNvCnPr/>
                              <wps:spPr>
                                <a:xfrm flipV="true">
                                  <a:off x="1592329" y="1124928"/>
                                  <a:ext cx="506730" cy="6985"/>
                                </a:xfrm>
                                <a:prstGeom prst="straightConnector1">
                                  <a:avLst/>
                                </a:prstGeom>
                                <a:ln w="6350" cap="flat" cmpd="sng">
                                  <a:solidFill>
                                    <a:srgbClr val="000000"/>
                                  </a:solidFill>
                                  <a:prstDash val="solid"/>
                                  <a:headEnd type="none" w="med" len="med"/>
                                  <a:tailEnd type="triangle" w="med" len="med"/>
                                </a:ln>
                              </wps:spPr>
                              <wps:bodyPr/>
                            </wps:wsp>
                            <wps:wsp>
                              <wps:cNvPr id="69" name="文本框 69"/>
                              <wps:cNvSpPr txBox="true"/>
                              <wps:spPr>
                                <a:xfrm>
                                  <a:off x="1637665" y="933450"/>
                                  <a:ext cx="444500" cy="256540"/>
                                </a:xfrm>
                                <a:prstGeom prst="rect">
                                  <a:avLst/>
                                </a:prstGeom>
                                <a:noFill/>
                                <a:ln w="6350">
                                  <a:noFill/>
                                </a:ln>
                              </wps:spPr>
                              <wps:txbx>
                                <w:txbxContent>
                                  <w:p>
                                    <w:pPr>
                                      <w:jc w:val="center"/>
                                      <w:rPr>
                                        <w:rFonts w:eastAsiaTheme="minorEastAsia"/>
                                      </w:rPr>
                                    </w:pPr>
                                    <w:r>
                                      <w:rPr>
                                        <w:rFonts w:hint="eastAsia"/>
                                      </w:rPr>
                                      <w:t>0.9</w:t>
                                    </w:r>
                                  </w:p>
                                </w:txbxContent>
                              </wps:txbx>
                              <wps:bodyPr lIns="0" tIns="0" rIns="0" bIns="0" upright="true"/>
                            </wps:wsp>
                            <wps:wsp>
                              <wps:cNvPr id="70" name="直接箭头连接符 70"/>
                              <wps:cNvCnPr/>
                              <wps:spPr>
                                <a:xfrm flipH="true">
                                  <a:off x="1188720" y="1233805"/>
                                  <a:ext cx="635" cy="327660"/>
                                </a:xfrm>
                                <a:prstGeom prst="straightConnector1">
                                  <a:avLst/>
                                </a:prstGeom>
                                <a:ln w="6350" cap="flat" cmpd="sng">
                                  <a:solidFill>
                                    <a:srgbClr val="000000"/>
                                  </a:solidFill>
                                  <a:prstDash val="solid"/>
                                  <a:headEnd type="none" w="med" len="med"/>
                                  <a:tailEnd type="triangle" w="med" len="med"/>
                                </a:ln>
                              </wps:spPr>
                              <wps:bodyPr/>
                            </wps:wsp>
                            <wps:wsp>
                              <wps:cNvPr id="17" name="文本框 17"/>
                              <wps:cNvSpPr txBox="true"/>
                              <wps:spPr>
                                <a:xfrm>
                                  <a:off x="2103120" y="1005840"/>
                                  <a:ext cx="955675" cy="2616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布袋除尘器</w:t>
                                    </w:r>
                                  </w:p>
                                </w:txbxContent>
                              </wps:txbx>
                              <wps:bodyPr lIns="0" tIns="0" rIns="0" bIns="0" upright="true"/>
                            </wps:wsp>
                            <wps:wsp>
                              <wps:cNvPr id="18" name="直接箭头连接符 18"/>
                              <wps:cNvCnPr/>
                              <wps:spPr>
                                <a:xfrm flipV="true">
                                  <a:off x="3079750" y="1137285"/>
                                  <a:ext cx="629285" cy="635"/>
                                </a:xfrm>
                                <a:prstGeom prst="straightConnector1">
                                  <a:avLst/>
                                </a:prstGeom>
                                <a:ln w="6350" cap="flat" cmpd="sng">
                                  <a:solidFill>
                                    <a:srgbClr val="000000"/>
                                  </a:solidFill>
                                  <a:prstDash val="solid"/>
                                  <a:headEnd type="none" w="med" len="med"/>
                                  <a:tailEnd type="triangle" w="med" len="med"/>
                                </a:ln>
                              </wps:spPr>
                              <wps:bodyPr/>
                            </wps:wsp>
                            <wps:wsp>
                              <wps:cNvPr id="19" name="文本框 19"/>
                              <wps:cNvSpPr txBox="true"/>
                              <wps:spPr>
                                <a:xfrm>
                                  <a:off x="3718560" y="1011555"/>
                                  <a:ext cx="560705" cy="2057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排放</w:t>
                                    </w:r>
                                  </w:p>
                                </w:txbxContent>
                              </wps:txbx>
                              <wps:bodyPr lIns="0" tIns="0" rIns="0" bIns="0" upright="true"/>
                            </wps:wsp>
                            <wps:wsp>
                              <wps:cNvPr id="20" name="文本框 20"/>
                              <wps:cNvSpPr txBox="true"/>
                              <wps:spPr>
                                <a:xfrm>
                                  <a:off x="1647190" y="390525"/>
                                  <a:ext cx="444500" cy="256540"/>
                                </a:xfrm>
                                <a:prstGeom prst="rect">
                                  <a:avLst/>
                                </a:prstGeom>
                                <a:noFill/>
                                <a:ln w="6350">
                                  <a:noFill/>
                                </a:ln>
                              </wps:spPr>
                              <wps:txbx>
                                <w:txbxContent>
                                  <w:p>
                                    <w:pPr>
                                      <w:jc w:val="center"/>
                                      <w:rPr>
                                        <w:rFonts w:eastAsiaTheme="minorEastAsia"/>
                                      </w:rPr>
                                    </w:pPr>
                                    <w:r>
                                      <w:rPr>
                                        <w:rFonts w:hint="eastAsia"/>
                                      </w:rPr>
                                      <w:t>8.1</w:t>
                                    </w:r>
                                  </w:p>
                                </w:txbxContent>
                              </wps:txbx>
                              <wps:bodyPr lIns="0" tIns="0" rIns="0" bIns="0" upright="true"/>
                            </wps:wsp>
                            <wps:wsp>
                              <wps:cNvPr id="21" name="文本框 21"/>
                              <wps:cNvSpPr txBox="true"/>
                              <wps:spPr>
                                <a:xfrm>
                                  <a:off x="3128645" y="939165"/>
                                  <a:ext cx="541655" cy="200660"/>
                                </a:xfrm>
                                <a:prstGeom prst="rect">
                                  <a:avLst/>
                                </a:prstGeom>
                                <a:noFill/>
                                <a:ln w="6350">
                                  <a:noFill/>
                                </a:ln>
                              </wps:spPr>
                              <wps:txbx>
                                <w:txbxContent>
                                  <w:p>
                                    <w:pPr>
                                      <w:jc w:val="center"/>
                                      <w:rPr>
                                        <w:rFonts w:eastAsiaTheme="minorEastAsia"/>
                                      </w:rPr>
                                    </w:pPr>
                                    <w:r>
                                      <w:rPr>
                                        <w:rFonts w:hint="eastAsia" w:eastAsiaTheme="minorEastAsia"/>
                                      </w:rPr>
                                      <w:t>0.009</w:t>
                                    </w:r>
                                  </w:p>
                                </w:txbxContent>
                              </wps:txbx>
                              <wps:bodyPr lIns="0" tIns="0" rIns="0" bIns="0" upright="true"/>
                            </wps:wsp>
                            <wps:wsp>
                              <wps:cNvPr id="22" name="文本框 22"/>
                              <wps:cNvSpPr txBox="true"/>
                              <wps:spPr>
                                <a:xfrm>
                                  <a:off x="796290" y="526415"/>
                                  <a:ext cx="774700" cy="2038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自动喷塑线</w:t>
                                    </w:r>
                                  </w:p>
                                </w:txbxContent>
                              </wps:txbx>
                              <wps:bodyPr lIns="0" tIns="0" rIns="0" bIns="0" upright="true"/>
                            </wps:wsp>
                            <wps:wsp>
                              <wps:cNvPr id="23" name="文本框 23"/>
                              <wps:cNvSpPr txBox="true"/>
                              <wps:spPr>
                                <a:xfrm>
                                  <a:off x="815340" y="1015365"/>
                                  <a:ext cx="774700" cy="2038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手动喷塑线</w:t>
                                    </w:r>
                                  </w:p>
                                </w:txbxContent>
                              </wps:txbx>
                              <wps:bodyPr lIns="0" tIns="0" rIns="0" bIns="0" upright="true"/>
                            </wps:wsp>
                            <wps:wsp>
                              <wps:cNvPr id="24" name="肘形连接符 24"/>
                              <wps:cNvCnPr>
                                <a:endCxn id="22" idx="1"/>
                              </wps:cNvCnPr>
                              <wps:spPr>
                                <a:xfrm flipV="true">
                                  <a:off x="405130" y="628650"/>
                                  <a:ext cx="391160" cy="230505"/>
                                </a:xfrm>
                                <a:prstGeom prst="bentConnector3">
                                  <a:avLst>
                                    <a:gd name="adj1" fmla="val 46915"/>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5" name="肘形连接符 25"/>
                              <wps:cNvCnPr>
                                <a:endCxn id="23" idx="1"/>
                              </wps:cNvCnPr>
                              <wps:spPr>
                                <a:xfrm>
                                  <a:off x="360680" y="859155"/>
                                  <a:ext cx="454660" cy="258445"/>
                                </a:xfrm>
                                <a:prstGeom prst="bentConnector3">
                                  <a:avLst>
                                    <a:gd name="adj1" fmla="val 5014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文本框 26"/>
                              <wps:cNvSpPr txBox="true"/>
                              <wps:spPr>
                                <a:xfrm>
                                  <a:off x="452120" y="425450"/>
                                  <a:ext cx="439420" cy="182245"/>
                                </a:xfrm>
                                <a:prstGeom prst="rect">
                                  <a:avLst/>
                                </a:prstGeom>
                                <a:noFill/>
                                <a:ln w="6350">
                                  <a:noFill/>
                                </a:ln>
                              </wps:spPr>
                              <wps:txbx>
                                <w:txbxContent>
                                  <w:p>
                                    <w:pPr>
                                      <w:jc w:val="center"/>
                                      <w:rPr>
                                        <w:rFonts w:eastAsiaTheme="minorEastAsia"/>
                                      </w:rPr>
                                    </w:pPr>
                                    <w:r>
                                      <w:rPr>
                                        <w:rFonts w:hint="eastAsia"/>
                                      </w:rPr>
                                      <w:t>81</w:t>
                                    </w:r>
                                  </w:p>
                                </w:txbxContent>
                              </wps:txbx>
                              <wps:bodyPr lIns="0" tIns="0" rIns="0" bIns="0" upright="true"/>
                            </wps:wsp>
                            <wps:wsp>
                              <wps:cNvPr id="27" name="文本框 27"/>
                              <wps:cNvSpPr txBox="true"/>
                              <wps:spPr>
                                <a:xfrm>
                                  <a:off x="445770" y="933450"/>
                                  <a:ext cx="439420" cy="182245"/>
                                </a:xfrm>
                                <a:prstGeom prst="rect">
                                  <a:avLst/>
                                </a:prstGeom>
                                <a:noFill/>
                                <a:ln w="6350">
                                  <a:noFill/>
                                </a:ln>
                              </wps:spPr>
                              <wps:txbx>
                                <w:txbxContent>
                                  <w:p>
                                    <w:pPr>
                                      <w:jc w:val="center"/>
                                      <w:rPr>
                                        <w:rFonts w:eastAsiaTheme="minorEastAsia"/>
                                      </w:rPr>
                                    </w:pPr>
                                    <w:r>
                                      <w:rPr>
                                        <w:rFonts w:hint="eastAsia"/>
                                      </w:rPr>
                                      <w:t>9</w:t>
                                    </w:r>
                                  </w:p>
                                </w:txbxContent>
                              </wps:txbx>
                              <wps:bodyPr lIns="0" tIns="0" rIns="0" bIns="0" upright="true"/>
                            </wps:wsp>
                            <wps:wsp>
                              <wps:cNvPr id="28" name="直接箭头连接符 28"/>
                              <wps:cNvCnPr/>
                              <wps:spPr>
                                <a:xfrm flipH="true">
                                  <a:off x="1155700" y="773430"/>
                                  <a:ext cx="1270" cy="196215"/>
                                </a:xfrm>
                                <a:prstGeom prst="straightConnector1">
                                  <a:avLst/>
                                </a:prstGeom>
                                <a:ln w="6350"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163.6pt;width:362.7pt;" coordsize="4606290,2077720" editas="canvas" o:gfxdata="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BYAAABk&#10;cnMvUEsBAhQAFAAAAAgAh07iQGTFVzPYAAAABQEAAA8AAAAAAAAAAQAgAAAAOAAAAGRycy9kb3du&#10;cmV2LnhtbFBLAQIUABQAAAAIAIdO4kDmiF6iegcAAP45AAAOAAAAAAAAAAEAIAAAAD0BAABkcnMv&#10;ZTJvRG9jLnhtbFBLBQYAAAAABgAGAFkBAAApCwAAAAA=&#10;">
                      <o:lock v:ext="edit" aspectratio="f"/>
                      <v:shape id="_x0000_s1026" o:spid="_x0000_s1026" style="position:absolute;left:0;top:0;height:2077720;width:4606290;" filled="f" stroked="f" coordsize="21600,21600" o:gfxdata="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">
                        <v:fill on="f" focussize="0,0"/>
                        <v:stroke on="f"/>
                        <v:imagedata o:title=""/>
                        <o:lock v:ext="edit" aspectratio="t"/>
                      </v:shape>
                      <v:shape id="_x0000_s1026" o:spid="_x0000_s1026" o:spt="202" type="#_x0000_t202" style="position:absolute;left:248920;top:654050;height:18224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ZZbaJ1QAAAAUBAAAPAAAAAAAAAAEAIAAAADgAAABkcnMvZG93bnJl&#10;di54bWxQSwECFAAUAAAACACHTuJA4B9NbbEBAAA+AwAADgAAAAAAAAABACAAAAA6AQAAZHJzL2Uy&#10;b0RvYy54bWxQSwUGAAAAAAYABgBZAQAAXQUAAAAA&#10;">
                        <v:fill on="f" focussize="0,0"/>
                        <v:stroke on="f" weight="0.5pt"/>
                        <v:imagedata o:title=""/>
                        <o:lock v:ext="edit" aspectratio="f"/>
                        <v:textbox inset="0mm,0mm,0mm,0mm">
                          <w:txbxContent>
                            <w:p>
                              <w:pPr>
                                <w:jc w:val="center"/>
                                <w:rPr>
                                  <w:rFonts w:eastAsiaTheme="minorEastAsia"/>
                                </w:rPr>
                              </w:pPr>
                              <w:r>
                                <w:rPr>
                                  <w:rFonts w:hint="eastAsia"/>
                                </w:rPr>
                                <w:t>90</w:t>
                              </w:r>
                            </w:p>
                          </w:txbxContent>
                        </v:textbox>
                      </v:shape>
                      <v:shape id="_x0000_s1026" o:spid="_x0000_s1026" o:spt="202" type="#_x0000_t202" style="position:absolute;left:827405;top:1562100;height:203835;width:774700;"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gJS+tkAAAAF&#10;AQAADwAAAAAAAAABACAAAAA4AAAAZHJzL2Rvd25yZXYueG1sUEsBAhQAFAAAAAgAh07iQKzSiw0F&#10;AgAA9QMAAA4AAAAAAAAAAQAgAAAAPgEAAGRycy9lMm9Eb2MueG1sUEsFBgAAAAAGAAYAWQEAALUF&#10;AAAAAA==&#10;">
                        <v:fill on="f" focussize="0,0"/>
                        <v:stroke weight="0.5pt" color="#000000" joinstyle="miter"/>
                        <v:imagedata o:title=""/>
                        <o:lock v:ext="edit" aspectratio="f"/>
                        <v:textbox inset="0mm,0mm,0mm,0mm">
                          <w:txbxContent>
                            <w:p>
                              <w:pPr>
                                <w:jc w:val="center"/>
                              </w:pPr>
                              <w:r>
                                <w:rPr>
                                  <w:rFonts w:hint="eastAsia"/>
                                </w:rPr>
                                <w:t>工件塑粉膜</w:t>
                              </w:r>
                            </w:p>
                          </w:txbxContent>
                        </v:textbox>
                      </v:shape>
                      <v:shape id="_x0000_s1026" o:spid="_x0000_s1026" o:spt="202" type="#_x0000_t202" style="position:absolute;left:1186815;top:1287145;height:19240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lltonVAAAABQEAAA8AAAAAAAAAAQAgAAAAOAAAAGRycy9k&#10;b3ducmV2LnhtbFBLAQIUABQAAAAIAIdO4kDCb8DDtgEAAEADAAAOAAAAAAAAAAEAIAAAADoBAABk&#10;cnMvZTJvRG9jLnhtbFBLBQYAAAAABgAGAFkBAABiBQAAAAA=&#10;">
                        <v:fill on="f" focussize="0,0"/>
                        <v:stroke on="f" weight="0.5pt"/>
                        <v:imagedata o:title=""/>
                        <o:lock v:ext="edit" aspectratio="f"/>
                        <v:textbox inset="0mm,0mm,0mm,0mm">
                          <w:txbxContent>
                            <w:p>
                              <w:pPr>
                                <w:jc w:val="center"/>
                                <w:rPr>
                                  <w:rFonts w:eastAsiaTheme="minorEastAsia"/>
                                </w:rPr>
                              </w:pPr>
                              <w:r>
                                <w:rPr>
                                  <w:rFonts w:hint="eastAsia"/>
                                </w:rPr>
                                <w:t>81</w:t>
                              </w:r>
                            </w:p>
                          </w:txbxContent>
                        </v:textbox>
                      </v:shape>
                      <v:shape id="_x0000_s1026" o:spid="_x0000_s1026" o:spt="202" type="#_x0000_t202" style="position:absolute;left:60325;top:480695;height:1170940;width:288925;"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WWW2idUAAAAFAQAADwAAAAAAAAABACAAAAA4AAAAZHJzL2Rv&#10;d25yZXYueG1sUEsBAhQAFAAAAAgAh07iQN0eMcC1AQAAPgMAAA4AAAAAAAAAAQAgAAAAOgEAAGRy&#10;cy9lMm9Eb2MueG1sUEsFBgAAAAAGAAYAWQEAAGEFAAAAAA==&#10;">
                        <v:fill on="f" focussize="0,0"/>
                        <v:stroke on="f" weight="0.5pt"/>
                        <v:imagedata o:title=""/>
                        <o:lock v:ext="edit" aspectratio="f"/>
                        <v:textbox inset="0mm,0mm,0mm,0mm">
                          <w:txbxContent>
                            <w:p>
                              <w:pPr>
                                <w:jc w:val="center"/>
                              </w:pPr>
                              <w:r>
                                <w:rPr>
                                  <w:rFonts w:hint="eastAsia"/>
                                </w:rPr>
                                <w:t>聚酯树脂塑粉</w:t>
                              </w:r>
                            </w:p>
                          </w:txbxContent>
                        </v:textbox>
                      </v:shape>
                      <v:shape id="_x0000_s1026" o:spid="_x0000_s1026" o:spt="202" type="#_x0000_t202" style="position:absolute;left:929005;top:0;height:348615;width:70231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WWW2idUAAAAFAQAADwAAAAAAAAABACAAAAA4AAAAZHJzL2Rvd25yZXYu&#10;eG1sUEsBAhQAFAAAAAgAh07iQCaChsqvAQAAOQMAAA4AAAAAAAAAAQAgAAAAOgEAAGRycy9lMm9E&#10;b2MueG1sUEsFBgAAAAAGAAYAWQEAAFsFAAAAAA==&#10;">
                        <v:fill on="f" focussize="0,0"/>
                        <v:stroke on="f" weight="0.5pt"/>
                        <v:imagedata o:title=""/>
                        <o:lock v:ext="edit" aspectratio="f"/>
                        <v:textbox inset="0mm,0mm,0mm,0mm">
                          <w:txbxContent>
                            <w:p>
                              <w:pPr>
                                <w:jc w:val="center"/>
                              </w:pPr>
                              <w:r>
                                <w:rPr>
                                  <w:rFonts w:hint="eastAsia"/>
                                </w:rPr>
                                <w:t>待喷塑工件</w:t>
                              </w:r>
                            </w:p>
                          </w:txbxContent>
                        </v:textbox>
                      </v:shape>
                      <v:shape id="_x0000_s1026" o:spid="_x0000_s1026" o:spt="32" type="#_x0000_t32" style="position:absolute;left:1155700;top:227330;flip:x;height:196215;width:1270;"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Mj+Z9MAAAAFAQAADwAAAAAA&#10;AAABACAAAAA4AAAAZHJzL2Rvd25yZXYueG1sUEsBAhQAFAAAAAgAh07iQIIEavICAgAAvgMAAA4A&#10;AAAAAAAAAQAgAAAAOAEAAGRycy9lMm9Eb2MueG1sUEsFBgAAAAAGAAYAWQEAAKwFAAAAAA==&#10;">
                        <v:fill on="f" focussize="0,0"/>
                        <v:stroke weight="0.5pt" color="#000000" joinstyle="round" endarrow="block"/>
                        <v:imagedata o:title=""/>
                        <o:lock v:ext="edit" aspectratio="f"/>
                      </v:shape>
                      <v:shape id="_x0000_s1026" o:spid="_x0000_s1026" o:spt="202" type="#_x0000_t202" style="position:absolute;left:2131695;top:415290;height:518795;width:95567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KAlL62QAA&#10;AAUBAAAPAAAAAAAAAAEAIAAAADgAAABkcnMvZG93bnJldi54bWxQSwECFAAUAAAACACHTuJAmn3U&#10;EAcCAAD1AwAADgAAAAAAAAABACAAAAA+AQAAZHJzL2Uyb0RvYy54bWxQSwUGAAAAAAYABgBZAQAA&#10;twUAAAAA&#10;">
                        <v:fill on="f" focussize="0,0"/>
                        <v:stroke weight="0.5pt" color="#000000" joinstyle="miter"/>
                        <v:imagedata o:title=""/>
                        <o:lock v:ext="edit" aspectratio="f"/>
                        <v:textbox inset="0mm,0mm,0mm,0mm">
                          <w:txbxContent>
                            <w:p>
                              <w:pPr>
                                <w:jc w:val="center"/>
                              </w:pPr>
                              <w:r>
                                <w:rPr>
                                  <w:rFonts w:hint="eastAsia"/>
                                </w:rPr>
                                <w:t>脉冲滤芯处理装置</w:t>
                              </w:r>
                            </w:p>
                          </w:txbxContent>
                        </v:textbox>
                      </v:shape>
                      <v:shape id="_x0000_s1026" o:spid="_x0000_s1026" o:spt="202" type="#_x0000_t202" style="position:absolute;left:3709035;top:516255;height:205740;width:56070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gJS+tkA&#10;AAAFAQAADwAAAAAAAAABACAAAAA4AAAAZHJzL2Rvd25yZXYueG1sUEsBAhQAFAAAAAgAh07iQM4N&#10;nfYIAgAA9QMAAA4AAAAAAAAAAQAgAAAAPgEAAGRycy9lMm9Eb2MueG1sUEsFBgAAAAAGAAYAWQEA&#10;ALgFAAAAAA==&#10;">
                        <v:fill on="f" focussize="0,0"/>
                        <v:stroke weight="0.5pt" color="#000000" joinstyle="miter"/>
                        <v:imagedata o:title=""/>
                        <o:lock v:ext="edit" aspectratio="f"/>
                        <v:textbox inset="0mm,0mm,0mm,0mm">
                          <w:txbxContent>
                            <w:p>
                              <w:pPr>
                                <w:jc w:val="center"/>
                              </w:pPr>
                              <w:r>
                                <w:rPr>
                                  <w:rFonts w:hint="eastAsia"/>
                                </w:rPr>
                                <w:t>排放</w:t>
                              </w:r>
                            </w:p>
                          </w:txbxContent>
                        </v:textbox>
                      </v:shape>
                      <v:shape id="_x0000_s1026" o:spid="_x0000_s1026" o:spt="32" type="#_x0000_t32" style="position:absolute;left:1596774;top:622491;height:0;width:553085;" filled="f" stroked="t" coordsize="21600,21600" o:gfxdata="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QReGk1gAAAAUBAAAPAAAAAAAAAAEAIAAA&#10;ADgAAABkcnMvZG93bnJldi54bWxQSwECFAAUAAAACACHTuJAAr//FvgBAACuAwAADgAAAAAAAAAB&#10;ACAAAAA7AQAAZHJzL2Uyb0RvYy54bWxQSwUGAAAAAAYABgBZAQAApQUAAAAA&#10;">
                        <v:fill on="f" focussize="0,0"/>
                        <v:stroke weight="0.5pt" color="#000000" joinstyle="round" endarrow="block"/>
                        <v:imagedata o:title=""/>
                        <o:lock v:ext="edit" aspectratio="f"/>
                      </v:shape>
                      <v:shape id="_x0000_s1026" o:spid="_x0000_s1026" o:spt="32" type="#_x0000_t32" style="position:absolute;left:3098800;top:641985;flip:y;height:635;width:629285;"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QyP5n0wAAAAUBAAAPAAAAAAAAAAEA&#10;IAAAADgAAABkcnMvZG93bnJldi54bWxQSwECFAAUAAAACACHTuJASAc6d/4BAAC9AwAADgAAAAAA&#10;AAABACAAAAA4AQAAZHJzL2Uyb0RvYy54bWxQSwUGAAAAAAYABgBZAQAAqAUAAAAA&#10;">
                        <v:fill on="f" focussize="0,0"/>
                        <v:stroke weight="0.5pt" color="#000000" joinstyle="round" endarrow="block"/>
                        <v:imagedata o:title=""/>
                        <o:lock v:ext="edit" aspectratio="f"/>
                      </v:shape>
                      <v:shape id="_x0000_s1026" o:spid="_x0000_s1026" o:spt="202" type="#_x0000_t202" style="position:absolute;left:1544955;top:324485;height:234950;width:46609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ZZbaJ1QAAAAUBAAAPAAAAAAAAAAEAIAAAADgAAABkcnMvZG93&#10;bnJldi54bWxQSwECFAAUAAAACACHTuJAcrbgwrQBAAA/AwAADgAAAAAAAAABACAAAAA6AQAAZHJz&#10;L2Uyb0RvYy54bWxQSwUGAAAAAAYABgBZAQAAYAUAAAAA&#10;">
                        <v:fill on="f" focussize="0,0"/>
                        <v:stroke on="f" weight="0.5pt"/>
                        <v:imagedata o:title=""/>
                        <o:lock v:ext="edit" aspectratio="f"/>
                        <v:textbox inset="0mm,0mm,0mm,0mm">
                          <w:txbxContent>
                            <w:p>
                              <w:pPr>
                                <w:jc w:val="center"/>
                                <w:rPr>
                                  <w:rFonts w:eastAsiaTheme="minorEastAsia"/>
                                </w:rPr>
                              </w:pPr>
                            </w:p>
                          </w:txbxContent>
                        </v:textbox>
                      </v:shape>
                      <v:shape id="_x0000_s1026" o:spid="_x0000_s1026" o:spt="202" type="#_x0000_t202" style="position:absolute;left:3233420;top:434340;height:181610;width:37084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lltonVAAAABQEAAA8AAAAAAAAAAQAgAAAAOAAAAGRycy9kb3du&#10;cmV2LnhtbFBLAQIUABQAAAAIAIdO4kBjP4euswEAAD8DAAAOAAAAAAAAAAEAIAAAADoBAABkcnMv&#10;ZTJvRG9jLnhtbFBLBQYAAAAABgAGAFkBAABfBQAAAAA=&#10;">
                        <v:fill on="f" focussize="0,0"/>
                        <v:stroke on="f" weight="0.5pt"/>
                        <v:imagedata o:title=""/>
                        <o:lock v:ext="edit" aspectratio="f"/>
                        <v:textbox inset="0mm,0mm,0mm,0mm">
                          <w:txbxContent>
                            <w:p>
                              <w:pPr>
                                <w:jc w:val="center"/>
                                <w:rPr>
                                  <w:rFonts w:eastAsiaTheme="minorEastAsia"/>
                                </w:rPr>
                              </w:pPr>
                              <w:r>
                                <w:rPr>
                                  <w:rFonts w:hint="eastAsia" w:eastAsiaTheme="minorEastAsia"/>
                                </w:rPr>
                                <w:t>0.081</w:t>
                              </w:r>
                            </w:p>
                          </w:txbxContent>
                        </v:textbox>
                      </v:shape>
                      <v:shape id="_x0000_s1026" o:spid="_x0000_s1026" o:spt="32" type="#_x0000_t32" style="position:absolute;left:1592329;top:1124928;flip:y;height:6985;width:506730;"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DI/mfTAAAABQEAAA8AAAAA&#10;AAAAAQAgAAAAOAAAAGRycy9kb3ducmV2LnhtbFBLAQIUABQAAAAIAIdO4kBkzIwPAwIAAL8DAAAO&#10;AAAAAAAAAAEAIAAAADgBAABkcnMvZTJvRG9jLnhtbFBLBQYAAAAABgAGAFkBAACtBQAAAAA=&#10;">
                        <v:fill on="f" focussize="0,0"/>
                        <v:stroke weight="0.5pt" color="#000000" joinstyle="round" endarrow="block"/>
                        <v:imagedata o:title=""/>
                        <o:lock v:ext="edit" aspectratio="f"/>
                      </v:shape>
                      <v:shape id="_x0000_s1026" o:spid="_x0000_s1026" o:spt="202" type="#_x0000_t202" style="position:absolute;left:1637665;top:933450;height:256540;width:44450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WWW2idUAAAAFAQAADwAAAAAAAAABACAAAAA4AAAAZHJzL2Rvd25y&#10;ZXYueG1sUEsBAhQAFAAAAAgAh07iQN4UdWiyAQAAPwMAAA4AAAAAAAAAAQAgAAAAOgEAAGRycy9l&#10;Mm9Eb2MueG1sUEsFBgAAAAAGAAYAWQEAAF4FAAAAAA==&#10;">
                        <v:fill on="f" focussize="0,0"/>
                        <v:stroke on="f" weight="0.5pt"/>
                        <v:imagedata o:title=""/>
                        <o:lock v:ext="edit" aspectratio="f"/>
                        <v:textbox inset="0mm,0mm,0mm,0mm">
                          <w:txbxContent>
                            <w:p>
                              <w:pPr>
                                <w:jc w:val="center"/>
                                <w:rPr>
                                  <w:rFonts w:eastAsiaTheme="minorEastAsia"/>
                                </w:rPr>
                              </w:pPr>
                              <w:r>
                                <w:rPr>
                                  <w:rFonts w:hint="eastAsia"/>
                                </w:rPr>
                                <w:t>0.9</w:t>
                              </w:r>
                            </w:p>
                          </w:txbxContent>
                        </v:textbox>
                      </v:shape>
                      <v:shape id="_x0000_s1026" o:spid="_x0000_s1026" o:spt="32" type="#_x0000_t32" style="position:absolute;left:1188720;top:1233805;flip:x;height:327660;width:635;"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yP5n0wAAAAUBAAAPAAAAAAAA&#10;AAEAIAAAADgAAABkcnMvZG93bnJldi54bWxQSwECFAAUAAAACACHTuJAEJ5PUQECAAC+AwAADgAA&#10;AAAAAAABACAAAAA4AQAAZHJzL2Uyb0RvYy54bWxQSwUGAAAAAAYABgBZAQAAqwUAAAAA&#10;">
                        <v:fill on="f" focussize="0,0"/>
                        <v:stroke weight="0.5pt" color="#000000" joinstyle="round" endarrow="block"/>
                        <v:imagedata o:title=""/>
                        <o:lock v:ext="edit" aspectratio="f"/>
                      </v:shape>
                      <v:shape id="_x0000_s1026" o:spid="_x0000_s1026" o:spt="202" type="#_x0000_t202" style="position:absolute;left:2103120;top:1005840;height:261620;width:95567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KAlL62QAA&#10;AAUBAAAPAAAAAAAAAAEAIAAAADgAAABkcnMvZG93bnJldi54bWxQSwECFAAUAAAACACHTuJA7Wvl&#10;ugcCAAD2AwAADgAAAAAAAAABACAAAAA+AQAAZHJzL2Uyb0RvYy54bWxQSwUGAAAAAAYABgBZAQAA&#10;twUAAAAA&#10;">
                        <v:fill on="f" focussize="0,0"/>
                        <v:stroke weight="0.5pt" color="#000000" joinstyle="miter"/>
                        <v:imagedata o:title=""/>
                        <o:lock v:ext="edit" aspectratio="f"/>
                        <v:textbox inset="0mm,0mm,0mm,0mm">
                          <w:txbxContent>
                            <w:p>
                              <w:pPr>
                                <w:jc w:val="center"/>
                              </w:pPr>
                              <w:r>
                                <w:rPr>
                                  <w:rFonts w:hint="eastAsia"/>
                                </w:rPr>
                                <w:t>布袋除尘器</w:t>
                              </w:r>
                            </w:p>
                          </w:txbxContent>
                        </v:textbox>
                      </v:shape>
                      <v:shape id="_x0000_s1026" o:spid="_x0000_s1026" o:spt="32" type="#_x0000_t32" style="position:absolute;left:3079750;top:1137285;flip:y;height:635;width:629285;"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DI/mfTAAAABQEAAA8AAAAAAAAA&#10;AQAgAAAAOAAAAGRycy9kb3ducmV2LnhtbFBLAQIUABQAAAAIAIdO4kBctFQzAAIAAL4DAAAOAAAA&#10;AAAAAAEAIAAAADgBAABkcnMvZTJvRG9jLnhtbFBLBQYAAAAABgAGAFkBAACqBQAAAAA=&#10;">
                        <v:fill on="f" focussize="0,0"/>
                        <v:stroke weight="0.5pt" color="#000000" joinstyle="round" endarrow="block"/>
                        <v:imagedata o:title=""/>
                        <o:lock v:ext="edit" aspectratio="f"/>
                      </v:shape>
                      <v:shape id="_x0000_s1026" o:spid="_x0000_s1026" o:spt="202" type="#_x0000_t202" style="position:absolute;left:3718560;top:1011555;height:205740;width:560705;"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gJS+tkA&#10;AAAFAQAADwAAAAAAAAABACAAAAA4AAAAZHJzL2Rvd25yZXYueG1sUEsBAhQAFAAAAAgAh07iQPwh&#10;coIIAgAA9gMAAA4AAAAAAAAAAQAgAAAAPgEAAGRycy9lMm9Eb2MueG1sUEsFBgAAAAAGAAYAWQEA&#10;ALgFAAAAAA==&#10;">
                        <v:fill on="f" focussize="0,0"/>
                        <v:stroke weight="0.5pt" color="#000000" joinstyle="miter"/>
                        <v:imagedata o:title=""/>
                        <o:lock v:ext="edit" aspectratio="f"/>
                        <v:textbox inset="0mm,0mm,0mm,0mm">
                          <w:txbxContent>
                            <w:p>
                              <w:pPr>
                                <w:jc w:val="center"/>
                              </w:pPr>
                              <w:r>
                                <w:rPr>
                                  <w:rFonts w:hint="eastAsia"/>
                                </w:rPr>
                                <w:t>排放</w:t>
                              </w:r>
                            </w:p>
                          </w:txbxContent>
                        </v:textbox>
                      </v:shape>
                      <v:shape id="_x0000_s1026" o:spid="_x0000_s1026" o:spt="202" type="#_x0000_t202" style="position:absolute;left:1647190;top:390525;height:256540;width:44450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WWW2idUAAAAFAQAADwAAAAAAAAABACAAAAA4AAAAZHJzL2Rv&#10;d25yZXYueG1sUEsBAhQAFAAAAAgAh07iQFRamSW1AQAAPwMAAA4AAAAAAAAAAQAgAAAAOgEAAGRy&#10;cy9lMm9Eb2MueG1sUEsFBgAAAAAGAAYAWQEAAGEFAAAAAA==&#10;">
                        <v:fill on="f" focussize="0,0"/>
                        <v:stroke on="f" weight="0.5pt"/>
                        <v:imagedata o:title=""/>
                        <o:lock v:ext="edit" aspectratio="f"/>
                        <v:textbox inset="0mm,0mm,0mm,0mm">
                          <w:txbxContent>
                            <w:p>
                              <w:pPr>
                                <w:jc w:val="center"/>
                                <w:rPr>
                                  <w:rFonts w:eastAsiaTheme="minorEastAsia"/>
                                </w:rPr>
                              </w:pPr>
                              <w:r>
                                <w:rPr>
                                  <w:rFonts w:hint="eastAsia"/>
                                </w:rPr>
                                <w:t>8.1</w:t>
                              </w:r>
                            </w:p>
                          </w:txbxContent>
                        </v:textbox>
                      </v:shape>
                      <v:shape id="_x0000_s1026" o:spid="_x0000_s1026" o:spt="202" type="#_x0000_t202" style="position:absolute;left:3128645;top:939165;height:200660;width:541655;"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WWW2idUAAAAFAQAADwAAAAAAAAABACAAAAA4AAAAZHJzL2Rv&#10;d25yZXYueG1sUEsBAhQAFAAAAAgAh07iQBudM3+1AQAAPwMAAA4AAAAAAAAAAQAgAAAAOgEAAGRy&#10;cy9lMm9Eb2MueG1sUEsFBgAAAAAGAAYAWQEAAGEFAAAAAA==&#10;">
                        <v:fill on="f" focussize="0,0"/>
                        <v:stroke on="f" weight="0.5pt"/>
                        <v:imagedata o:title=""/>
                        <o:lock v:ext="edit" aspectratio="f"/>
                        <v:textbox inset="0mm,0mm,0mm,0mm">
                          <w:txbxContent>
                            <w:p>
                              <w:pPr>
                                <w:jc w:val="center"/>
                                <w:rPr>
                                  <w:rFonts w:eastAsiaTheme="minorEastAsia"/>
                                </w:rPr>
                              </w:pPr>
                              <w:r>
                                <w:rPr>
                                  <w:rFonts w:hint="eastAsia" w:eastAsiaTheme="minorEastAsia"/>
                                </w:rPr>
                                <w:t>0.009</w:t>
                              </w:r>
                            </w:p>
                          </w:txbxContent>
                        </v:textbox>
                      </v:shape>
                      <v:shape id="_x0000_s1026" o:spid="_x0000_s1026" o:spt="202" type="#_x0000_t202" style="position:absolute;left:796290;top:526415;height:203835;width:774700;"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KAlL62QAA&#10;AAUBAAAPAAAAAAAAAAEAIAAAADgAAABkcnMvZG93bnJldi54bWxQSwECFAAUAAAACACHTuJAZaKb&#10;fAcCAAD0AwAADgAAAAAAAAABACAAAAA+AQAAZHJzL2Uyb0RvYy54bWxQSwUGAAAAAAYABgBZAQAA&#10;twUAAAAA&#10;">
                        <v:fill on="f" focussize="0,0"/>
                        <v:stroke weight="0.5pt" color="#000000" joinstyle="miter"/>
                        <v:imagedata o:title=""/>
                        <o:lock v:ext="edit" aspectratio="f"/>
                        <v:textbox inset="0mm,0mm,0mm,0mm">
                          <w:txbxContent>
                            <w:p>
                              <w:pPr>
                                <w:jc w:val="center"/>
                              </w:pPr>
                              <w:r>
                                <w:rPr>
                                  <w:rFonts w:hint="eastAsia"/>
                                </w:rPr>
                                <w:t>自动喷塑线</w:t>
                              </w:r>
                            </w:p>
                          </w:txbxContent>
                        </v:textbox>
                      </v:shape>
                      <v:shape id="_x0000_s1026" o:spid="_x0000_s1026" o:spt="202" type="#_x0000_t202" style="position:absolute;left:815340;top:1015365;height:203835;width:774700;" filled="f" stroked="t" coordsize="21600,21600" o:gfxdata="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KAlL62QAAAAUB&#10;AAAPAAAAAAAAAAEAIAAAADgAAABkcnMvZG93bnJldi54bWxQSwECFAAUAAAACACHTuJAvqKrmAQC&#10;AAD1AwAADgAAAAAAAAABACAAAAA+AQAAZHJzL2Uyb0RvYy54bWxQSwUGAAAAAAYABgBZAQAAtAUA&#10;AAAA&#10;">
                        <v:fill on="f" focussize="0,0"/>
                        <v:stroke weight="0.5pt" color="#000000" joinstyle="miter"/>
                        <v:imagedata o:title=""/>
                        <o:lock v:ext="edit" aspectratio="f"/>
                        <v:textbox inset="0mm,0mm,0mm,0mm">
                          <w:txbxContent>
                            <w:p>
                              <w:pPr>
                                <w:jc w:val="center"/>
                              </w:pPr>
                              <w:r>
                                <w:rPr>
                                  <w:rFonts w:hint="eastAsia"/>
                                </w:rPr>
                                <w:t>手动喷塑线</w:t>
                              </w:r>
                            </w:p>
                          </w:txbxContent>
                        </v:textbox>
                      </v:shape>
                      <v:shape id="_x0000_s1026" o:spid="_x0000_s1026" o:spt="34" type="#_x0000_t34" style="position:absolute;left:405130;top:628650;flip:y;height:230505;width:391160;" filled="f" stroked="t" coordsize="21600,21600" o:gfxdata="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tULMvVAAAABQEAAA8AAAAAAAAAAQAgAAAAOAAAAGRycy9kb3ducmV2&#10;LnhtbFBLAQIUABQAAAAIAIdO4kA/QXVsIgIAAPsDAAAOAAAAAAAAAAEAIAAAADoBAABkcnMvZTJv&#10;RG9jLnhtbFBLBQYAAAAABgAGAFkBAADOBQAAAAA=&#10;" adj="10134">
                        <v:fill on="f" focussize="0,0"/>
                        <v:stroke weight="0.5pt" color="#000000 [3213]" miterlimit="8" joinstyle="miter" endarrow="block"/>
                        <v:imagedata o:title=""/>
                        <o:lock v:ext="edit" aspectratio="f"/>
                      </v:shape>
                      <v:shape id="_x0000_s1026" o:spid="_x0000_s1026" o:spt="34" type="#_x0000_t34" style="position:absolute;left:360680;top:859155;height:258445;width:454660;" filled="f" stroked="t" coordsize="21600,21600" o:gfxdata="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gjbtnYAAAABQEAAA8AAAAAAAAAAQAgAAAAOAAAAGRycy9kb3ducmV2LnhtbFBL&#10;AQIUABQAAAAIAIdO4kD6BwJLGQIAAO4DAAAOAAAAAAAAAAEAIAAAAD0BAABkcnMvZTJvRG9jLnht&#10;bFBLBQYAAAAABgAGAFkBAADIBQAAAAA=&#10;" adj="10830">
                        <v:fill on="f" focussize="0,0"/>
                        <v:stroke weight="0.5pt" color="#000000 [3213]" miterlimit="8" joinstyle="miter" endarrow="block"/>
                        <v:imagedata o:title=""/>
                        <o:lock v:ext="edit" aspectratio="f"/>
                      </v:shape>
                      <v:shape id="_x0000_s1026" o:spid="_x0000_s1026" o:spt="202" type="#_x0000_t202" style="position:absolute;left:452120;top:425450;height:18224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lltonVAAAABQEAAA8AAAAAAAAAAQAgAAAAOAAAAGRycy9kb3ducmV2&#10;LnhtbFBLAQIUABQAAAAIAIdO4kC6qiqrsAEAAD4DAAAOAAAAAAAAAAEAIAAAADoBAABkcnMvZTJv&#10;RG9jLnhtbFBLBQYAAAAABgAGAFkBAABcBQAAAAA=&#10;">
                        <v:fill on="f" focussize="0,0"/>
                        <v:stroke on="f" weight="0.5pt"/>
                        <v:imagedata o:title=""/>
                        <o:lock v:ext="edit" aspectratio="f"/>
                        <v:textbox inset="0mm,0mm,0mm,0mm">
                          <w:txbxContent>
                            <w:p>
                              <w:pPr>
                                <w:jc w:val="center"/>
                                <w:rPr>
                                  <w:rFonts w:eastAsiaTheme="minorEastAsia"/>
                                </w:rPr>
                              </w:pPr>
                              <w:r>
                                <w:rPr>
                                  <w:rFonts w:hint="eastAsia"/>
                                </w:rPr>
                                <w:t>81</w:t>
                              </w:r>
                            </w:p>
                          </w:txbxContent>
                        </v:textbox>
                      </v:shape>
                      <v:shape id="_x0000_s1026" o:spid="_x0000_s1026" o:spt="202" type="#_x0000_t202" style="position:absolute;left:445770;top:933450;height:182245;width:439420;" filled="f" stroked="f" coordsize="21600,21600" o:gfxdata="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WWW2idUAAAAFAQAADwAAAAAAAAABACAAAAA4AAAAZHJzL2Rvd25y&#10;ZXYueG1sUEsBAhQAFAAAAAgAh07iQHWs9rCyAQAAPgMAAA4AAAAAAAAAAQAgAAAAOgEAAGRycy9l&#10;Mm9Eb2MueG1sUEsFBgAAAAAGAAYAWQEAAF4FAAAAAA==&#10;">
                        <v:fill on="f" focussize="0,0"/>
                        <v:stroke on="f" weight="0.5pt"/>
                        <v:imagedata o:title=""/>
                        <o:lock v:ext="edit" aspectratio="f"/>
                        <v:textbox inset="0mm,0mm,0mm,0mm">
                          <w:txbxContent>
                            <w:p>
                              <w:pPr>
                                <w:jc w:val="center"/>
                                <w:rPr>
                                  <w:rFonts w:eastAsiaTheme="minorEastAsia"/>
                                </w:rPr>
                              </w:pPr>
                              <w:r>
                                <w:rPr>
                                  <w:rFonts w:hint="eastAsia"/>
                                </w:rPr>
                                <w:t>9</w:t>
                              </w:r>
                            </w:p>
                          </w:txbxContent>
                        </v:textbox>
                      </v:shape>
                      <v:shape id="_x0000_s1026" o:spid="_x0000_s1026" o:spt="32" type="#_x0000_t32" style="position:absolute;left:1155700;top:773430;flip:x;height:196215;width:1270;" filled="f" stroked="t" coordsize="21600,21600" o:gfxdata="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yP5n0wAAAAUBAAAPAAAAAAAA&#10;AAEAIAAAADgAAABkcnMvZG93bnJldi54bWxQSwECFAAUAAAACACHTuJALm+MNwECAAC+AwAADgAA&#10;AAAAAAABACAAAAA4AQAAZHJzL2Uyb0RvYy54bWxQSwUGAAAAAAYABgBZAQAAqwUAAAAA&#10;">
                        <v:fill on="f" focussize="0,0"/>
                        <v:stroke weight="0.5pt" color="#000000" joinstyle="round" endarrow="block"/>
                        <v:imagedata o:title=""/>
                        <o:lock v:ext="edit" aspectratio="f"/>
                      </v:shape>
                      <w10:wrap type="none"/>
                      <w10:anchorlock/>
                    </v:group>
                  </w:pict>
                </mc:Fallback>
              </mc:AlternateContent>
            </w:r>
          </w:p>
          <w:p>
            <w:pPr>
              <w:spacing w:line="480" w:lineRule="atLeast"/>
              <w:ind w:firstLine="472" w:firstLineChars="200"/>
              <w:jc w:val="center"/>
              <w:rPr>
                <w:b/>
                <w:color w:val="auto"/>
                <w:sz w:val="24"/>
                <w:szCs w:val="24"/>
              </w:rPr>
            </w:pPr>
            <w:r>
              <w:rPr>
                <w:b/>
                <w:color w:val="auto"/>
                <w:sz w:val="24"/>
                <w:szCs w:val="24"/>
              </w:rPr>
              <w:t>图</w:t>
            </w:r>
            <w:r>
              <w:rPr>
                <w:rFonts w:hint="eastAsia"/>
                <w:b/>
                <w:color w:val="auto"/>
                <w:sz w:val="24"/>
                <w:szCs w:val="24"/>
              </w:rPr>
              <w:t>2-1</w:t>
            </w:r>
            <w:r>
              <w:rPr>
                <w:b/>
                <w:color w:val="auto"/>
                <w:sz w:val="24"/>
                <w:szCs w:val="24"/>
              </w:rPr>
              <w:t xml:space="preserve">    聚酯树脂塑粉物料平衡图  单位t/a</w:t>
            </w:r>
          </w:p>
          <w:p>
            <w:pPr>
              <w:pStyle w:val="37"/>
              <w:ind w:left="411"/>
              <w:rPr>
                <w:rFonts w:hint="eastAsia"/>
                <w:b/>
                <w:color w:val="auto"/>
                <w:sz w:val="24"/>
                <w:szCs w:val="24"/>
              </w:rPr>
            </w:pP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1392555</wp:posOffset>
                      </wp:positionH>
                      <wp:positionV relativeFrom="paragraph">
                        <wp:posOffset>1192530</wp:posOffset>
                      </wp:positionV>
                      <wp:extent cx="476250" cy="260985"/>
                      <wp:effectExtent l="0" t="38100" r="0" b="5715"/>
                      <wp:wrapNone/>
                      <wp:docPr id="30" name="肘形连接符 30"/>
                      <wp:cNvGraphicFramePr/>
                      <a:graphic xmlns:a="http://schemas.openxmlformats.org/drawingml/2006/main">
                        <a:graphicData uri="http://schemas.microsoft.com/office/word/2010/wordprocessingShape">
                          <wps:wsp>
                            <wps:cNvCnPr/>
                            <wps:spPr>
                              <a:xfrm flipV="true">
                                <a:off x="2658745" y="4512945"/>
                                <a:ext cx="476250" cy="260985"/>
                              </a:xfrm>
                              <a:prstGeom prst="bentConnector3">
                                <a:avLst>
                                  <a:gd name="adj1" fmla="val 50133"/>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09.65pt;margin-top:93.9pt;height:20.55pt;width:37.5pt;z-index:251664384;mso-width-relative:page;mso-height-relative:page;" filled="f" stroked="t" coordsize="21600,21600" o:gfxdata="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JU38CNcAAAALAQAADwAAAAAAAAABACAAAAA4AAAA&#10;ZHJzL2Rvd25yZXYueG1sUEsBAhQAFAAAAAgAh07iQLRqrA8rAgAA/wMAAA4AAAAAAAAAAQAgAAAA&#10;PAEAAGRycy9lMm9Eb2MueG1sUEsFBgAAAAAGAAYAWQEAANkFAAAAAA==&#10;" adj="10829">
                      <v:fill on="f" focussize="0,0"/>
                      <v:stroke weight="0.5pt" color="#000000 [3213]" miterlimit="8" joinstyle="miter" endarrow="block"/>
                      <v:imagedata o:title=""/>
                      <o:lock v:ext="edit" aspectratio="f"/>
                    </v:shape>
                  </w:pict>
                </mc:Fallback>
              </mc:AlternateContent>
            </w:r>
            <w:r>
              <w:rPr>
                <w:b/>
                <w:color w:val="auto"/>
              </w:rPr>
              <mc:AlternateContent>
                <mc:Choice Requires="wpc">
                  <w:drawing>
                    <wp:inline distT="0" distB="0" distL="114300" distR="114300">
                      <wp:extent cx="5439410" cy="2750820"/>
                      <wp:effectExtent l="0" t="0" r="0" b="0"/>
                      <wp:docPr id="84" name="画布 84"/>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95" name="文本框 72"/>
                              <wps:cNvSpPr txBox="true"/>
                              <wps:spPr>
                                <a:xfrm>
                                  <a:off x="158750" y="1261745"/>
                                  <a:ext cx="970280" cy="243840"/>
                                </a:xfrm>
                                <a:prstGeom prst="rect">
                                  <a:avLst/>
                                </a:prstGeom>
                                <a:noFill/>
                                <a:ln w="6350"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rPr>
                                      <w:t>喷塑后工件</w:t>
                                    </w:r>
                                  </w:p>
                                </w:txbxContent>
                              </wps:txbx>
                              <wps:bodyPr lIns="0" tIns="0" rIns="0" bIns="0" upright="true"/>
                            </wps:wsp>
                            <wps:wsp>
                              <wps:cNvPr id="96" name="文本框 73"/>
                              <wps:cNvSpPr txBox="true"/>
                              <wps:spPr>
                                <a:xfrm>
                                  <a:off x="1541780" y="181610"/>
                                  <a:ext cx="1223645" cy="5118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催化燃烧装置</w:t>
                                    </w:r>
                                    <w:r>
                                      <w:t>去除效率</w:t>
                                    </w:r>
                                    <w:r>
                                      <w:rPr>
                                        <w:rFonts w:hint="eastAsia"/>
                                      </w:rPr>
                                      <w:t>90</w:t>
                                    </w:r>
                                    <w:r>
                                      <w:t>%</w:t>
                                    </w:r>
                                  </w:p>
                                </w:txbxContent>
                              </wps:txbx>
                              <wps:bodyPr lIns="0" tIns="0" rIns="0" bIns="0" upright="true"/>
                            </wps:wsp>
                            <wps:wsp>
                              <wps:cNvPr id="97" name="直接箭头连接符 74"/>
                              <wps:cNvCnPr/>
                              <wps:spPr>
                                <a:xfrm rot="10800000">
                                  <a:off x="2201046" y="705202"/>
                                  <a:ext cx="635" cy="327824"/>
                                </a:xfrm>
                                <a:prstGeom prst="straightConnector1">
                                  <a:avLst/>
                                </a:prstGeom>
                                <a:ln w="6350" cap="flat" cmpd="sng">
                                  <a:solidFill>
                                    <a:srgbClr val="000000"/>
                                  </a:solidFill>
                                  <a:prstDash val="dash"/>
                                  <a:headEnd type="none" w="med" len="med"/>
                                  <a:tailEnd type="triangle" w="med" len="med"/>
                                </a:ln>
                              </wps:spPr>
                              <wps:bodyPr/>
                            </wps:wsp>
                            <wps:wsp>
                              <wps:cNvPr id="98" name="文本框 75"/>
                              <wps:cNvSpPr txBox="true"/>
                              <wps:spPr>
                                <a:xfrm>
                                  <a:off x="3205333" y="1028578"/>
                                  <a:ext cx="1161187" cy="242056"/>
                                </a:xfrm>
                                <a:prstGeom prst="rect">
                                  <a:avLst/>
                                </a:prstGeom>
                                <a:noFill/>
                                <a:ln w="6350">
                                  <a:noFill/>
                                </a:ln>
                              </wps:spPr>
                              <wps:txbx>
                                <w:txbxContent>
                                  <w:p>
                                    <w:pPr>
                                      <w:rPr>
                                        <w:rFonts w:hint="default" w:eastAsia="宋体"/>
                                        <w:lang w:val="en-US" w:eastAsia="zh-CN"/>
                                      </w:rPr>
                                    </w:pPr>
                                    <w:r>
                                      <w:t>无组织排放</w:t>
                                    </w:r>
                                    <w:r>
                                      <w:rPr>
                                        <w:rFonts w:hint="eastAsia"/>
                                        <w:lang w:val="en-US" w:eastAsia="zh-CN"/>
                                      </w:rPr>
                                      <w:t>0.0729</w:t>
                                    </w:r>
                                  </w:p>
                                </w:txbxContent>
                              </wps:txbx>
                              <wps:bodyPr lIns="0" tIns="0" rIns="0" bIns="0" upright="true"/>
                            </wps:wsp>
                            <wps:wsp>
                              <wps:cNvPr id="99" name="直接连接符 78"/>
                              <wps:cNvCnPr/>
                              <wps:spPr>
                                <a:xfrm>
                                  <a:off x="2769570" y="530490"/>
                                  <a:ext cx="507543" cy="1271"/>
                                </a:xfrm>
                                <a:prstGeom prst="line">
                                  <a:avLst/>
                                </a:prstGeom>
                                <a:ln w="9525" cap="flat" cmpd="sng">
                                  <a:solidFill>
                                    <a:srgbClr val="000000"/>
                                  </a:solidFill>
                                  <a:prstDash val="dash"/>
                                  <a:headEnd type="none" w="med" len="med"/>
                                  <a:tailEnd type="triangle" w="med" len="med"/>
                                </a:ln>
                              </wps:spPr>
                              <wps:bodyPr/>
                            </wps:wsp>
                            <wps:wsp>
                              <wps:cNvPr id="100" name="文本框 79"/>
                              <wps:cNvSpPr txBox="true"/>
                              <wps:spPr>
                                <a:xfrm>
                                  <a:off x="3163408" y="423121"/>
                                  <a:ext cx="813085" cy="292881"/>
                                </a:xfrm>
                                <a:prstGeom prst="rect">
                                  <a:avLst/>
                                </a:prstGeom>
                                <a:noFill/>
                                <a:ln w="6350">
                                  <a:noFill/>
                                </a:ln>
                              </wps:spPr>
                              <wps:txbx>
                                <w:txbxContent>
                                  <w:p>
                                    <w:pPr>
                                      <w:jc w:val="center"/>
                                      <w:rPr>
                                        <w:rFonts w:hint="default" w:eastAsia="宋体"/>
                                        <w:lang w:val="en-US" w:eastAsia="zh-CN"/>
                                      </w:rPr>
                                    </w:pPr>
                                    <w:r>
                                      <w:t>排放</w:t>
                                    </w:r>
                                    <w:r>
                                      <w:rPr>
                                        <w:rFonts w:hint="eastAsia"/>
                                        <w:lang w:val="en-US" w:eastAsia="zh-CN"/>
                                      </w:rPr>
                                      <w:t>0.06561</w:t>
                                    </w:r>
                                  </w:p>
                                </w:txbxContent>
                              </wps:txbx>
                              <wps:bodyPr lIns="0" tIns="0" rIns="0" bIns="0" upright="true"/>
                            </wps:wsp>
                            <wps:wsp>
                              <wps:cNvPr id="101" name="文本框 80"/>
                              <wps:cNvSpPr txBox="true"/>
                              <wps:spPr>
                                <a:xfrm>
                                  <a:off x="2237105" y="779145"/>
                                  <a:ext cx="431800" cy="173355"/>
                                </a:xfrm>
                                <a:prstGeom prst="rect">
                                  <a:avLst/>
                                </a:prstGeom>
                                <a:noFill/>
                                <a:ln w="6350">
                                  <a:noFill/>
                                </a:ln>
                              </wps:spPr>
                              <wps:txbx>
                                <w:txbxContent>
                                  <w:p>
                                    <w:pPr>
                                      <w:jc w:val="center"/>
                                      <w:rPr>
                                        <w:rFonts w:hint="default" w:eastAsiaTheme="minorEastAsia"/>
                                        <w:lang w:val="en-US" w:eastAsia="zh-CN"/>
                                      </w:rPr>
                                    </w:pPr>
                                    <w:r>
                                      <w:rPr>
                                        <w:rFonts w:hint="eastAsia" w:eastAsiaTheme="minorEastAsia"/>
                                        <w:lang w:val="en-US" w:eastAsia="zh-CN"/>
                                      </w:rPr>
                                      <w:t>0.6561</w:t>
                                    </w:r>
                                  </w:p>
                                </w:txbxContent>
                              </wps:txbx>
                              <wps:bodyPr lIns="0" tIns="0" rIns="0" bIns="0" upright="true"/>
                            </wps:wsp>
                            <wps:wsp>
                              <wps:cNvPr id="103" name="文本框 82"/>
                              <wps:cNvSpPr txBox="true"/>
                              <wps:spPr>
                                <a:xfrm>
                                  <a:off x="1619817" y="1018413"/>
                                  <a:ext cx="1095759" cy="23951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固化室</w:t>
                                    </w:r>
                                  </w:p>
                                </w:txbxContent>
                              </wps:txbx>
                              <wps:bodyPr lIns="0" tIns="0" rIns="0" bIns="0" upright="true"/>
                            </wps:wsp>
                            <wps:wsp>
                              <wps:cNvPr id="104" name="直接连接符 83"/>
                              <wps:cNvCnPr/>
                              <wps:spPr>
                                <a:xfrm flipV="true">
                                  <a:off x="2748608" y="1114981"/>
                                  <a:ext cx="477052" cy="5718"/>
                                </a:xfrm>
                                <a:prstGeom prst="line">
                                  <a:avLst/>
                                </a:prstGeom>
                                <a:ln w="9525" cap="flat" cmpd="sng">
                                  <a:solidFill>
                                    <a:srgbClr val="000000"/>
                                  </a:solidFill>
                                  <a:prstDash val="dash"/>
                                  <a:headEnd type="none" w="med" len="med"/>
                                  <a:tailEnd type="triangle" w="med" len="med"/>
                                </a:ln>
                              </wps:spPr>
                              <wps:bodyPr/>
                            </wps:wsp>
                            <wps:wsp>
                              <wps:cNvPr id="29" name="文本框 82"/>
                              <wps:cNvSpPr txBox="true"/>
                              <wps:spPr>
                                <a:xfrm>
                                  <a:off x="1651635" y="1534795"/>
                                  <a:ext cx="1095375" cy="23939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烘箱</w:t>
                                    </w:r>
                                  </w:p>
                                </w:txbxContent>
                              </wps:txbx>
                              <wps:bodyPr lIns="0" tIns="0" rIns="0" bIns="0" upright="true"/>
                            </wps:wsp>
                            <wps:wsp>
                              <wps:cNvPr id="31" name="肘形连接符 31"/>
                              <wps:cNvCnPr>
                                <a:stCxn id="95" idx="3"/>
                                <a:endCxn id="29" idx="1"/>
                              </wps:cNvCnPr>
                              <wps:spPr>
                                <a:xfrm>
                                  <a:off x="1129030" y="1383665"/>
                                  <a:ext cx="522605" cy="271145"/>
                                </a:xfrm>
                                <a:prstGeom prst="bentConnector3">
                                  <a:avLst>
                                    <a:gd name="adj1" fmla="val 5006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箭头连接符 74"/>
                              <wps:cNvCnPr/>
                              <wps:spPr>
                                <a:xfrm flipH="true">
                                  <a:off x="2179955" y="1765935"/>
                                  <a:ext cx="1270" cy="307975"/>
                                </a:xfrm>
                                <a:prstGeom prst="straightConnector1">
                                  <a:avLst/>
                                </a:prstGeom>
                                <a:ln w="6350" cap="flat" cmpd="sng">
                                  <a:solidFill>
                                    <a:srgbClr val="000000"/>
                                  </a:solidFill>
                                  <a:prstDash val="dash"/>
                                  <a:headEnd type="none" w="med" len="med"/>
                                  <a:tailEnd type="triangle" w="med" len="med"/>
                                </a:ln>
                              </wps:spPr>
                              <wps:bodyPr/>
                            </wps:wsp>
                            <wps:wsp>
                              <wps:cNvPr id="34" name="文本框 73"/>
                              <wps:cNvSpPr txBox="true"/>
                              <wps:spPr>
                                <a:xfrm>
                                  <a:off x="1562100" y="2068195"/>
                                  <a:ext cx="1223645" cy="5118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lang w:val="en-US" w:eastAsia="zh-CN"/>
                                      </w:rPr>
                                      <w:t>二级活性炭</w:t>
                                    </w:r>
                                    <w:r>
                                      <w:t>去除效率</w:t>
                                    </w:r>
                                    <w:r>
                                      <w:rPr>
                                        <w:rFonts w:hint="eastAsia"/>
                                        <w:lang w:val="en-US" w:eastAsia="zh-CN"/>
                                      </w:rPr>
                                      <w:t>80</w:t>
                                    </w:r>
                                    <w:r>
                                      <w:t>%</w:t>
                                    </w:r>
                                  </w:p>
                                </w:txbxContent>
                              </wps:txbx>
                              <wps:bodyPr lIns="0" tIns="0" rIns="0" bIns="0" upright="true"/>
                            </wps:wsp>
                            <wps:wsp>
                              <wps:cNvPr id="35" name="直接连接符 83"/>
                              <wps:cNvCnPr/>
                              <wps:spPr>
                                <a:xfrm flipV="true">
                                  <a:off x="2748915" y="1651635"/>
                                  <a:ext cx="476885" cy="5715"/>
                                </a:xfrm>
                                <a:prstGeom prst="line">
                                  <a:avLst/>
                                </a:prstGeom>
                                <a:ln w="9525" cap="flat" cmpd="sng">
                                  <a:solidFill>
                                    <a:srgbClr val="000000"/>
                                  </a:solidFill>
                                  <a:prstDash val="dash"/>
                                  <a:headEnd type="none" w="med" len="med"/>
                                  <a:tailEnd type="triangle" w="med" len="med"/>
                                </a:ln>
                              </wps:spPr>
                              <wps:bodyPr/>
                            </wps:wsp>
                            <wps:wsp>
                              <wps:cNvPr id="36" name="直接连接符 78"/>
                              <wps:cNvCnPr/>
                              <wps:spPr>
                                <a:xfrm>
                                  <a:off x="2799715" y="2365375"/>
                                  <a:ext cx="507365" cy="1270"/>
                                </a:xfrm>
                                <a:prstGeom prst="line">
                                  <a:avLst/>
                                </a:prstGeom>
                                <a:ln w="9525" cap="flat" cmpd="sng">
                                  <a:solidFill>
                                    <a:srgbClr val="000000"/>
                                  </a:solidFill>
                                  <a:prstDash val="dash"/>
                                  <a:headEnd type="none" w="med" len="med"/>
                                  <a:tailEnd type="triangle" w="med" len="med"/>
                                </a:ln>
                              </wps:spPr>
                              <wps:bodyPr/>
                            </wps:wsp>
                            <wps:wsp>
                              <wps:cNvPr id="40" name="文本框 75"/>
                              <wps:cNvSpPr txBox="true"/>
                              <wps:spPr>
                                <a:xfrm>
                                  <a:off x="3215640" y="1534795"/>
                                  <a:ext cx="1160780" cy="241935"/>
                                </a:xfrm>
                                <a:prstGeom prst="rect">
                                  <a:avLst/>
                                </a:prstGeom>
                                <a:noFill/>
                                <a:ln w="6350">
                                  <a:noFill/>
                                </a:ln>
                              </wps:spPr>
                              <wps:txbx>
                                <w:txbxContent>
                                  <w:p>
                                    <w:pPr>
                                      <w:rPr>
                                        <w:rFonts w:hint="default" w:eastAsia="宋体"/>
                                        <w:lang w:val="en-US" w:eastAsia="zh-CN"/>
                                      </w:rPr>
                                    </w:pPr>
                                    <w:r>
                                      <w:t>无组织排放</w:t>
                                    </w:r>
                                    <w:r>
                                      <w:rPr>
                                        <w:rFonts w:hint="eastAsia"/>
                                        <w:lang w:val="en-US" w:eastAsia="zh-CN"/>
                                      </w:rPr>
                                      <w:t>0.0081</w:t>
                                    </w:r>
                                  </w:p>
                                </w:txbxContent>
                              </wps:txbx>
                              <wps:bodyPr lIns="0" tIns="0" rIns="0" bIns="0" upright="true"/>
                            </wps:wsp>
                            <wps:wsp>
                              <wps:cNvPr id="41" name="文本框 79"/>
                              <wps:cNvSpPr txBox="true"/>
                              <wps:spPr>
                                <a:xfrm>
                                  <a:off x="3298825" y="2193290"/>
                                  <a:ext cx="812800" cy="293370"/>
                                </a:xfrm>
                                <a:prstGeom prst="rect">
                                  <a:avLst/>
                                </a:prstGeom>
                                <a:noFill/>
                                <a:ln w="6350">
                                  <a:noFill/>
                                </a:ln>
                              </wps:spPr>
                              <wps:txbx>
                                <w:txbxContent>
                                  <w:p>
                                    <w:pPr>
                                      <w:jc w:val="center"/>
                                      <w:rPr>
                                        <w:rFonts w:hint="default" w:eastAsia="宋体"/>
                                        <w:lang w:val="en-US" w:eastAsia="zh-CN"/>
                                      </w:rPr>
                                    </w:pPr>
                                    <w:r>
                                      <w:t>排放</w:t>
                                    </w:r>
                                    <w:r>
                                      <w:rPr>
                                        <w:rFonts w:hint="eastAsia"/>
                                        <w:lang w:val="en-US" w:eastAsia="zh-CN"/>
                                      </w:rPr>
                                      <w:t>0.00729</w:t>
                                    </w:r>
                                  </w:p>
                                </w:txbxContent>
                              </wps:txbx>
                              <wps:bodyPr lIns="0" tIns="0" rIns="0" bIns="0" upright="true"/>
                            </wps:wsp>
                            <wps:wsp>
                              <wps:cNvPr id="44" name="文本框 80"/>
                              <wps:cNvSpPr txBox="true"/>
                              <wps:spPr>
                                <a:xfrm>
                                  <a:off x="1132205" y="941070"/>
                                  <a:ext cx="431800" cy="173355"/>
                                </a:xfrm>
                                <a:prstGeom prst="rect">
                                  <a:avLst/>
                                </a:prstGeom>
                                <a:noFill/>
                                <a:ln w="6350">
                                  <a:noFill/>
                                </a:ln>
                              </wps:spPr>
                              <wps:txbx>
                                <w:txbxContent>
                                  <w:p>
                                    <w:pPr>
                                      <w:jc w:val="center"/>
                                      <w:rPr>
                                        <w:rFonts w:eastAsiaTheme="minorEastAsia"/>
                                      </w:rPr>
                                    </w:pPr>
                                    <w:r>
                                      <w:rPr>
                                        <w:rFonts w:hint="eastAsia" w:eastAsiaTheme="minorEastAsia"/>
                                      </w:rPr>
                                      <w:t>0.729</w:t>
                                    </w:r>
                                  </w:p>
                                </w:txbxContent>
                              </wps:txbx>
                              <wps:bodyPr lIns="0" tIns="0" rIns="0" bIns="0" upright="true"/>
                            </wps:wsp>
                            <wps:wsp>
                              <wps:cNvPr id="45" name="文本框 80"/>
                              <wps:cNvSpPr txBox="true"/>
                              <wps:spPr>
                                <a:xfrm>
                                  <a:off x="1151255" y="1674495"/>
                                  <a:ext cx="431800" cy="173355"/>
                                </a:xfrm>
                                <a:prstGeom prst="rect">
                                  <a:avLst/>
                                </a:prstGeom>
                                <a:noFill/>
                                <a:ln w="6350">
                                  <a:noFill/>
                                </a:ln>
                              </wps:spPr>
                              <wps:txbx>
                                <w:txbxContent>
                                  <w:p>
                                    <w:pPr>
                                      <w:jc w:val="center"/>
                                      <w:rPr>
                                        <w:rFonts w:hint="default" w:eastAsiaTheme="minorEastAsia"/>
                                        <w:lang w:val="en-US" w:eastAsia="zh-CN"/>
                                      </w:rPr>
                                    </w:pPr>
                                    <w:r>
                                      <w:rPr>
                                        <w:rFonts w:hint="eastAsia" w:eastAsiaTheme="minorEastAsia"/>
                                        <w:lang w:val="en-US" w:eastAsia="zh-CN"/>
                                      </w:rPr>
                                      <w:t>0.081</w:t>
                                    </w:r>
                                  </w:p>
                                </w:txbxContent>
                              </wps:txbx>
                              <wps:bodyPr lIns="0" tIns="0" rIns="0" bIns="0" upright="true"/>
                            </wps:wsp>
                            <wps:wsp>
                              <wps:cNvPr id="46" name="文本框 80"/>
                              <wps:cNvSpPr txBox="true"/>
                              <wps:spPr>
                                <a:xfrm>
                                  <a:off x="2237105" y="1817370"/>
                                  <a:ext cx="631190" cy="230505"/>
                                </a:xfrm>
                                <a:prstGeom prst="rect">
                                  <a:avLst/>
                                </a:prstGeom>
                                <a:noFill/>
                                <a:ln w="6350">
                                  <a:noFill/>
                                </a:ln>
                              </wps:spPr>
                              <wps:txbx>
                                <w:txbxContent>
                                  <w:p>
                                    <w:pPr>
                                      <w:jc w:val="center"/>
                                      <w:rPr>
                                        <w:rFonts w:hint="default" w:eastAsiaTheme="minorEastAsia"/>
                                        <w:lang w:val="en-US" w:eastAsia="zh-CN"/>
                                      </w:rPr>
                                    </w:pPr>
                                    <w:r>
                                      <w:rPr>
                                        <w:rFonts w:hint="eastAsia" w:eastAsiaTheme="minorEastAsia"/>
                                        <w:lang w:val="en-US" w:eastAsia="zh-CN"/>
                                      </w:rPr>
                                      <w:t>0.0729</w:t>
                                    </w:r>
                                  </w:p>
                                </w:txbxContent>
                              </wps:txbx>
                              <wps:bodyPr lIns="0" tIns="0" rIns="0" bIns="0" upright="true"/>
                            </wps:wsp>
                          </wpc:wpc>
                        </a:graphicData>
                      </a:graphic>
                    </wp:inline>
                  </w:drawing>
                </mc:Choice>
                <mc:Fallback>
                  <w:pict>
                    <v:group id="_x0000_s1026" o:spid="_x0000_s1026" o:spt="203" style="height:216.6pt;width:428.3pt;" coordsize="5439410,2750820" editas="canvas" o:gfxdata="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">
                      <o:lock v:ext="edit" aspectratio="f"/>
                      <v:shape id="_x0000_s1026" o:spid="_x0000_s1026" style="position:absolute;left:0;top:0;height:2750820;width:5439410;" filled="f" stroked="f" coordsize="21600,21600" o:gfxdata="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">
                        <v:fill on="f" focussize="0,0"/>
                        <v:stroke on="f"/>
                        <v:imagedata o:title=""/>
                        <o:lock v:ext="edit" aspectratio="t"/>
                      </v:shape>
                      <v:shape id="文本框 72" o:spid="_x0000_s1026" o:spt="202" type="#_x0000_t202" style="position:absolute;left:158750;top:1261745;height:243840;width:970280;"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csHUC2AAA&#10;AAUBAAAPAAAAAAAAAAEAIAAAADgAAABkcnMvZG93bnJldi54bWxQSwECFAAUAAAACACHTuJAgyzV&#10;yQgCAAD1AwAADgAAAAAAAAABACAAAAA9AQAAZHJzL2Uyb0RvYy54bWxQSwUGAAAAAAYABgBZAQAA&#10;twUAAAAA&#10;">
                        <v:fill on="f" focussize="0,0"/>
                        <v:stroke weight="0.5pt" color="#000000" joinstyle="miter"/>
                        <v:imagedata o:title=""/>
                        <o:lock v:ext="edit" aspectratio="f"/>
                        <v:textbox inset="0mm,0mm,0mm,0mm">
                          <w:txbxContent>
                            <w:p>
                              <w:pPr>
                                <w:jc w:val="center"/>
                                <w:rPr>
                                  <w:rFonts w:hint="default" w:eastAsia="宋体"/>
                                  <w:lang w:val="en-US" w:eastAsia="zh-CN"/>
                                </w:rPr>
                              </w:pPr>
                              <w:r>
                                <w:rPr>
                                  <w:rFonts w:hint="eastAsia"/>
                                </w:rPr>
                                <w:t>喷塑后工件</w:t>
                              </w:r>
                            </w:p>
                          </w:txbxContent>
                        </v:textbox>
                      </v:shape>
                      <v:shape id="文本框 73" o:spid="_x0000_s1026" o:spt="202" type="#_x0000_t202" style="position:absolute;left:1541780;top:181610;height:511810;width:1223645;"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ywdQLYAAAA&#10;BQEAAA8AAAAAAAAAAQAgAAAAOAAAAGRycy9kb3ducmV2LnhtbFBLAQIUABQAAAAIAIdO4kA/syfp&#10;BwIAAPYDAAAOAAAAAAAAAAEAIAAAAD0BAABkcnMvZTJvRG9jLnhtbFBLBQYAAAAABgAGAFkBAAC2&#10;BQAAAAA=&#10;">
                        <v:fill on="f" focussize="0,0"/>
                        <v:stroke weight="0.5pt" color="#000000" joinstyle="miter"/>
                        <v:imagedata o:title=""/>
                        <o:lock v:ext="edit" aspectratio="f"/>
                        <v:textbox inset="0mm,0mm,0mm,0mm">
                          <w:txbxContent>
                            <w:p>
                              <w:pPr>
                                <w:jc w:val="center"/>
                              </w:pPr>
                              <w:r>
                                <w:rPr>
                                  <w:rFonts w:hint="eastAsia"/>
                                </w:rPr>
                                <w:t>催化燃烧装置</w:t>
                              </w:r>
                              <w:r>
                                <w:t>去除效率</w:t>
                              </w:r>
                              <w:r>
                                <w:rPr>
                                  <w:rFonts w:hint="eastAsia"/>
                                </w:rPr>
                                <w:t>90</w:t>
                              </w:r>
                              <w:r>
                                <w:t>%</w:t>
                              </w:r>
                            </w:p>
                          </w:txbxContent>
                        </v:textbox>
                      </v:shape>
                      <v:shape id="直接箭头连接符 74" o:spid="_x0000_s1026" o:spt="32" type="#_x0000_t32" style="position:absolute;left:2201046;top:705202;height:327824;width:635;rotation:11796480f;" filled="f" stroked="t" coordsize="21600,21600" o:gfxdata="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VtGGNcAAAAFAQAADwAA&#10;AAAAAAABACAAAAA4AAAAZHJzL2Rvd25yZXYueG1sUEsBAhQAFAAAAAgAh07iQH3OCVIBAgAAvgMA&#10;AA4AAAAAAAAAAQAgAAAAPAEAAGRycy9lMm9Eb2MueG1sUEsFBgAAAAAGAAYAWQEAAK8FAAAAAA==&#10;">
                        <v:fill on="f" focussize="0,0"/>
                        <v:stroke weight="0.5pt" color="#000000" joinstyle="round" dashstyle="dash" endarrow="block"/>
                        <v:imagedata o:title=""/>
                        <o:lock v:ext="edit" aspectratio="f"/>
                      </v:shape>
                      <v:shape id="文本框 75" o:spid="_x0000_s1026" o:spt="202" type="#_x0000_t202" style="position:absolute;left:3205333;top:1028578;height:242056;width:1161187;"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P15Fx1gAAAAUBAAAPAAAAAAAAAAEAIAAAADgAAABkcnMv&#10;ZG93bnJldi54bWxQSwECFAAUAAAACACHTuJAmXzjbrYBAABBAwAADgAAAAAAAAABACAAAAA7AQAA&#10;ZHJzL2Uyb0RvYy54bWxQSwUGAAAAAAYABgBZAQAAYwUAAAAA&#10;">
                        <v:fill on="f" focussize="0,0"/>
                        <v:stroke on="f" weight="0.5pt"/>
                        <v:imagedata o:title=""/>
                        <o:lock v:ext="edit" aspectratio="f"/>
                        <v:textbox inset="0mm,0mm,0mm,0mm">
                          <w:txbxContent>
                            <w:p>
                              <w:pPr>
                                <w:rPr>
                                  <w:rFonts w:hint="default" w:eastAsia="宋体"/>
                                  <w:lang w:val="en-US" w:eastAsia="zh-CN"/>
                                </w:rPr>
                              </w:pPr>
                              <w:r>
                                <w:t>无组织排放</w:t>
                              </w:r>
                              <w:r>
                                <w:rPr>
                                  <w:rFonts w:hint="eastAsia"/>
                                  <w:lang w:val="en-US" w:eastAsia="zh-CN"/>
                                </w:rPr>
                                <w:t>0.0729</w:t>
                              </w:r>
                            </w:p>
                          </w:txbxContent>
                        </v:textbox>
                      </v:shape>
                      <v:line id="直接连接符 78" o:spid="_x0000_s1026" o:spt="20" style="position:absolute;left:2769570;top:530490;height:1271;width:507543;" filled="f" stroked="t" coordsize="21600,21600" o:gfxdata="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gQ3/DYAAAABQEAAA8AAAAAAAAAAQAgAAAAOAAAAGRycy9kb3du&#10;cmV2LnhtbFBLAQIUABQAAAAIAIdO4kB9L8Rk6QEAAJwDAAAOAAAAAAAAAAEAIAAAAD0BAABkcnMv&#10;ZTJvRG9jLnhtbFBLBQYAAAAABgAGAFkBAACYBQAAAAA=&#10;">
                        <v:fill on="f" focussize="0,0"/>
                        <v:stroke color="#000000" joinstyle="round" dashstyle="dash" endarrow="block"/>
                        <v:imagedata o:title=""/>
                        <o:lock v:ext="edit" aspectratio="f"/>
                      </v:line>
                      <v:shape id="文本框 79" o:spid="_x0000_s1026" o:spt="202" type="#_x0000_t202" style="position:absolute;left:3163408;top:423121;height:292881;width:813085;"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D9eRcdYAAAAFAQAADwAAAAAAAAABACAAAAA4AAAAZHJz&#10;L2Rvd25yZXYueG1sUEsBAhQAFAAAAAgAh07iQCIuLMK3AQAAQAMAAA4AAAAAAAAAAQAgAAAAOwEA&#10;AGRycy9lMm9Eb2MueG1sUEsFBgAAAAAGAAYAWQEAAGQFAAAAAA==&#10;">
                        <v:fill on="f" focussize="0,0"/>
                        <v:stroke on="f" weight="0.5pt"/>
                        <v:imagedata o:title=""/>
                        <o:lock v:ext="edit" aspectratio="f"/>
                        <v:textbox inset="0mm,0mm,0mm,0mm">
                          <w:txbxContent>
                            <w:p>
                              <w:pPr>
                                <w:jc w:val="center"/>
                                <w:rPr>
                                  <w:rFonts w:hint="default" w:eastAsia="宋体"/>
                                  <w:lang w:val="en-US" w:eastAsia="zh-CN"/>
                                </w:rPr>
                              </w:pPr>
                              <w:r>
                                <w:t>排放</w:t>
                              </w:r>
                              <w:r>
                                <w:rPr>
                                  <w:rFonts w:hint="eastAsia"/>
                                  <w:lang w:val="en-US" w:eastAsia="zh-CN"/>
                                </w:rPr>
                                <w:t>0.06561</w:t>
                              </w:r>
                            </w:p>
                          </w:txbxContent>
                        </v:textbox>
                      </v:shape>
                      <v:shape id="文本框 80" o:spid="_x0000_s1026" o:spt="202" type="#_x0000_t202" style="position:absolute;left:2237105;top:779145;height:173355;width:431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D9eRcdYAAAAFAQAADwAAAAAAAAABACAAAAA4AAAAZHJz&#10;L2Rvd25yZXYueG1sUEsBAhQAFAAAAAgAh07iQI3+Y6y3AQAAQAMAAA4AAAAAAAAAAQAgAAAAOwEA&#10;AGRycy9lMm9Eb2MueG1sUEsFBgAAAAAGAAYAWQEAAGQFAAAAAA==&#10;">
                        <v:fill on="f" focussize="0,0"/>
                        <v:stroke on="f" weight="0.5pt"/>
                        <v:imagedata o:title=""/>
                        <o:lock v:ext="edit" aspectratio="f"/>
                        <v:textbox inset="0mm,0mm,0mm,0mm">
                          <w:txbxContent>
                            <w:p>
                              <w:pPr>
                                <w:jc w:val="center"/>
                                <w:rPr>
                                  <w:rFonts w:hint="default" w:eastAsiaTheme="minorEastAsia"/>
                                  <w:lang w:val="en-US" w:eastAsia="zh-CN"/>
                                </w:rPr>
                              </w:pPr>
                              <w:r>
                                <w:rPr>
                                  <w:rFonts w:hint="eastAsia" w:eastAsiaTheme="minorEastAsia"/>
                                  <w:lang w:val="en-US" w:eastAsia="zh-CN"/>
                                </w:rPr>
                                <w:t>0.6561</w:t>
                              </w:r>
                            </w:p>
                          </w:txbxContent>
                        </v:textbox>
                      </v:shape>
                      <v:shape id="文本框 82" o:spid="_x0000_s1026" o:spt="202" type="#_x0000_t202" style="position:absolute;left:1619817;top:1018413;height:239515;width:1095759;"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3LB1AtgA&#10;AAAFAQAADwAAAAAAAAABACAAAAA4AAAAZHJzL2Rvd25yZXYueG1sUEsBAhQAFAAAAAgAh07iQE7e&#10;KeUJAgAA+AMAAA4AAAAAAAAAAQAgAAAAPQEAAGRycy9lMm9Eb2MueG1sUEsFBgAAAAAGAAYAWQEA&#10;ALgFAAAAAA==&#10;">
                        <v:fill on="f" focussize="0,0"/>
                        <v:stroke weight="0.5pt" color="#000000" joinstyle="miter"/>
                        <v:imagedata o:title=""/>
                        <o:lock v:ext="edit" aspectratio="f"/>
                        <v:textbox inset="0mm,0mm,0mm,0mm">
                          <w:txbxContent>
                            <w:p>
                              <w:pPr>
                                <w:jc w:val="center"/>
                              </w:pPr>
                              <w:r>
                                <w:rPr>
                                  <w:rFonts w:hint="eastAsia"/>
                                </w:rPr>
                                <w:t>固化室</w:t>
                              </w:r>
                            </w:p>
                          </w:txbxContent>
                        </v:textbox>
                      </v:shape>
                      <v:line id="直接连接符 83" o:spid="_x0000_s1026" o:spt="20" style="position:absolute;left:2748608;top:1114981;flip:y;height:5718;width:477052;" filled="f" stroked="t" coordsize="21600,21600" o:gfxdata="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mvdkC1AAAAAUBAAAPAAAAAAAAAAEAIAAAADgAAABk&#10;cnMvZG93bnJldi54bWxQSwECFAAUAAAACACHTuJA361rIvQBAACrAwAADgAAAAAAAAABACAAAAA5&#10;AQAAZHJzL2Uyb0RvYy54bWxQSwUGAAAAAAYABgBZAQAAnwUAAAAA&#10;">
                        <v:fill on="f" focussize="0,0"/>
                        <v:stroke color="#000000" joinstyle="round" dashstyle="dash" endarrow="block"/>
                        <v:imagedata o:title=""/>
                        <o:lock v:ext="edit" aspectratio="f"/>
                      </v:line>
                      <v:shape id="文本框 82" o:spid="_x0000_s1026" o:spt="202" type="#_x0000_t202" style="position:absolute;left:1651635;top:1534795;height:239395;width:1095375;"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3LB1AtgA&#10;AAAFAQAADwAAAAAAAAABACAAAAA4AAAAZHJzL2Rvd25yZXYueG1sUEsBAhQAFAAAAAgAh07iQAvr&#10;6REJAgAA9wMAAA4AAAAAAAAAAQAgAAAAPQEAAGRycy9lMm9Eb2MueG1sUEsFBgAAAAAGAAYAWQEA&#10;ALgFAAAAAA==&#10;">
                        <v:fill on="f" focussize="0,0"/>
                        <v:stroke weight="0.5pt" color="#000000" joinstyle="miter"/>
                        <v:imagedata o:title=""/>
                        <o:lock v:ext="edit" aspectratio="f"/>
                        <v:textbox inset="0mm,0mm,0mm,0mm">
                          <w:txbxContent>
                            <w:p>
                              <w:pPr>
                                <w:jc w:val="center"/>
                              </w:pPr>
                              <w:r>
                                <w:rPr>
                                  <w:rFonts w:hint="eastAsia"/>
                                </w:rPr>
                                <w:t>烘箱</w:t>
                              </w:r>
                            </w:p>
                          </w:txbxContent>
                        </v:textbox>
                      </v:shape>
                      <v:shape id="_x0000_s1026" o:spid="_x0000_s1026" o:spt="34" type="#_x0000_t34" style="position:absolute;left:1129030;top:1383665;height:271145;width:522605;" filled="f" stroked="t" coordsize="21600,21600" o:gfxdata="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gyACg1QAAAAUBAAAPAAAAAAAAAAEAIAAAADgAAABkcnMvZG93&#10;bnJldi54bWxQSwECFAAUAAAACACHTuJAPwIsgiYCAAAKBAAADgAAAAAAAAABACAAAAA6AQAAZHJz&#10;L2Uyb0RvYy54bWxQSwUGAAAAAAYABgBZAQAA0gUAAAAA&#10;" adj="10813">
                        <v:fill on="f" focussize="0,0"/>
                        <v:stroke weight="0.5pt" color="#000000 [3213]" miterlimit="8" joinstyle="miter" endarrow="block"/>
                        <v:imagedata o:title=""/>
                        <o:lock v:ext="edit" aspectratio="f"/>
                      </v:shape>
                      <v:shape id="直接箭头连接符 74" o:spid="_x0000_s1026" o:spt="32" type="#_x0000_t32" style="position:absolute;left:2179955;top:1765935;flip:x;height:307975;width:1270;" filled="f" stroked="t" coordsize="21600,21600" o:gfxdata="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1WtttcAAAAF&#10;AQAADwAAAAAAAAABACAAAAA4AAAAZHJzL2Rvd25yZXYueG1sUEsBAhQAFAAAAAgAh07iQMzgk10H&#10;AgAAvgMAAA4AAAAAAAAAAQAgAAAAPAEAAGRycy9lMm9Eb2MueG1sUEsFBgAAAAAGAAYAWQEAALUF&#10;AAAAAA==&#10;">
                        <v:fill on="f" focussize="0,0"/>
                        <v:stroke weight="0.5pt" color="#000000" joinstyle="round" dashstyle="dash" endarrow="block"/>
                        <v:imagedata o:title=""/>
                        <o:lock v:ext="edit" aspectratio="f"/>
                      </v:shape>
                      <v:shape id="文本框 73" o:spid="_x0000_s1026" o:spt="202" type="#_x0000_t202" style="position:absolute;left:1562100;top:2068195;height:511810;width:1223645;" filled="f" stroked="t" coordsize="21600,21600" o:gfxdata="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NywdQLY&#10;AAAABQEAAA8AAAAAAAAAAQAgAAAAOAAAAGRycy9kb3ducmV2LnhtbFBLAQIUABQAAAAIAIdO4kDv&#10;xXdOCgIAAPcDAAAOAAAAAAAAAAEAIAAAAD0BAABkcnMvZTJvRG9jLnhtbFBLBQYAAAAABgAGAFkB&#10;AAC5BQAAAAA=&#10;">
                        <v:fill on="f" focussize="0,0"/>
                        <v:stroke weight="0.5pt" color="#000000" joinstyle="miter"/>
                        <v:imagedata o:title=""/>
                        <o:lock v:ext="edit" aspectratio="f"/>
                        <v:textbox inset="0mm,0mm,0mm,0mm">
                          <w:txbxContent>
                            <w:p>
                              <w:pPr>
                                <w:jc w:val="center"/>
                              </w:pPr>
                              <w:r>
                                <w:rPr>
                                  <w:rFonts w:hint="eastAsia"/>
                                  <w:lang w:val="en-US" w:eastAsia="zh-CN"/>
                                </w:rPr>
                                <w:t>二级活性炭</w:t>
                              </w:r>
                              <w:r>
                                <w:t>去除效率</w:t>
                              </w:r>
                              <w:r>
                                <w:rPr>
                                  <w:rFonts w:hint="eastAsia"/>
                                  <w:lang w:val="en-US" w:eastAsia="zh-CN"/>
                                </w:rPr>
                                <w:t>80</w:t>
                              </w:r>
                              <w:r>
                                <w:t>%</w:t>
                              </w:r>
                            </w:p>
                          </w:txbxContent>
                        </v:textbox>
                      </v:shape>
                      <v:line id="直接连接符 83" o:spid="_x0000_s1026" o:spt="20" style="position:absolute;left:2748915;top:1651635;flip:y;height:5715;width:476885;" filled="f" stroked="t" coordsize="21600,21600" o:gfxdata="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a92QLUAAAABQEAAA8AAAAAAAAAAQAgAAAAOAAAAGRycy9k&#10;b3ducmV2LnhtbFBLAQIUABQAAAAIAIdO4kDruCHP8AEAAKoDAAAOAAAAAAAAAAEAIAAAADkBAABk&#10;cnMvZTJvRG9jLnhtbFBLBQYAAAAABgAGAFkBAACbBQAAAAA=&#10;">
                        <v:fill on="f" focussize="0,0"/>
                        <v:stroke color="#000000" joinstyle="round" dashstyle="dash" endarrow="block"/>
                        <v:imagedata o:title=""/>
                        <o:lock v:ext="edit" aspectratio="f"/>
                      </v:line>
                      <v:line id="直接连接符 78" o:spid="_x0000_s1026" o:spt="20" style="position:absolute;left:2799715;top:2365375;height:1270;width:507365;" filled="f" stroked="t" coordsize="21600,21600" o:gfxdata="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4EN/w2AAAAAUBAAAPAAAAAAAAAAEAIAAAADgAAABkcnMvZG93&#10;bnJldi54bWxQSwECFAAUAAAACACHTuJAeiYwr+oBAACdAwAADgAAAAAAAAABACAAAAA9AQAAZHJz&#10;L2Uyb0RvYy54bWxQSwUGAAAAAAYABgBZAQAAmQUAAAAA&#10;">
                        <v:fill on="f" focussize="0,0"/>
                        <v:stroke color="#000000" joinstyle="round" dashstyle="dash" endarrow="block"/>
                        <v:imagedata o:title=""/>
                        <o:lock v:ext="edit" aspectratio="f"/>
                      </v:line>
                      <v:shape id="文本框 75" o:spid="_x0000_s1026" o:spt="202" type="#_x0000_t202" style="position:absolute;left:3215640;top:1534795;height:241935;width:116078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D9eRcdYAAAAFAQAADwAAAAAAAAABACAAAAA4AAAAZHJz&#10;L2Rvd25yZXYueG1sUEsBAhQAFAAAAAgAh07iQOdXHlu3AQAAQQMAAA4AAAAAAAAAAQAgAAAAOwEA&#10;AGRycy9lMm9Eb2MueG1sUEsFBgAAAAAGAAYAWQEAAGQFAAAAAA==&#10;">
                        <v:fill on="f" focussize="0,0"/>
                        <v:stroke on="f" weight="0.5pt"/>
                        <v:imagedata o:title=""/>
                        <o:lock v:ext="edit" aspectratio="f"/>
                        <v:textbox inset="0mm,0mm,0mm,0mm">
                          <w:txbxContent>
                            <w:p>
                              <w:pPr>
                                <w:rPr>
                                  <w:rFonts w:hint="default" w:eastAsia="宋体"/>
                                  <w:lang w:val="en-US" w:eastAsia="zh-CN"/>
                                </w:rPr>
                              </w:pPr>
                              <w:r>
                                <w:t>无组织排放</w:t>
                              </w:r>
                              <w:r>
                                <w:rPr>
                                  <w:rFonts w:hint="eastAsia"/>
                                  <w:lang w:val="en-US" w:eastAsia="zh-CN"/>
                                </w:rPr>
                                <w:t>0.0081</w:t>
                              </w:r>
                            </w:p>
                          </w:txbxContent>
                        </v:textbox>
                      </v:shape>
                      <v:shape id="文本框 79" o:spid="_x0000_s1026" o:spt="202" type="#_x0000_t202" style="position:absolute;left:3298825;top:2193290;height:293370;width:812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XkXHWAAAABQEAAA8AAAAAAAAAAQAgAAAAOAAAAGRycy9k&#10;b3ducmV2LnhtbFBLAQIUABQAAAAIAIdO4kAnXOjWtQEAAEADAAAOAAAAAAAAAAEAIAAAADsBAABk&#10;cnMvZTJvRG9jLnhtbFBLBQYAAAAABgAGAFkBAABiBQAAAAA=&#10;">
                        <v:fill on="f" focussize="0,0"/>
                        <v:stroke on="f" weight="0.5pt"/>
                        <v:imagedata o:title=""/>
                        <o:lock v:ext="edit" aspectratio="f"/>
                        <v:textbox inset="0mm,0mm,0mm,0mm">
                          <w:txbxContent>
                            <w:p>
                              <w:pPr>
                                <w:jc w:val="center"/>
                                <w:rPr>
                                  <w:rFonts w:hint="default" w:eastAsia="宋体"/>
                                  <w:lang w:val="en-US" w:eastAsia="zh-CN"/>
                                </w:rPr>
                              </w:pPr>
                              <w:r>
                                <w:t>排放</w:t>
                              </w:r>
                              <w:r>
                                <w:rPr>
                                  <w:rFonts w:hint="eastAsia"/>
                                  <w:lang w:val="en-US" w:eastAsia="zh-CN"/>
                                </w:rPr>
                                <w:t>0.00729</w:t>
                              </w:r>
                            </w:p>
                          </w:txbxContent>
                        </v:textbox>
                      </v:shape>
                      <v:shape id="文本框 80" o:spid="_x0000_s1026" o:spt="202" type="#_x0000_t202" style="position:absolute;left:1132205;top:941070;height:173355;width:431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XkXHWAAAABQEAAA8AAAAAAAAAAQAgAAAAOAAAAGRycy9k&#10;b3ducmV2LnhtbFBLAQIUABQAAAAIAIdO4kCIGb/JtQEAAD8DAAAOAAAAAAAAAAEAIAAAADsBAABk&#10;cnMvZTJvRG9jLnhtbFBLBQYAAAAABgAGAFkBAABiBQAAAAA=&#10;">
                        <v:fill on="f" focussize="0,0"/>
                        <v:stroke on="f" weight="0.5pt"/>
                        <v:imagedata o:title=""/>
                        <o:lock v:ext="edit" aspectratio="f"/>
                        <v:textbox inset="0mm,0mm,0mm,0mm">
                          <w:txbxContent>
                            <w:p>
                              <w:pPr>
                                <w:jc w:val="center"/>
                                <w:rPr>
                                  <w:rFonts w:eastAsiaTheme="minorEastAsia"/>
                                </w:rPr>
                              </w:pPr>
                              <w:r>
                                <w:rPr>
                                  <w:rFonts w:hint="eastAsia" w:eastAsiaTheme="minorEastAsia"/>
                                </w:rPr>
                                <w:t>0.729</w:t>
                              </w:r>
                            </w:p>
                          </w:txbxContent>
                        </v:textbox>
                      </v:shape>
                      <v:shape id="文本框 80" o:spid="_x0000_s1026" o:spt="202" type="#_x0000_t202" style="position:absolute;left:1151255;top:1674495;height:173355;width:43180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XkXHWAAAABQEAAA8AAAAAAAAAAQAgAAAAOAAAAGRycy9k&#10;b3ducmV2LnhtbFBLAQIUABQAAAAIAIdO4kCO16MLtQEAAEADAAAOAAAAAAAAAAEAIAAAADsBAABk&#10;cnMvZTJvRG9jLnhtbFBLBQYAAAAABgAGAFkBAABiBQAAAAA=&#10;">
                        <v:fill on="f" focussize="0,0"/>
                        <v:stroke on="f" weight="0.5pt"/>
                        <v:imagedata o:title=""/>
                        <o:lock v:ext="edit" aspectratio="f"/>
                        <v:textbox inset="0mm,0mm,0mm,0mm">
                          <w:txbxContent>
                            <w:p>
                              <w:pPr>
                                <w:jc w:val="center"/>
                                <w:rPr>
                                  <w:rFonts w:hint="default" w:eastAsiaTheme="minorEastAsia"/>
                                  <w:lang w:val="en-US" w:eastAsia="zh-CN"/>
                                </w:rPr>
                              </w:pPr>
                              <w:r>
                                <w:rPr>
                                  <w:rFonts w:hint="eastAsia" w:eastAsiaTheme="minorEastAsia"/>
                                  <w:lang w:val="en-US" w:eastAsia="zh-CN"/>
                                </w:rPr>
                                <w:t>0.081</w:t>
                              </w:r>
                            </w:p>
                          </w:txbxContent>
                        </v:textbox>
                      </v:shape>
                      <v:shape id="文本框 80" o:spid="_x0000_s1026" o:spt="202" type="#_x0000_t202" style="position:absolute;left:2237105;top:1817370;height:230505;width:631190;" filled="f" stroked="f" coordsize="21600,21600" o:gfxdata="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P15Fx1gAAAAUBAAAPAAAAAAAAAAEAIAAAADgAAABkcnMvZG93&#10;bnJldi54bWxQSwECFAAUAAAACACHTuJAzk9bC7MBAABAAwAADgAAAAAAAAABACAAAAA7AQAAZHJz&#10;L2Uyb0RvYy54bWxQSwUGAAAAAAYABgBZAQAAYAUAAAAA&#10;">
                        <v:fill on="f" focussize="0,0"/>
                        <v:stroke on="f" weight="0.5pt"/>
                        <v:imagedata o:title=""/>
                        <o:lock v:ext="edit" aspectratio="f"/>
                        <v:textbox inset="0mm,0mm,0mm,0mm">
                          <w:txbxContent>
                            <w:p>
                              <w:pPr>
                                <w:jc w:val="center"/>
                                <w:rPr>
                                  <w:rFonts w:hint="default" w:eastAsiaTheme="minorEastAsia"/>
                                  <w:lang w:val="en-US" w:eastAsia="zh-CN"/>
                                </w:rPr>
                              </w:pPr>
                              <w:r>
                                <w:rPr>
                                  <w:rFonts w:hint="eastAsia" w:eastAsiaTheme="minorEastAsia"/>
                                  <w:lang w:val="en-US" w:eastAsia="zh-CN"/>
                                </w:rPr>
                                <w:t>0.0729</w:t>
                              </w:r>
                            </w:p>
                          </w:txbxContent>
                        </v:textbox>
                      </v:shape>
                      <w10:wrap type="none"/>
                      <w10:anchorlock/>
                    </v:group>
                  </w:pict>
                </mc:Fallback>
              </mc:AlternateContent>
            </w:r>
          </w:p>
          <w:p>
            <w:pPr>
              <w:spacing w:line="480" w:lineRule="exact"/>
              <w:jc w:val="center"/>
              <w:rPr>
                <w:b/>
                <w:color w:val="auto"/>
                <w:sz w:val="24"/>
                <w:szCs w:val="24"/>
              </w:rPr>
            </w:pPr>
            <w:r>
              <w:rPr>
                <w:rFonts w:hint="eastAsia"/>
                <w:b/>
                <w:color w:val="auto"/>
                <w:sz w:val="24"/>
                <w:szCs w:val="24"/>
              </w:rPr>
              <w:t>图2-2</w:t>
            </w:r>
            <w:r>
              <w:rPr>
                <w:b/>
                <w:color w:val="auto"/>
                <w:sz w:val="24"/>
                <w:szCs w:val="24"/>
              </w:rPr>
              <w:t xml:space="preserve">   非甲烷总烃物料平衡图  单位t/a</w:t>
            </w:r>
          </w:p>
          <w:p>
            <w:pPr>
              <w:spacing w:line="360" w:lineRule="auto"/>
              <w:ind w:firstLine="472" w:firstLineChars="200"/>
              <w:rPr>
                <w:b/>
                <w:bCs/>
                <w:color w:val="auto"/>
                <w:sz w:val="24"/>
                <w:szCs w:val="24"/>
              </w:rPr>
            </w:pPr>
            <w:r>
              <w:rPr>
                <w:rFonts w:hint="eastAsia"/>
                <w:b/>
                <w:bCs/>
                <w:color w:val="auto"/>
                <w:sz w:val="24"/>
                <w:szCs w:val="24"/>
              </w:rPr>
              <w:t>5</w:t>
            </w:r>
            <w:r>
              <w:rPr>
                <w:b/>
                <w:bCs/>
                <w:color w:val="auto"/>
                <w:sz w:val="24"/>
                <w:szCs w:val="24"/>
              </w:rPr>
              <w:t>、公用工程</w:t>
            </w:r>
          </w:p>
          <w:p>
            <w:pPr>
              <w:tabs>
                <w:tab w:val="left" w:pos="3780"/>
              </w:tabs>
              <w:adjustRightInd w:val="0"/>
              <w:snapToGrid w:val="0"/>
              <w:spacing w:line="480" w:lineRule="exact"/>
              <w:ind w:firstLine="472" w:firstLineChars="200"/>
              <w:rPr>
                <w:color w:val="auto"/>
                <w:sz w:val="24"/>
                <w:szCs w:val="24"/>
              </w:rPr>
            </w:pPr>
            <w:r>
              <w:rPr>
                <w:color w:val="auto"/>
                <w:sz w:val="24"/>
                <w:szCs w:val="24"/>
              </w:rPr>
              <w:t>（1）给</w:t>
            </w:r>
            <w:r>
              <w:rPr>
                <w:rFonts w:hint="eastAsia"/>
                <w:color w:val="auto"/>
                <w:sz w:val="24"/>
                <w:szCs w:val="24"/>
              </w:rPr>
              <w:t>排</w:t>
            </w:r>
            <w:r>
              <w:rPr>
                <w:color w:val="auto"/>
                <w:sz w:val="24"/>
                <w:szCs w:val="24"/>
              </w:rPr>
              <w:t>水</w:t>
            </w:r>
          </w:p>
          <w:p>
            <w:pPr>
              <w:spacing w:line="360" w:lineRule="auto"/>
              <w:ind w:firstLine="472" w:firstLineChars="200"/>
              <w:rPr>
                <w:color w:val="auto"/>
                <w:sz w:val="24"/>
                <w:szCs w:val="24"/>
              </w:rPr>
            </w:pPr>
            <w:r>
              <w:rPr>
                <w:rFonts w:hint="eastAsia"/>
                <w:color w:val="auto"/>
                <w:sz w:val="24"/>
                <w:szCs w:val="24"/>
              </w:rPr>
              <w:t>A生活用水</w:t>
            </w:r>
          </w:p>
          <w:p>
            <w:pPr>
              <w:spacing w:line="360" w:lineRule="auto"/>
              <w:ind w:firstLine="472" w:firstLineChars="200"/>
              <w:rPr>
                <w:color w:val="auto"/>
                <w:sz w:val="24"/>
                <w:szCs w:val="24"/>
              </w:rPr>
            </w:pPr>
            <w:r>
              <w:rPr>
                <w:rFonts w:hint="eastAsia"/>
                <w:color w:val="auto"/>
                <w:sz w:val="24"/>
                <w:szCs w:val="24"/>
              </w:rPr>
              <w:t>本</w:t>
            </w:r>
            <w:r>
              <w:rPr>
                <w:color w:val="auto"/>
                <w:sz w:val="24"/>
                <w:szCs w:val="24"/>
              </w:rPr>
              <w:t>项目供水</w:t>
            </w:r>
            <w:r>
              <w:rPr>
                <w:rFonts w:hint="eastAsia"/>
                <w:color w:val="auto"/>
                <w:sz w:val="24"/>
                <w:szCs w:val="24"/>
              </w:rPr>
              <w:t>依托聚银公司现有供水系统</w:t>
            </w:r>
            <w:r>
              <w:rPr>
                <w:color w:val="auto"/>
                <w:sz w:val="24"/>
                <w:szCs w:val="24"/>
              </w:rPr>
              <w:t>，</w:t>
            </w:r>
            <w:r>
              <w:rPr>
                <w:rFonts w:hint="eastAsia"/>
                <w:color w:val="auto"/>
                <w:sz w:val="24"/>
                <w:szCs w:val="24"/>
              </w:rPr>
              <w:t>由园区供水管网供给。本项目不设置食堂，生活用水主要为办公生活盥洗用水，根据《生活与服务业用水定额 第1部分：居民生活》（DB13/T5450.1-2021）制定的用水标准，</w:t>
            </w:r>
            <w:r>
              <w:rPr>
                <w:bCs/>
                <w:color w:val="auto"/>
                <w:sz w:val="24"/>
                <w:szCs w:val="24"/>
              </w:rPr>
              <w:t>并结合实际情况，职工生活用水按</w:t>
            </w:r>
            <w:r>
              <w:rPr>
                <w:rFonts w:hint="eastAsia"/>
                <w:bCs/>
                <w:color w:val="auto"/>
                <w:sz w:val="24"/>
                <w:szCs w:val="24"/>
                <w:lang w:val="en-US" w:eastAsia="zh-CN"/>
              </w:rPr>
              <w:t>12</w:t>
            </w:r>
            <w:r>
              <w:rPr>
                <w:rFonts w:hint="eastAsia"/>
                <w:bCs/>
                <w:color w:val="auto"/>
                <w:sz w:val="24"/>
                <w:szCs w:val="24"/>
              </w:rPr>
              <w:t>m³</w:t>
            </w:r>
            <w:r>
              <w:rPr>
                <w:bCs/>
                <w:color w:val="auto"/>
                <w:sz w:val="24"/>
                <w:szCs w:val="24"/>
              </w:rPr>
              <w:t>/人·</w:t>
            </w:r>
            <w:r>
              <w:rPr>
                <w:rFonts w:hint="eastAsia"/>
                <w:bCs/>
                <w:color w:val="auto"/>
                <w:sz w:val="24"/>
                <w:szCs w:val="24"/>
              </w:rPr>
              <w:t>a</w:t>
            </w:r>
            <w:r>
              <w:rPr>
                <w:bCs/>
                <w:color w:val="auto"/>
                <w:sz w:val="24"/>
                <w:szCs w:val="24"/>
              </w:rPr>
              <w:t>计，</w:t>
            </w:r>
            <w:r>
              <w:rPr>
                <w:rFonts w:hint="eastAsia"/>
                <w:bCs/>
                <w:color w:val="auto"/>
                <w:sz w:val="24"/>
                <w:szCs w:val="24"/>
              </w:rPr>
              <w:t>本项目劳动定员65人，</w:t>
            </w:r>
            <w:r>
              <w:rPr>
                <w:bCs/>
                <w:color w:val="auto"/>
                <w:sz w:val="24"/>
                <w:szCs w:val="24"/>
              </w:rPr>
              <w:t>则用水量为</w:t>
            </w:r>
            <w:r>
              <w:rPr>
                <w:rFonts w:hint="eastAsia"/>
                <w:bCs/>
                <w:color w:val="auto"/>
                <w:sz w:val="24"/>
                <w:szCs w:val="24"/>
                <w:lang w:val="en-US" w:eastAsia="zh-CN"/>
              </w:rPr>
              <w:t>780</w:t>
            </w:r>
            <w:r>
              <w:rPr>
                <w:bCs/>
                <w:color w:val="auto"/>
                <w:sz w:val="24"/>
                <w:szCs w:val="24"/>
              </w:rPr>
              <w:t>m</w:t>
            </w:r>
            <w:r>
              <w:rPr>
                <w:bCs/>
                <w:color w:val="auto"/>
                <w:sz w:val="24"/>
                <w:szCs w:val="24"/>
                <w:vertAlign w:val="superscript"/>
              </w:rPr>
              <w:t>3</w:t>
            </w:r>
            <w:r>
              <w:rPr>
                <w:bCs/>
                <w:color w:val="auto"/>
                <w:sz w:val="24"/>
                <w:szCs w:val="24"/>
              </w:rPr>
              <w:t>/a</w:t>
            </w:r>
            <w:r>
              <w:rPr>
                <w:rFonts w:hint="eastAsia"/>
                <w:bCs/>
                <w:color w:val="auto"/>
                <w:sz w:val="24"/>
                <w:szCs w:val="24"/>
              </w:rPr>
              <w:t>（</w:t>
            </w:r>
            <w:r>
              <w:rPr>
                <w:rFonts w:hint="eastAsia"/>
                <w:bCs/>
                <w:color w:val="auto"/>
                <w:sz w:val="24"/>
                <w:szCs w:val="24"/>
                <w:lang w:val="en-US" w:eastAsia="zh-CN"/>
              </w:rPr>
              <w:t>2.6</w:t>
            </w:r>
            <w:r>
              <w:rPr>
                <w:rFonts w:hint="eastAsia"/>
                <w:bCs/>
                <w:color w:val="auto"/>
                <w:sz w:val="24"/>
                <w:szCs w:val="24"/>
              </w:rPr>
              <w:t>m³/d）</w:t>
            </w:r>
            <w:r>
              <w:rPr>
                <w:bCs/>
                <w:color w:val="auto"/>
                <w:sz w:val="24"/>
                <w:szCs w:val="24"/>
              </w:rPr>
              <w:t>，全部为新鲜水。</w:t>
            </w:r>
            <w:r>
              <w:rPr>
                <w:rFonts w:hint="eastAsia"/>
                <w:bCs/>
                <w:color w:val="auto"/>
                <w:sz w:val="24"/>
                <w:szCs w:val="24"/>
              </w:rPr>
              <w:t>生活废水量按照用水量的80%计算，则生活废水产生量为</w:t>
            </w:r>
            <w:r>
              <w:rPr>
                <w:rFonts w:hint="eastAsia"/>
                <w:bCs/>
                <w:color w:val="auto"/>
                <w:sz w:val="24"/>
                <w:szCs w:val="24"/>
                <w:lang w:val="en-US" w:eastAsia="zh-CN"/>
              </w:rPr>
              <w:t>624</w:t>
            </w:r>
            <w:r>
              <w:rPr>
                <w:rFonts w:hint="eastAsia"/>
                <w:bCs/>
                <w:color w:val="auto"/>
                <w:sz w:val="24"/>
                <w:szCs w:val="24"/>
              </w:rPr>
              <w:t>m³/a（</w:t>
            </w:r>
            <w:r>
              <w:rPr>
                <w:rFonts w:hint="eastAsia"/>
                <w:bCs/>
                <w:color w:val="auto"/>
                <w:sz w:val="24"/>
                <w:szCs w:val="24"/>
                <w:lang w:val="en-US" w:eastAsia="zh-CN"/>
              </w:rPr>
              <w:t>2.08</w:t>
            </w:r>
            <w:r>
              <w:rPr>
                <w:rFonts w:hint="eastAsia"/>
                <w:bCs/>
                <w:color w:val="auto"/>
                <w:sz w:val="24"/>
                <w:szCs w:val="24"/>
              </w:rPr>
              <w:t>m³/d）</w:t>
            </w:r>
          </w:p>
          <w:p>
            <w:pPr>
              <w:spacing w:line="360" w:lineRule="auto"/>
              <w:ind w:firstLine="472" w:firstLineChars="200"/>
              <w:rPr>
                <w:color w:val="auto"/>
                <w:sz w:val="24"/>
                <w:szCs w:val="24"/>
              </w:rPr>
            </w:pPr>
            <w:r>
              <w:rPr>
                <w:rFonts w:hint="eastAsia"/>
                <w:color w:val="auto"/>
                <w:sz w:val="24"/>
                <w:szCs w:val="24"/>
              </w:rPr>
              <w:t>B</w:t>
            </w:r>
            <w:r>
              <w:rPr>
                <w:color w:val="auto"/>
                <w:sz w:val="24"/>
                <w:szCs w:val="24"/>
              </w:rPr>
              <w:t>生产用水</w:t>
            </w:r>
          </w:p>
          <w:p>
            <w:pPr>
              <w:spacing w:line="360" w:lineRule="auto"/>
              <w:ind w:firstLine="472" w:firstLineChars="200"/>
              <w:rPr>
                <w:rFonts w:eastAsiaTheme="minorEastAsia"/>
                <w:color w:val="auto"/>
                <w:sz w:val="24"/>
                <w:szCs w:val="24"/>
              </w:rPr>
            </w:pPr>
            <w:r>
              <w:rPr>
                <w:color w:val="auto"/>
                <w:sz w:val="24"/>
                <w:szCs w:val="24"/>
              </w:rPr>
              <w:t>项目生产用水包括</w:t>
            </w:r>
            <w:r>
              <w:rPr>
                <w:rFonts w:hint="eastAsia"/>
                <w:color w:val="auto"/>
                <w:sz w:val="24"/>
                <w:szCs w:val="24"/>
              </w:rPr>
              <w:t>水洗</w:t>
            </w:r>
            <w:r>
              <w:rPr>
                <w:color w:val="auto"/>
                <w:sz w:val="24"/>
                <w:szCs w:val="24"/>
              </w:rPr>
              <w:t>用</w:t>
            </w:r>
            <w:r>
              <w:rPr>
                <w:rFonts w:hint="eastAsia"/>
                <w:color w:val="auto"/>
                <w:sz w:val="24"/>
                <w:szCs w:val="24"/>
              </w:rPr>
              <w:t>水和脱脂</w:t>
            </w:r>
            <w:r>
              <w:rPr>
                <w:color w:val="auto"/>
                <w:sz w:val="24"/>
                <w:szCs w:val="24"/>
              </w:rPr>
              <w:t>用水。</w:t>
            </w:r>
            <w:r>
              <w:rPr>
                <w:rFonts w:hint="eastAsia"/>
                <w:color w:val="auto"/>
                <w:sz w:val="24"/>
                <w:szCs w:val="24"/>
              </w:rPr>
              <w:t>喷涂线用水环节及用水量如下：</w:t>
            </w:r>
          </w:p>
          <w:p>
            <w:pPr>
              <w:spacing w:line="360" w:lineRule="auto"/>
              <w:ind w:firstLine="472" w:firstLineChars="200"/>
              <w:rPr>
                <w:rFonts w:eastAsiaTheme="minorEastAsia"/>
                <w:color w:val="auto"/>
                <w:sz w:val="24"/>
                <w:szCs w:val="24"/>
              </w:rPr>
            </w:pPr>
            <w:r>
              <w:rPr>
                <w:rFonts w:hint="eastAsia"/>
                <w:color w:val="auto"/>
                <w:sz w:val="24"/>
                <w:szCs w:val="24"/>
              </w:rPr>
              <w:t>①水洗用水</w:t>
            </w:r>
          </w:p>
          <w:p>
            <w:pPr>
              <w:spacing w:line="360" w:lineRule="auto"/>
              <w:ind w:firstLine="472" w:firstLineChars="200"/>
              <w:rPr>
                <w:rFonts w:hint="eastAsia"/>
                <w:color w:val="auto"/>
                <w:sz w:val="24"/>
                <w:szCs w:val="24"/>
                <w:lang w:val="en-US" w:eastAsia="zh-CN"/>
              </w:rPr>
            </w:pPr>
            <w:r>
              <w:rPr>
                <w:color w:val="auto"/>
                <w:sz w:val="24"/>
                <w:szCs w:val="24"/>
              </w:rPr>
              <w:t>本项目</w:t>
            </w:r>
            <w:r>
              <w:rPr>
                <w:rFonts w:hint="eastAsia"/>
                <w:color w:val="auto"/>
                <w:sz w:val="24"/>
                <w:szCs w:val="24"/>
              </w:rPr>
              <w:t>设置2个水洗环节，水洗方式全部采用喷淋形式，喷淋系统下设</w:t>
            </w:r>
            <w:r>
              <w:rPr>
                <w:rFonts w:hint="eastAsia"/>
                <w:color w:val="auto"/>
                <w:sz w:val="24"/>
                <w:szCs w:val="24"/>
                <w:lang w:val="en-US" w:eastAsia="zh-CN"/>
              </w:rPr>
              <w:t>水洗</w:t>
            </w:r>
            <w:r>
              <w:rPr>
                <w:rFonts w:hint="eastAsia"/>
                <w:color w:val="auto"/>
                <w:sz w:val="24"/>
                <w:szCs w:val="24"/>
              </w:rPr>
              <w:t>槽，清洗用水循环使用，定期外排至污水处理站处理。</w:t>
            </w:r>
            <w:r>
              <w:rPr>
                <w:rFonts w:hint="eastAsia"/>
                <w:color w:val="auto"/>
                <w:sz w:val="24"/>
                <w:szCs w:val="24"/>
                <w:lang w:val="en-US" w:eastAsia="zh-CN"/>
              </w:rPr>
              <w:t>企业喷涂线</w:t>
            </w:r>
            <w:r>
              <w:rPr>
                <w:rFonts w:hint="eastAsia"/>
                <w:color w:val="auto"/>
                <w:sz w:val="24"/>
                <w:szCs w:val="24"/>
              </w:rPr>
              <w:t>1#</w:t>
            </w:r>
            <w:r>
              <w:rPr>
                <w:rFonts w:hint="eastAsia"/>
                <w:color w:val="auto"/>
                <w:sz w:val="24"/>
                <w:szCs w:val="24"/>
                <w:lang w:val="en-US" w:eastAsia="zh-CN"/>
              </w:rPr>
              <w:t>水洗槽的设计容积为6.5</w:t>
            </w:r>
            <w:r>
              <w:rPr>
                <w:color w:val="auto"/>
                <w:sz w:val="24"/>
                <w:szCs w:val="24"/>
              </w:rPr>
              <w:t>m</w:t>
            </w:r>
            <w:r>
              <w:rPr>
                <w:color w:val="auto"/>
                <w:sz w:val="24"/>
                <w:szCs w:val="24"/>
                <w:vertAlign w:val="superscript"/>
              </w:rPr>
              <w:t>3</w:t>
            </w:r>
            <w:r>
              <w:rPr>
                <w:rFonts w:hint="eastAsia"/>
                <w:color w:val="auto"/>
                <w:sz w:val="24"/>
                <w:szCs w:val="24"/>
              </w:rPr>
              <w:t>，水洗</w:t>
            </w:r>
            <w:r>
              <w:rPr>
                <w:rFonts w:hint="eastAsia"/>
                <w:color w:val="auto"/>
                <w:sz w:val="24"/>
                <w:szCs w:val="24"/>
                <w:lang w:val="en-US" w:eastAsia="zh-CN"/>
              </w:rPr>
              <w:t>过程循环用水量为6.0</w:t>
            </w:r>
            <w:r>
              <w:rPr>
                <w:color w:val="auto"/>
                <w:sz w:val="24"/>
                <w:szCs w:val="24"/>
              </w:rPr>
              <w:t>m</w:t>
            </w:r>
            <w:r>
              <w:rPr>
                <w:color w:val="auto"/>
                <w:sz w:val="24"/>
                <w:szCs w:val="24"/>
                <w:vertAlign w:val="superscript"/>
              </w:rPr>
              <w:t>3</w:t>
            </w:r>
            <w:r>
              <w:rPr>
                <w:rFonts w:hint="eastAsia"/>
                <w:color w:val="auto"/>
                <w:sz w:val="24"/>
                <w:szCs w:val="24"/>
                <w:vertAlign w:val="baseline"/>
                <w:lang w:eastAsia="zh-CN"/>
              </w:rPr>
              <w:t>，</w:t>
            </w:r>
            <w:r>
              <w:rPr>
                <w:rFonts w:hint="eastAsia"/>
                <w:color w:val="auto"/>
                <w:sz w:val="24"/>
                <w:szCs w:val="24"/>
                <w:vertAlign w:val="baseline"/>
                <w:lang w:val="en-US" w:eastAsia="zh-CN"/>
              </w:rPr>
              <w:t>每天清洗过程中</w:t>
            </w:r>
            <w:r>
              <w:rPr>
                <w:rFonts w:hint="eastAsia"/>
                <w:color w:val="auto"/>
                <w:sz w:val="24"/>
                <w:szCs w:val="24"/>
              </w:rPr>
              <w:t>损耗量为</w:t>
            </w:r>
            <w:r>
              <w:rPr>
                <w:rFonts w:hint="eastAsia"/>
                <w:color w:val="auto"/>
                <w:sz w:val="24"/>
                <w:szCs w:val="24"/>
                <w:lang w:val="en-US" w:eastAsia="zh-CN"/>
              </w:rPr>
              <w:t>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补水量为0.6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根据建设单位提供的资料，喷涂线全年生产100d，水洗槽内清洗废水平均每10天更换一次，排放至污水处理站处理，每次排水量为6.0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/d，</w:t>
            </w:r>
            <w:r>
              <w:rPr>
                <w:rFonts w:hint="eastAsia"/>
                <w:color w:val="auto"/>
                <w:sz w:val="24"/>
                <w:szCs w:val="24"/>
                <w:lang w:val="en-US" w:eastAsia="zh-CN"/>
              </w:rPr>
              <w:t>平均每天排水量为0.6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val="en-US" w:eastAsia="zh-CN"/>
              </w:rPr>
              <w:t>(全年排水量为60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/a</w:t>
            </w:r>
            <w:r>
              <w:rPr>
                <w:color w:val="auto"/>
                <w:sz w:val="24"/>
                <w:szCs w:val="24"/>
              </w:rPr>
              <w:t>。</w:t>
            </w:r>
            <w:r>
              <w:rPr>
                <w:rFonts w:hint="eastAsia"/>
                <w:color w:val="auto"/>
                <w:sz w:val="24"/>
                <w:szCs w:val="24"/>
              </w:rPr>
              <w:t>2#水洗过程</w:t>
            </w:r>
            <w:r>
              <w:rPr>
                <w:rFonts w:hint="eastAsia"/>
                <w:color w:val="auto"/>
                <w:sz w:val="24"/>
                <w:szCs w:val="24"/>
                <w:lang w:val="en-US" w:eastAsia="zh-CN"/>
              </w:rPr>
              <w:t>同1#水洗过程。</w:t>
            </w:r>
          </w:p>
          <w:p>
            <w:pPr>
              <w:spacing w:line="360" w:lineRule="auto"/>
              <w:ind w:firstLine="472" w:firstLineChars="200"/>
              <w:rPr>
                <w:color w:val="auto"/>
                <w:sz w:val="24"/>
                <w:szCs w:val="24"/>
              </w:rPr>
            </w:pPr>
            <w:r>
              <w:rPr>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rPr>
              <w:t>脱脂</w:t>
            </w:r>
            <w:r>
              <w:rPr>
                <w:rFonts w:hint="eastAsia"/>
                <w:color w:val="auto"/>
                <w:sz w:val="24"/>
                <w:szCs w:val="24"/>
                <w:lang w:val="en-US" w:eastAsia="zh-CN"/>
              </w:rPr>
              <w:t>液配置</w:t>
            </w:r>
            <w:r>
              <w:rPr>
                <w:color w:val="auto"/>
                <w:sz w:val="24"/>
                <w:szCs w:val="24"/>
              </w:rPr>
              <w:t>用水</w:t>
            </w:r>
          </w:p>
          <w:p>
            <w:pPr>
              <w:spacing w:line="360" w:lineRule="auto"/>
              <w:ind w:firstLine="472" w:firstLineChars="200"/>
              <w:rPr>
                <w:rFonts w:hint="eastAsia"/>
                <w:color w:val="auto"/>
                <w:sz w:val="24"/>
                <w:szCs w:val="24"/>
                <w:vertAlign w:val="baseline"/>
                <w:lang w:val="en-US" w:eastAsia="zh-CN"/>
              </w:rPr>
            </w:pPr>
            <w:r>
              <w:rPr>
                <w:rFonts w:hint="eastAsia"/>
                <w:color w:val="auto"/>
                <w:sz w:val="24"/>
                <w:szCs w:val="24"/>
                <w:lang w:val="en-US" w:eastAsia="zh-CN"/>
              </w:rPr>
              <w:t>根据建设单位提供的资料，喷涂线全年生产100d，脱脂液平均每10天配置一次，每次配置用水量为4.5</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，平均每天用水量为0.45</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/d。</w:t>
            </w:r>
          </w:p>
          <w:p>
            <w:pPr>
              <w:spacing w:line="360" w:lineRule="auto"/>
              <w:ind w:firstLine="472" w:firstLineChars="200"/>
              <w:rPr>
                <w:rFonts w:hint="default"/>
                <w:color w:val="auto"/>
                <w:sz w:val="24"/>
                <w:szCs w:val="24"/>
                <w:lang w:val="en-US" w:eastAsia="zh-CN"/>
              </w:rPr>
            </w:pPr>
            <w:r>
              <w:rPr>
                <w:rFonts w:hint="eastAsia"/>
                <w:color w:val="auto"/>
                <w:sz w:val="24"/>
                <w:szCs w:val="24"/>
                <w:lang w:val="en-US" w:eastAsia="zh-CN"/>
              </w:rPr>
              <w:t>（3）脱脂用水</w:t>
            </w:r>
          </w:p>
          <w:p>
            <w:pPr>
              <w:spacing w:line="360" w:lineRule="auto"/>
              <w:ind w:firstLine="472" w:firstLineChars="200"/>
              <w:rPr>
                <w:color w:val="auto"/>
                <w:sz w:val="24"/>
                <w:szCs w:val="24"/>
              </w:rPr>
            </w:pPr>
            <w:r>
              <w:rPr>
                <w:rFonts w:hint="eastAsia"/>
                <w:color w:val="auto"/>
                <w:sz w:val="24"/>
                <w:szCs w:val="24"/>
                <w:lang w:val="en-US" w:eastAsia="zh-CN"/>
              </w:rPr>
              <w:t>企业喷涂线设置1个脱脂槽，脱脂槽的设计容积为6.5</w:t>
            </w:r>
            <w:r>
              <w:rPr>
                <w:color w:val="auto"/>
                <w:sz w:val="24"/>
                <w:szCs w:val="24"/>
              </w:rPr>
              <w:t>m</w:t>
            </w:r>
            <w:r>
              <w:rPr>
                <w:color w:val="auto"/>
                <w:sz w:val="24"/>
                <w:szCs w:val="24"/>
                <w:vertAlign w:val="superscript"/>
              </w:rPr>
              <w:t>3</w:t>
            </w:r>
            <w:r>
              <w:rPr>
                <w:rFonts w:hint="eastAsia"/>
                <w:color w:val="auto"/>
                <w:sz w:val="24"/>
                <w:szCs w:val="24"/>
              </w:rPr>
              <w:t>，</w:t>
            </w:r>
            <w:r>
              <w:rPr>
                <w:rFonts w:hint="eastAsia"/>
                <w:color w:val="auto"/>
                <w:sz w:val="24"/>
                <w:szCs w:val="24"/>
                <w:vertAlign w:val="baseline"/>
                <w:lang w:val="en-US" w:eastAsia="zh-CN"/>
              </w:rPr>
              <w:t>每天对工件脱脂过程中</w:t>
            </w:r>
            <w:r>
              <w:rPr>
                <w:rFonts w:hint="eastAsia"/>
                <w:color w:val="auto"/>
                <w:sz w:val="24"/>
                <w:szCs w:val="24"/>
              </w:rPr>
              <w:t>损耗量为</w:t>
            </w:r>
            <w:r>
              <w:rPr>
                <w:rFonts w:hint="eastAsia"/>
                <w:color w:val="auto"/>
                <w:sz w:val="24"/>
                <w:szCs w:val="24"/>
                <w:lang w:val="en-US" w:eastAsia="zh-CN"/>
              </w:rPr>
              <w:t>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补水量为0.6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eastAsia="zh-CN"/>
              </w:rPr>
              <w:t>。</w:t>
            </w:r>
            <w:r>
              <w:rPr>
                <w:rFonts w:hint="eastAsia"/>
                <w:color w:val="auto"/>
                <w:sz w:val="24"/>
                <w:szCs w:val="24"/>
                <w:lang w:val="en-US" w:eastAsia="zh-CN"/>
              </w:rPr>
              <w:t>根据建设单位提供的资料，喷涂线全年生产100d，脱脂槽内脱脂废水平均每10天更换一次，排放至污水处理站处理，每次排水量为6.0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/d，</w:t>
            </w:r>
            <w:r>
              <w:rPr>
                <w:rFonts w:hint="eastAsia"/>
                <w:color w:val="auto"/>
                <w:sz w:val="24"/>
                <w:szCs w:val="24"/>
                <w:lang w:val="en-US" w:eastAsia="zh-CN"/>
              </w:rPr>
              <w:t>平均每天排水量为0.6</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val="en-US" w:eastAsia="zh-CN"/>
              </w:rPr>
              <w:t>(全年排水量为60</w:t>
            </w:r>
            <w:r>
              <w:rPr>
                <w:color w:val="auto"/>
                <w:sz w:val="24"/>
                <w:szCs w:val="24"/>
              </w:rPr>
              <w:t>m</w:t>
            </w:r>
            <w:r>
              <w:rPr>
                <w:color w:val="auto"/>
                <w:sz w:val="24"/>
                <w:szCs w:val="24"/>
                <w:vertAlign w:val="superscript"/>
              </w:rPr>
              <w:t>3</w:t>
            </w:r>
            <w:r>
              <w:rPr>
                <w:rFonts w:hint="eastAsia"/>
                <w:color w:val="auto"/>
                <w:sz w:val="24"/>
                <w:szCs w:val="24"/>
                <w:vertAlign w:val="baseline"/>
                <w:lang w:val="en-US" w:eastAsia="zh-CN"/>
              </w:rPr>
              <w:t>/a）</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本项目的给排水平衡图见图</w:t>
            </w:r>
            <w:r>
              <w:rPr>
                <w:rFonts w:hint="eastAsia"/>
                <w:color w:val="auto"/>
                <w:sz w:val="24"/>
                <w:szCs w:val="24"/>
                <w:lang w:val="en-US" w:eastAsia="zh-CN"/>
              </w:rPr>
              <w:t>2-3</w:t>
            </w:r>
            <w:r>
              <w:rPr>
                <w:rFonts w:hint="eastAsia"/>
                <w:color w:val="auto"/>
                <w:sz w:val="24"/>
                <w:szCs w:val="24"/>
              </w:rPr>
              <w:t>。</w:t>
            </w:r>
          </w:p>
          <w:p>
            <w:pPr>
              <w:spacing w:line="360" w:lineRule="auto"/>
              <w:jc w:val="center"/>
              <w:rPr>
                <w:rFonts w:hint="eastAsia" w:eastAsia="宋体"/>
                <w:color w:val="auto"/>
                <w:sz w:val="24"/>
                <w:szCs w:val="24"/>
                <w:lang w:eastAsia="zh-CN"/>
              </w:rPr>
            </w:pPr>
            <w:r>
              <w:rPr>
                <w:color w:val="auto"/>
              </w:rPr>
              <w:drawing>
                <wp:inline distT="0" distB="0" distL="114300" distR="114300">
                  <wp:extent cx="5603875" cy="3346450"/>
                  <wp:effectExtent l="0" t="0" r="15875" b="6350"/>
                  <wp:docPr id="3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true"/>
                          </pic:cNvPicPr>
                        </pic:nvPicPr>
                        <pic:blipFill>
                          <a:blip r:embed="rId8"/>
                          <a:stretch>
                            <a:fillRect/>
                          </a:stretch>
                        </pic:blipFill>
                        <pic:spPr>
                          <a:xfrm>
                            <a:off x="0" y="0"/>
                            <a:ext cx="5603875" cy="3346450"/>
                          </a:xfrm>
                          <a:prstGeom prst="rect">
                            <a:avLst/>
                          </a:prstGeom>
                          <a:noFill/>
                          <a:ln>
                            <a:noFill/>
                          </a:ln>
                        </pic:spPr>
                      </pic:pic>
                    </a:graphicData>
                  </a:graphic>
                </wp:inline>
              </w:drawing>
            </w:r>
          </w:p>
          <w:p>
            <w:pPr>
              <w:pStyle w:val="24"/>
              <w:jc w:val="center"/>
              <w:rPr>
                <w:rFonts w:hint="default" w:eastAsia="宋体"/>
                <w:b/>
                <w:bCs/>
                <w:color w:val="auto"/>
                <w:lang w:val="en-US" w:eastAsia="zh-CN"/>
              </w:rPr>
            </w:pPr>
            <w:r>
              <w:rPr>
                <w:rFonts w:hint="eastAsia"/>
                <w:b/>
                <w:bCs/>
                <w:color w:val="auto"/>
              </w:rPr>
              <w:t>图2-3本工程给排水</w:t>
            </w:r>
            <w:r>
              <w:rPr>
                <w:rFonts w:hint="eastAsia"/>
                <w:b/>
                <w:bCs/>
                <w:color w:val="auto"/>
                <w:highlight w:val="none"/>
              </w:rPr>
              <w:t>平衡图</w:t>
            </w:r>
            <w:r>
              <w:rPr>
                <w:rFonts w:hint="eastAsia"/>
                <w:b/>
                <w:bCs/>
                <w:color w:val="auto"/>
              </w:rPr>
              <w:t>（m³/</w:t>
            </w:r>
            <w:r>
              <w:rPr>
                <w:rFonts w:hint="eastAsia"/>
                <w:b/>
                <w:bCs/>
                <w:color w:val="auto"/>
                <w:lang w:val="en-US" w:eastAsia="zh-CN"/>
              </w:rPr>
              <w:t>d</w:t>
            </w:r>
            <w:r>
              <w:rPr>
                <w:rFonts w:hint="eastAsia"/>
                <w:b/>
                <w:bCs/>
                <w:color w:val="auto"/>
              </w:rPr>
              <w:t>）</w:t>
            </w:r>
            <w:r>
              <w:rPr>
                <w:rFonts w:hint="eastAsia"/>
                <w:b/>
                <w:bCs/>
                <w:color w:val="auto"/>
                <w:lang w:eastAsia="zh-CN"/>
              </w:rPr>
              <w:t>（</w:t>
            </w:r>
            <w:r>
              <w:rPr>
                <w:rFonts w:hint="eastAsia"/>
                <w:b/>
                <w:bCs/>
                <w:color w:val="auto"/>
                <w:lang w:val="en-US" w:eastAsia="zh-CN"/>
              </w:rPr>
              <w:t>注：生产废水年排放100d）</w:t>
            </w:r>
          </w:p>
          <w:p>
            <w:pPr>
              <w:spacing w:line="360" w:lineRule="auto"/>
              <w:ind w:firstLine="236" w:firstLineChars="100"/>
              <w:rPr>
                <w:color w:val="auto"/>
                <w:sz w:val="24"/>
                <w:szCs w:val="24"/>
              </w:rPr>
            </w:pPr>
            <w:r>
              <w:rPr>
                <w:rFonts w:hint="eastAsia"/>
                <w:color w:val="auto"/>
                <w:sz w:val="24"/>
                <w:szCs w:val="24"/>
              </w:rPr>
              <w:t>（2）供电:本项目年消耗电量100万kw</w:t>
            </w:r>
            <w:r>
              <w:rPr>
                <w:rFonts w:hint="eastAsia"/>
                <w:color w:val="auto"/>
                <w:sz w:val="24"/>
                <w:szCs w:val="24"/>
                <w:lang w:val="en-US" w:eastAsia="zh-CN"/>
              </w:rPr>
              <w:t>*</w:t>
            </w:r>
            <w:r>
              <w:rPr>
                <w:rFonts w:hint="eastAsia"/>
                <w:color w:val="auto"/>
                <w:sz w:val="24"/>
                <w:szCs w:val="24"/>
              </w:rPr>
              <w:t>h，用电主要为生产设备和照明用电，依托河北聚银企业管理服务有限公司供电系统，由园区供电系统供给。</w:t>
            </w:r>
          </w:p>
          <w:p>
            <w:pPr>
              <w:spacing w:line="360" w:lineRule="auto"/>
              <w:ind w:firstLine="236" w:firstLineChars="100"/>
              <w:rPr>
                <w:bCs/>
                <w:color w:val="auto"/>
                <w:sz w:val="24"/>
                <w:szCs w:val="24"/>
              </w:rPr>
            </w:pPr>
            <w:r>
              <w:rPr>
                <w:rFonts w:hint="eastAsia"/>
                <w:color w:val="auto"/>
                <w:sz w:val="24"/>
                <w:szCs w:val="24"/>
              </w:rPr>
              <w:t>（3）供热</w:t>
            </w:r>
            <w:r>
              <w:rPr>
                <w:color w:val="auto"/>
                <w:sz w:val="24"/>
                <w:szCs w:val="24"/>
              </w:rPr>
              <w:t>：</w:t>
            </w:r>
            <w:r>
              <w:rPr>
                <w:rFonts w:hint="eastAsia"/>
                <w:color w:val="auto"/>
                <w:sz w:val="24"/>
                <w:szCs w:val="24"/>
              </w:rPr>
              <w:t>项目厂房冬季不设采暖，办公</w:t>
            </w:r>
            <w:r>
              <w:rPr>
                <w:rFonts w:hint="eastAsia"/>
                <w:bCs/>
                <w:color w:val="auto"/>
                <w:sz w:val="24"/>
                <w:szCs w:val="24"/>
              </w:rPr>
              <w:t>室冬季采暖及夏季制冷均使用分体空调。项目生产过程中喷塑生产线水洗后烘干、喷塑后固化采用天然气加热。</w:t>
            </w:r>
          </w:p>
          <w:p>
            <w:pPr>
              <w:spacing w:line="360" w:lineRule="auto"/>
              <w:rPr>
                <w:rFonts w:hint="eastAsia"/>
                <w:bCs/>
                <w:color w:val="auto"/>
                <w:sz w:val="24"/>
                <w:szCs w:val="24"/>
                <w:lang w:val="en-US" w:eastAsia="zh-CN"/>
              </w:rPr>
            </w:pPr>
            <w:r>
              <w:rPr>
                <w:rFonts w:hint="eastAsia"/>
                <w:b/>
                <w:bCs/>
                <w:color w:val="auto"/>
                <w:sz w:val="24"/>
                <w:szCs w:val="24"/>
              </w:rPr>
              <w:t xml:space="preserve">   </w:t>
            </w:r>
            <w:r>
              <w:rPr>
                <w:rFonts w:hint="eastAsia"/>
                <w:color w:val="auto"/>
                <w:sz w:val="24"/>
                <w:szCs w:val="24"/>
              </w:rPr>
              <w:t>（4）供气：本</w:t>
            </w:r>
            <w:r>
              <w:rPr>
                <w:rFonts w:hint="eastAsia"/>
                <w:bCs/>
                <w:color w:val="auto"/>
                <w:sz w:val="24"/>
                <w:szCs w:val="24"/>
              </w:rPr>
              <w:t>项目生产过程中喷塑生产线水洗后烘干、喷塑后固化热源采用天然气，由园区天然气管网接入，</w:t>
            </w:r>
            <w:r>
              <w:rPr>
                <w:rFonts w:hint="eastAsia"/>
                <w:bCs/>
                <w:color w:val="auto"/>
                <w:sz w:val="24"/>
                <w:szCs w:val="24"/>
                <w:highlight w:val="none"/>
              </w:rPr>
              <w:t>喷涂线设置2台天然气燃烧机（1台40万</w:t>
            </w:r>
            <w:r>
              <w:rPr>
                <w:rFonts w:hint="eastAsia"/>
                <w:bCs/>
                <w:color w:val="auto"/>
                <w:sz w:val="24"/>
                <w:szCs w:val="24"/>
              </w:rPr>
              <w:t>大卡，1台70万大卡，合计110万大卡），</w:t>
            </w:r>
            <w:r>
              <w:rPr>
                <w:rFonts w:hint="eastAsia"/>
                <w:bCs/>
                <w:color w:val="auto"/>
                <w:sz w:val="24"/>
                <w:szCs w:val="24"/>
                <w:lang w:val="en-US" w:eastAsia="zh-CN"/>
              </w:rPr>
              <w:t>1台用于水洗后烘干，1台用于喷塑后固化，同时使用。根据燃烧机天然气消耗定额经验系数</w:t>
            </w:r>
            <w:r>
              <w:rPr>
                <w:rFonts w:hint="eastAsia"/>
                <w:bCs/>
                <w:color w:val="auto"/>
                <w:sz w:val="24"/>
                <w:szCs w:val="24"/>
              </w:rPr>
              <w:t>，</w:t>
            </w:r>
            <w:r>
              <w:rPr>
                <w:rFonts w:hint="eastAsia"/>
                <w:bCs/>
                <w:color w:val="auto"/>
                <w:sz w:val="24"/>
                <w:szCs w:val="24"/>
                <w:lang w:val="en-US" w:eastAsia="zh-CN"/>
              </w:rPr>
              <w:t>每10万大卡的燃烧机满负荷状态下</w:t>
            </w:r>
            <w:r>
              <w:rPr>
                <w:rFonts w:hint="eastAsia"/>
                <w:bCs/>
                <w:color w:val="auto"/>
                <w:sz w:val="24"/>
                <w:szCs w:val="24"/>
              </w:rPr>
              <w:t>每小时天然气消耗量</w:t>
            </w:r>
            <w:r>
              <w:rPr>
                <w:rFonts w:hint="eastAsia"/>
                <w:bCs/>
                <w:color w:val="auto"/>
                <w:sz w:val="24"/>
                <w:szCs w:val="24"/>
                <w:lang w:val="en-US" w:eastAsia="zh-CN"/>
              </w:rPr>
              <w:t>约为11.6</w:t>
            </w:r>
            <w:r>
              <w:rPr>
                <w:rFonts w:hint="eastAsia"/>
                <w:bCs/>
                <w:color w:val="auto"/>
                <w:sz w:val="24"/>
                <w:szCs w:val="24"/>
              </w:rPr>
              <w:t>m³，</w:t>
            </w:r>
            <w:r>
              <w:rPr>
                <w:rFonts w:hint="eastAsia"/>
                <w:bCs/>
                <w:color w:val="auto"/>
                <w:sz w:val="24"/>
                <w:szCs w:val="24"/>
                <w:lang w:val="en-US" w:eastAsia="zh-CN"/>
              </w:rPr>
              <w:t>喷涂线全年生产800h，</w:t>
            </w:r>
            <w:r>
              <w:rPr>
                <w:rFonts w:hint="eastAsia"/>
                <w:bCs/>
                <w:color w:val="auto"/>
                <w:sz w:val="24"/>
                <w:szCs w:val="24"/>
              </w:rPr>
              <w:t>则</w:t>
            </w:r>
            <w:r>
              <w:rPr>
                <w:rFonts w:hint="eastAsia"/>
                <w:bCs/>
                <w:color w:val="auto"/>
                <w:sz w:val="24"/>
                <w:szCs w:val="24"/>
                <w:lang w:val="en-US" w:eastAsia="zh-CN"/>
              </w:rPr>
              <w:t>全</w:t>
            </w:r>
            <w:r>
              <w:rPr>
                <w:rFonts w:hint="eastAsia"/>
                <w:bCs/>
                <w:color w:val="auto"/>
                <w:sz w:val="24"/>
                <w:szCs w:val="24"/>
              </w:rPr>
              <w:t>年消耗天然气量为</w:t>
            </w:r>
            <w:r>
              <w:rPr>
                <w:rFonts w:hint="eastAsia"/>
                <w:bCs/>
                <w:color w:val="auto"/>
                <w:sz w:val="24"/>
                <w:szCs w:val="24"/>
                <w:lang w:val="en-US" w:eastAsia="zh-CN"/>
              </w:rPr>
              <w:t>10.21</w:t>
            </w:r>
            <w:r>
              <w:rPr>
                <w:rFonts w:hint="eastAsia"/>
                <w:bCs/>
                <w:color w:val="auto"/>
                <w:sz w:val="24"/>
                <w:szCs w:val="24"/>
              </w:rPr>
              <w:t>万立方米。</w:t>
            </w:r>
            <w:r>
              <w:rPr>
                <w:rFonts w:hint="eastAsia"/>
                <w:bCs/>
                <w:color w:val="auto"/>
                <w:sz w:val="24"/>
                <w:szCs w:val="24"/>
                <w:lang w:val="en-US" w:eastAsia="zh-CN"/>
              </w:rPr>
              <w:t>本项目天然气成分表见下表2-4。</w:t>
            </w:r>
          </w:p>
          <w:p>
            <w:pPr>
              <w:spacing w:line="360" w:lineRule="auto"/>
              <w:ind w:firstLine="472" w:firstLineChars="200"/>
              <w:jc w:val="center"/>
              <w:rPr>
                <w:rFonts w:hint="eastAsia"/>
                <w:b/>
                <w:color w:val="auto"/>
                <w:sz w:val="24"/>
                <w:szCs w:val="24"/>
              </w:rPr>
            </w:pPr>
            <w:r>
              <w:rPr>
                <w:rFonts w:hint="eastAsia"/>
                <w:b/>
                <w:color w:val="auto"/>
                <w:sz w:val="24"/>
                <w:szCs w:val="24"/>
              </w:rPr>
              <w:t>表</w:t>
            </w:r>
            <w:r>
              <w:rPr>
                <w:rFonts w:hint="eastAsia"/>
                <w:b/>
                <w:color w:val="auto"/>
                <w:sz w:val="24"/>
                <w:szCs w:val="24"/>
                <w:lang w:val="en-US" w:eastAsia="zh-CN"/>
              </w:rPr>
              <w:t>2-4</w:t>
            </w:r>
            <w:r>
              <w:rPr>
                <w:rFonts w:hint="eastAsia"/>
                <w:b/>
                <w:color w:val="auto"/>
                <w:sz w:val="24"/>
                <w:szCs w:val="24"/>
              </w:rPr>
              <w:t xml:space="preserve">  天然气成分一览表</w:t>
            </w:r>
          </w:p>
          <w:tbl>
            <w:tblPr>
              <w:tblStyle w:val="19"/>
              <w:tblW w:w="4998" w:type="pct"/>
              <w:tblInd w:w="17"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8"/>
              <w:gridCol w:w="658"/>
              <w:gridCol w:w="551"/>
              <w:gridCol w:w="578"/>
              <w:gridCol w:w="630"/>
              <w:gridCol w:w="630"/>
              <w:gridCol w:w="630"/>
              <w:gridCol w:w="630"/>
              <w:gridCol w:w="578"/>
              <w:gridCol w:w="630"/>
              <w:gridCol w:w="632"/>
              <w:gridCol w:w="980"/>
              <w:gridCol w:w="9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6"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甲烷</w:t>
                  </w:r>
                  <w:r>
                    <w:rPr>
                      <w:color w:val="auto"/>
                      <w:kern w:val="0"/>
                      <w:sz w:val="18"/>
                      <w:szCs w:val="18"/>
                    </w:rPr>
                    <w:t>(%)</w:t>
                  </w:r>
                </w:p>
              </w:tc>
              <w:tc>
                <w:tcPr>
                  <w:tcW w:w="372" w:type="pct"/>
                  <w:tcBorders>
                    <w:tl2br w:val="nil"/>
                    <w:tr2bl w:val="nil"/>
                  </w:tcBorders>
                  <w:shd w:val="clear" w:color="auto" w:fill="auto"/>
                  <w:noWrap w:val="0"/>
                  <w:vAlign w:val="center"/>
                </w:tcPr>
                <w:p>
                  <w:pPr>
                    <w:widowControl/>
                    <w:rPr>
                      <w:color w:val="auto"/>
                      <w:kern w:val="0"/>
                      <w:sz w:val="18"/>
                      <w:szCs w:val="18"/>
                    </w:rPr>
                  </w:pPr>
                  <w:r>
                    <w:rPr>
                      <w:rFonts w:hAnsi="宋体"/>
                      <w:color w:val="auto"/>
                      <w:kern w:val="0"/>
                      <w:sz w:val="18"/>
                      <w:szCs w:val="18"/>
                    </w:rPr>
                    <w:t>二氧化碳</w:t>
                  </w:r>
                  <w:r>
                    <w:rPr>
                      <w:color w:val="auto"/>
                      <w:kern w:val="0"/>
                      <w:sz w:val="18"/>
                      <w:szCs w:val="18"/>
                    </w:rPr>
                    <w:t>(%)</w:t>
                  </w:r>
                </w:p>
              </w:tc>
              <w:tc>
                <w:tcPr>
                  <w:tcW w:w="312"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乙烷</w:t>
                  </w:r>
                  <w:r>
                    <w:rPr>
                      <w:color w:val="auto"/>
                      <w:kern w:val="0"/>
                      <w:sz w:val="18"/>
                      <w:szCs w:val="18"/>
                    </w:rPr>
                    <w:t>(%)</w:t>
                  </w:r>
                </w:p>
              </w:tc>
              <w:tc>
                <w:tcPr>
                  <w:tcW w:w="327"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丙烷</w:t>
                  </w:r>
                  <w:r>
                    <w:rPr>
                      <w:color w:val="auto"/>
                      <w:kern w:val="0"/>
                      <w:sz w:val="18"/>
                      <w:szCs w:val="18"/>
                    </w:rPr>
                    <w:t>(%)</w:t>
                  </w:r>
                </w:p>
              </w:tc>
              <w:tc>
                <w:tcPr>
                  <w:tcW w:w="356" w:type="pct"/>
                  <w:tcBorders>
                    <w:tl2br w:val="nil"/>
                    <w:tr2bl w:val="nil"/>
                  </w:tcBorders>
                  <w:shd w:val="clear" w:color="auto" w:fill="auto"/>
                  <w:noWrap w:val="0"/>
                  <w:vAlign w:val="center"/>
                </w:tcPr>
                <w:p>
                  <w:pPr>
                    <w:widowControl/>
                    <w:jc w:val="center"/>
                    <w:rPr>
                      <w:rFonts w:hint="eastAsia" w:hAnsi="宋体"/>
                      <w:color w:val="auto"/>
                      <w:kern w:val="0"/>
                      <w:sz w:val="18"/>
                      <w:szCs w:val="18"/>
                    </w:rPr>
                  </w:pPr>
                  <w:r>
                    <w:rPr>
                      <w:rFonts w:hAnsi="宋体"/>
                      <w:color w:val="auto"/>
                      <w:kern w:val="0"/>
                      <w:sz w:val="18"/>
                      <w:szCs w:val="18"/>
                    </w:rPr>
                    <w:t>异</w:t>
                  </w:r>
                </w:p>
                <w:p>
                  <w:pPr>
                    <w:widowControl/>
                    <w:jc w:val="center"/>
                    <w:rPr>
                      <w:rFonts w:hint="eastAsia" w:hAnsi="宋体"/>
                      <w:color w:val="auto"/>
                      <w:kern w:val="0"/>
                      <w:sz w:val="18"/>
                      <w:szCs w:val="18"/>
                    </w:rPr>
                  </w:pPr>
                  <w:r>
                    <w:rPr>
                      <w:rFonts w:hAnsi="宋体"/>
                      <w:color w:val="auto"/>
                      <w:kern w:val="0"/>
                      <w:sz w:val="18"/>
                      <w:szCs w:val="18"/>
                    </w:rPr>
                    <w:t>丁</w:t>
                  </w:r>
                </w:p>
                <w:p>
                  <w:pPr>
                    <w:widowControl/>
                    <w:jc w:val="center"/>
                    <w:rPr>
                      <w:color w:val="auto"/>
                      <w:kern w:val="0"/>
                      <w:sz w:val="18"/>
                      <w:szCs w:val="18"/>
                    </w:rPr>
                  </w:pPr>
                  <w:r>
                    <w:rPr>
                      <w:rFonts w:hAnsi="宋体"/>
                      <w:color w:val="auto"/>
                      <w:kern w:val="0"/>
                      <w:sz w:val="18"/>
                      <w:szCs w:val="18"/>
                    </w:rPr>
                    <w:t>烷</w:t>
                  </w:r>
                  <w:r>
                    <w:rPr>
                      <w:color w:val="auto"/>
                      <w:kern w:val="0"/>
                      <w:sz w:val="18"/>
                      <w:szCs w:val="18"/>
                    </w:rPr>
                    <w:t>(%)</w:t>
                  </w:r>
                  <w:r>
                    <w:rPr>
                      <w:color w:val="auto"/>
                      <w:kern w:val="0"/>
                      <w:sz w:val="18"/>
                      <w:szCs w:val="18"/>
                      <w:vertAlign w:val="subscript"/>
                    </w:rPr>
                    <w:t>i</w:t>
                  </w:r>
                </w:p>
              </w:tc>
              <w:tc>
                <w:tcPr>
                  <w:tcW w:w="356" w:type="pct"/>
                  <w:tcBorders>
                    <w:tl2br w:val="nil"/>
                    <w:tr2bl w:val="nil"/>
                  </w:tcBorders>
                  <w:shd w:val="clear" w:color="auto" w:fill="auto"/>
                  <w:noWrap w:val="0"/>
                  <w:vAlign w:val="center"/>
                </w:tcPr>
                <w:p>
                  <w:pPr>
                    <w:widowControl/>
                    <w:jc w:val="center"/>
                    <w:rPr>
                      <w:rFonts w:hint="eastAsia" w:hAnsi="宋体"/>
                      <w:color w:val="auto"/>
                      <w:kern w:val="0"/>
                      <w:sz w:val="18"/>
                      <w:szCs w:val="18"/>
                    </w:rPr>
                  </w:pPr>
                  <w:r>
                    <w:rPr>
                      <w:rFonts w:hAnsi="宋体"/>
                      <w:color w:val="auto"/>
                      <w:kern w:val="0"/>
                      <w:sz w:val="18"/>
                      <w:szCs w:val="18"/>
                    </w:rPr>
                    <w:t>正</w:t>
                  </w:r>
                </w:p>
                <w:p>
                  <w:pPr>
                    <w:widowControl/>
                    <w:jc w:val="center"/>
                    <w:rPr>
                      <w:rFonts w:hint="eastAsia" w:hAnsi="宋体"/>
                      <w:color w:val="auto"/>
                      <w:kern w:val="0"/>
                      <w:sz w:val="18"/>
                      <w:szCs w:val="18"/>
                    </w:rPr>
                  </w:pPr>
                  <w:r>
                    <w:rPr>
                      <w:rFonts w:hAnsi="宋体"/>
                      <w:color w:val="auto"/>
                      <w:kern w:val="0"/>
                      <w:sz w:val="18"/>
                      <w:szCs w:val="18"/>
                    </w:rPr>
                    <w:t>丁</w:t>
                  </w:r>
                </w:p>
                <w:p>
                  <w:pPr>
                    <w:widowControl/>
                    <w:jc w:val="center"/>
                    <w:rPr>
                      <w:color w:val="auto"/>
                      <w:kern w:val="0"/>
                      <w:sz w:val="18"/>
                      <w:szCs w:val="18"/>
                    </w:rPr>
                  </w:pPr>
                  <w:r>
                    <w:rPr>
                      <w:rFonts w:hAnsi="宋体"/>
                      <w:color w:val="auto"/>
                      <w:kern w:val="0"/>
                      <w:sz w:val="18"/>
                      <w:szCs w:val="18"/>
                    </w:rPr>
                    <w:t>烷</w:t>
                  </w:r>
                  <w:r>
                    <w:rPr>
                      <w:color w:val="auto"/>
                      <w:kern w:val="0"/>
                      <w:sz w:val="18"/>
                      <w:szCs w:val="18"/>
                    </w:rPr>
                    <w:t>(%)</w:t>
                  </w:r>
                </w:p>
              </w:tc>
              <w:tc>
                <w:tcPr>
                  <w:tcW w:w="356" w:type="pct"/>
                  <w:tcBorders>
                    <w:tl2br w:val="nil"/>
                    <w:tr2bl w:val="nil"/>
                  </w:tcBorders>
                  <w:shd w:val="clear" w:color="auto" w:fill="auto"/>
                  <w:noWrap w:val="0"/>
                  <w:vAlign w:val="center"/>
                </w:tcPr>
                <w:p>
                  <w:pPr>
                    <w:widowControl/>
                    <w:rPr>
                      <w:rFonts w:hint="eastAsia" w:hAnsi="宋体"/>
                      <w:color w:val="auto"/>
                      <w:kern w:val="0"/>
                      <w:sz w:val="18"/>
                      <w:szCs w:val="18"/>
                    </w:rPr>
                  </w:pPr>
                  <w:r>
                    <w:rPr>
                      <w:rFonts w:hAnsi="宋体"/>
                      <w:color w:val="auto"/>
                      <w:kern w:val="0"/>
                      <w:sz w:val="18"/>
                      <w:szCs w:val="18"/>
                    </w:rPr>
                    <w:t>异</w:t>
                  </w:r>
                </w:p>
                <w:p>
                  <w:pPr>
                    <w:widowControl/>
                    <w:rPr>
                      <w:rFonts w:hint="eastAsia" w:hAnsi="宋体"/>
                      <w:color w:val="auto"/>
                      <w:kern w:val="0"/>
                      <w:sz w:val="18"/>
                      <w:szCs w:val="18"/>
                    </w:rPr>
                  </w:pPr>
                  <w:r>
                    <w:rPr>
                      <w:rFonts w:hAnsi="宋体"/>
                      <w:color w:val="auto"/>
                      <w:kern w:val="0"/>
                      <w:sz w:val="18"/>
                      <w:szCs w:val="18"/>
                    </w:rPr>
                    <w:t>戊</w:t>
                  </w:r>
                </w:p>
                <w:p>
                  <w:pPr>
                    <w:widowControl/>
                    <w:rPr>
                      <w:color w:val="auto"/>
                      <w:kern w:val="0"/>
                      <w:sz w:val="18"/>
                      <w:szCs w:val="18"/>
                    </w:rPr>
                  </w:pPr>
                  <w:r>
                    <w:rPr>
                      <w:rFonts w:hAnsi="宋体"/>
                      <w:color w:val="auto"/>
                      <w:kern w:val="0"/>
                      <w:sz w:val="18"/>
                      <w:szCs w:val="18"/>
                    </w:rPr>
                    <w:t>烷</w:t>
                  </w:r>
                  <w:r>
                    <w:rPr>
                      <w:color w:val="auto"/>
                      <w:kern w:val="0"/>
                      <w:sz w:val="18"/>
                      <w:szCs w:val="18"/>
                    </w:rPr>
                    <w:t>(%)</w:t>
                  </w:r>
                </w:p>
              </w:tc>
              <w:tc>
                <w:tcPr>
                  <w:tcW w:w="356" w:type="pct"/>
                  <w:tcBorders>
                    <w:tl2br w:val="nil"/>
                    <w:tr2bl w:val="nil"/>
                  </w:tcBorders>
                  <w:shd w:val="clear" w:color="auto" w:fill="auto"/>
                  <w:noWrap w:val="0"/>
                  <w:vAlign w:val="center"/>
                </w:tcPr>
                <w:p>
                  <w:pPr>
                    <w:widowControl/>
                    <w:jc w:val="center"/>
                    <w:rPr>
                      <w:rFonts w:hint="eastAsia" w:hAnsi="宋体"/>
                      <w:color w:val="auto"/>
                      <w:kern w:val="0"/>
                      <w:sz w:val="18"/>
                      <w:szCs w:val="18"/>
                    </w:rPr>
                  </w:pPr>
                  <w:r>
                    <w:rPr>
                      <w:rFonts w:hAnsi="宋体"/>
                      <w:color w:val="auto"/>
                      <w:kern w:val="0"/>
                      <w:sz w:val="18"/>
                      <w:szCs w:val="18"/>
                    </w:rPr>
                    <w:t>正</w:t>
                  </w:r>
                </w:p>
                <w:p>
                  <w:pPr>
                    <w:widowControl/>
                    <w:jc w:val="center"/>
                    <w:rPr>
                      <w:rFonts w:hint="eastAsia" w:hAnsi="宋体"/>
                      <w:color w:val="auto"/>
                      <w:kern w:val="0"/>
                      <w:sz w:val="18"/>
                      <w:szCs w:val="18"/>
                    </w:rPr>
                  </w:pPr>
                  <w:r>
                    <w:rPr>
                      <w:rFonts w:hAnsi="宋体"/>
                      <w:color w:val="auto"/>
                      <w:kern w:val="0"/>
                      <w:sz w:val="18"/>
                      <w:szCs w:val="18"/>
                    </w:rPr>
                    <w:t>戊</w:t>
                  </w:r>
                </w:p>
                <w:p>
                  <w:pPr>
                    <w:widowControl/>
                    <w:jc w:val="center"/>
                    <w:rPr>
                      <w:color w:val="auto"/>
                      <w:kern w:val="0"/>
                      <w:sz w:val="18"/>
                      <w:szCs w:val="18"/>
                    </w:rPr>
                  </w:pPr>
                  <w:r>
                    <w:rPr>
                      <w:rFonts w:hAnsi="宋体"/>
                      <w:color w:val="auto"/>
                      <w:kern w:val="0"/>
                      <w:sz w:val="18"/>
                      <w:szCs w:val="18"/>
                    </w:rPr>
                    <w:t>烷</w:t>
                  </w:r>
                  <w:r>
                    <w:rPr>
                      <w:color w:val="auto"/>
                      <w:kern w:val="0"/>
                      <w:sz w:val="18"/>
                      <w:szCs w:val="18"/>
                    </w:rPr>
                    <w:t>(%)</w:t>
                  </w:r>
                </w:p>
              </w:tc>
              <w:tc>
                <w:tcPr>
                  <w:tcW w:w="327"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氮</w:t>
                  </w:r>
                  <w:r>
                    <w:rPr>
                      <w:color w:val="auto"/>
                      <w:kern w:val="0"/>
                      <w:sz w:val="18"/>
                      <w:szCs w:val="18"/>
                    </w:rPr>
                    <w:t>(%)</w:t>
                  </w:r>
                </w:p>
              </w:tc>
              <w:tc>
                <w:tcPr>
                  <w:tcW w:w="356"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氢</w:t>
                  </w:r>
                  <w:r>
                    <w:rPr>
                      <w:color w:val="auto"/>
                      <w:kern w:val="0"/>
                      <w:sz w:val="18"/>
                      <w:szCs w:val="18"/>
                    </w:rPr>
                    <w:t>(%)</w:t>
                  </w:r>
                </w:p>
              </w:tc>
              <w:tc>
                <w:tcPr>
                  <w:tcW w:w="358"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氦</w:t>
                  </w:r>
                  <w:r>
                    <w:rPr>
                      <w:color w:val="auto"/>
                      <w:kern w:val="0"/>
                      <w:sz w:val="18"/>
                      <w:szCs w:val="18"/>
                    </w:rPr>
                    <w:t>(%)</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硫化氢</w:t>
                  </w:r>
                  <w:r>
                    <w:rPr>
                      <w:color w:val="auto"/>
                      <w:kern w:val="0"/>
                      <w:sz w:val="18"/>
                      <w:szCs w:val="18"/>
                    </w:rPr>
                    <w:t>(mg/Nm</w:t>
                  </w:r>
                  <w:r>
                    <w:rPr>
                      <w:color w:val="auto"/>
                      <w:kern w:val="0"/>
                      <w:sz w:val="18"/>
                      <w:szCs w:val="18"/>
                      <w:vertAlign w:val="superscript"/>
                    </w:rPr>
                    <w:t>3</w:t>
                  </w:r>
                  <w:r>
                    <w:rPr>
                      <w:color w:val="auto"/>
                      <w:kern w:val="0"/>
                      <w:sz w:val="18"/>
                      <w:szCs w:val="18"/>
                    </w:rPr>
                    <w:t>)</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rFonts w:hAnsi="宋体"/>
                      <w:color w:val="auto"/>
                      <w:kern w:val="0"/>
                      <w:sz w:val="18"/>
                      <w:szCs w:val="18"/>
                    </w:rPr>
                    <w:t>总硫</w:t>
                  </w:r>
                  <w:r>
                    <w:rPr>
                      <w:color w:val="auto"/>
                      <w:kern w:val="0"/>
                      <w:sz w:val="18"/>
                      <w:szCs w:val="18"/>
                    </w:rPr>
                    <w:t>(mg/Nm</w:t>
                  </w:r>
                  <w:r>
                    <w:rPr>
                      <w:color w:val="auto"/>
                      <w:kern w:val="0"/>
                      <w:sz w:val="18"/>
                      <w:szCs w:val="18"/>
                      <w:vertAlign w:val="superscript"/>
                    </w:rPr>
                    <w:t>3</w:t>
                  </w:r>
                  <w:r>
                    <w:rPr>
                      <w:color w:val="auto"/>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93.02</w:t>
                  </w:r>
                </w:p>
              </w:tc>
              <w:tc>
                <w:tcPr>
                  <w:tcW w:w="372"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 xml:space="preserve">1.32 </w:t>
                  </w:r>
                </w:p>
              </w:tc>
              <w:tc>
                <w:tcPr>
                  <w:tcW w:w="312"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3.69</w:t>
                  </w:r>
                </w:p>
              </w:tc>
              <w:tc>
                <w:tcPr>
                  <w:tcW w:w="327"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 xml:space="preserve">0.61 </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0.09</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0.09</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0.03</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0.02</w:t>
                  </w:r>
                </w:p>
              </w:tc>
              <w:tc>
                <w:tcPr>
                  <w:tcW w:w="327"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 xml:space="preserve">1.03 </w:t>
                  </w:r>
                </w:p>
              </w:tc>
              <w:tc>
                <w:tcPr>
                  <w:tcW w:w="356"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0.31</w:t>
                  </w:r>
                </w:p>
              </w:tc>
              <w:tc>
                <w:tcPr>
                  <w:tcW w:w="358" w:type="pct"/>
                  <w:tcBorders>
                    <w:tl2br w:val="nil"/>
                    <w:tr2bl w:val="nil"/>
                  </w:tcBorders>
                  <w:shd w:val="clear" w:color="auto" w:fill="auto"/>
                  <w:noWrap w:val="0"/>
                  <w:vAlign w:val="center"/>
                </w:tcPr>
                <w:p>
                  <w:pPr>
                    <w:jc w:val="center"/>
                    <w:rPr>
                      <w:rFonts w:eastAsia="仿宋"/>
                      <w:color w:val="auto"/>
                      <w:sz w:val="18"/>
                      <w:szCs w:val="18"/>
                    </w:rPr>
                  </w:pPr>
                  <w:r>
                    <w:rPr>
                      <w:rFonts w:eastAsia="仿宋"/>
                      <w:color w:val="auto"/>
                      <w:sz w:val="18"/>
                      <w:szCs w:val="18"/>
                    </w:rPr>
                    <w:t>0.03</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color w:val="auto"/>
                      <w:kern w:val="0"/>
                      <w:sz w:val="18"/>
                      <w:szCs w:val="18"/>
                    </w:rPr>
                    <w:t>≤20</w:t>
                  </w:r>
                </w:p>
              </w:tc>
              <w:tc>
                <w:tcPr>
                  <w:tcW w:w="555" w:type="pct"/>
                  <w:tcBorders>
                    <w:tl2br w:val="nil"/>
                    <w:tr2bl w:val="nil"/>
                  </w:tcBorders>
                  <w:shd w:val="clear" w:color="auto" w:fill="auto"/>
                  <w:noWrap w:val="0"/>
                  <w:vAlign w:val="center"/>
                </w:tcPr>
                <w:p>
                  <w:pPr>
                    <w:widowControl/>
                    <w:jc w:val="center"/>
                    <w:rPr>
                      <w:color w:val="auto"/>
                      <w:kern w:val="0"/>
                      <w:sz w:val="18"/>
                      <w:szCs w:val="18"/>
                    </w:rPr>
                  </w:pPr>
                  <w:r>
                    <w:rPr>
                      <w:color w:val="auto"/>
                      <w:kern w:val="0"/>
                      <w:sz w:val="18"/>
                      <w:szCs w:val="18"/>
                    </w:rPr>
                    <w:t>≤150</w:t>
                  </w:r>
                </w:p>
              </w:tc>
            </w:tr>
          </w:tbl>
          <w:p>
            <w:pPr>
              <w:spacing w:line="360" w:lineRule="auto"/>
              <w:ind w:firstLine="472" w:firstLineChars="200"/>
              <w:rPr>
                <w:b/>
                <w:bCs/>
                <w:color w:val="auto"/>
                <w:sz w:val="24"/>
                <w:szCs w:val="24"/>
              </w:rPr>
            </w:pPr>
            <w:r>
              <w:rPr>
                <w:rFonts w:hint="eastAsia"/>
                <w:b/>
                <w:bCs/>
                <w:color w:val="auto"/>
                <w:sz w:val="24"/>
                <w:szCs w:val="24"/>
              </w:rPr>
              <w:t>6</w:t>
            </w:r>
            <w:r>
              <w:rPr>
                <w:b/>
                <w:bCs/>
                <w:color w:val="auto"/>
                <w:sz w:val="24"/>
                <w:szCs w:val="24"/>
              </w:rPr>
              <w:t>、劳动定员及工作制度</w:t>
            </w:r>
          </w:p>
          <w:p>
            <w:pPr>
              <w:spacing w:line="360" w:lineRule="auto"/>
              <w:ind w:firstLine="472" w:firstLineChars="200"/>
              <w:rPr>
                <w:color w:val="auto"/>
                <w:sz w:val="24"/>
                <w:szCs w:val="24"/>
              </w:rPr>
            </w:pPr>
            <w:r>
              <w:rPr>
                <w:rFonts w:hint="eastAsia"/>
                <w:color w:val="auto"/>
                <w:sz w:val="24"/>
                <w:szCs w:val="24"/>
              </w:rPr>
              <w:t>本项目劳动定员65人，每班8小时，全年工作日300天。</w:t>
            </w:r>
          </w:p>
          <w:p>
            <w:pPr>
              <w:spacing w:line="360" w:lineRule="auto"/>
              <w:ind w:firstLine="472" w:firstLineChars="200"/>
              <w:rPr>
                <w:b/>
                <w:bCs/>
                <w:color w:val="auto"/>
                <w:sz w:val="24"/>
                <w:szCs w:val="24"/>
              </w:rPr>
            </w:pPr>
            <w:r>
              <w:rPr>
                <w:rFonts w:hint="eastAsia"/>
                <w:b/>
                <w:bCs/>
                <w:color w:val="auto"/>
                <w:sz w:val="24"/>
                <w:szCs w:val="24"/>
              </w:rPr>
              <w:t>7</w:t>
            </w:r>
            <w:r>
              <w:rPr>
                <w:b/>
                <w:bCs/>
                <w:color w:val="auto"/>
                <w:sz w:val="24"/>
                <w:szCs w:val="24"/>
              </w:rPr>
              <w:t>、平面布置</w:t>
            </w:r>
          </w:p>
          <w:p>
            <w:pPr>
              <w:spacing w:line="360" w:lineRule="auto"/>
              <w:ind w:firstLine="472" w:firstLineChars="200"/>
              <w:rPr>
                <w:color w:val="auto"/>
              </w:rPr>
            </w:pPr>
            <w:r>
              <w:rPr>
                <w:color w:val="auto"/>
                <w:sz w:val="24"/>
                <w:szCs w:val="24"/>
              </w:rPr>
              <w:t>项目在满足生产工艺流程的前提下，考虑运输、安全等各方面要求，按各种设施不同功能进行分区和组合，</w:t>
            </w:r>
            <w:r>
              <w:rPr>
                <w:rFonts w:hint="eastAsia"/>
                <w:color w:val="auto"/>
                <w:sz w:val="24"/>
                <w:szCs w:val="24"/>
              </w:rPr>
              <w:t>本次在租赁C厂区内2栋厂房位于厂区北部，办公楼和研究中心位于厂区南侧。</w:t>
            </w:r>
            <w:r>
              <w:rPr>
                <w:color w:val="auto"/>
                <w:sz w:val="24"/>
                <w:szCs w:val="24"/>
              </w:rPr>
              <w:t>项目平面布置图见附图3。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Align w:val="center"/>
          </w:tcPr>
          <w:p>
            <w:pPr>
              <w:pStyle w:val="24"/>
              <w:jc w:val="center"/>
              <w:rPr>
                <w:color w:val="auto"/>
              </w:rPr>
            </w:pPr>
            <w:r>
              <w:rPr>
                <w:rFonts w:hint="eastAsia"/>
                <w:color w:val="auto"/>
              </w:rPr>
              <w:t>工艺流程和产排污环节</w:t>
            </w:r>
          </w:p>
        </w:tc>
        <w:tc>
          <w:tcPr>
            <w:tcW w:w="9044" w:type="dxa"/>
            <w:vAlign w:val="center"/>
          </w:tcPr>
          <w:p>
            <w:pPr>
              <w:tabs>
                <w:tab w:val="left" w:pos="9585"/>
              </w:tabs>
              <w:spacing w:before="190" w:beforeLines="50" w:line="360" w:lineRule="auto"/>
              <w:rPr>
                <w:rFonts w:hAnsiTheme="minorEastAsia" w:eastAsiaTheme="minorEastAsia"/>
                <w:b/>
                <w:bCs/>
                <w:color w:val="auto"/>
                <w:sz w:val="24"/>
                <w:szCs w:val="24"/>
              </w:rPr>
            </w:pPr>
            <w:r>
              <w:rPr>
                <w:rFonts w:hAnsiTheme="minorEastAsia" w:eastAsiaTheme="minorEastAsia"/>
                <w:b/>
                <w:bCs/>
                <w:color w:val="auto"/>
                <w:sz w:val="24"/>
                <w:szCs w:val="24"/>
              </w:rPr>
              <w:t>工艺流程</w:t>
            </w:r>
            <w:r>
              <w:rPr>
                <w:rFonts w:eastAsiaTheme="minorEastAsia"/>
                <w:b/>
                <w:bCs/>
                <w:color w:val="auto"/>
                <w:sz w:val="24"/>
                <w:szCs w:val="24"/>
              </w:rPr>
              <w:t>(</w:t>
            </w:r>
            <w:r>
              <w:rPr>
                <w:rFonts w:hAnsiTheme="minorEastAsia" w:eastAsiaTheme="minorEastAsia"/>
                <w:b/>
                <w:bCs/>
                <w:color w:val="auto"/>
                <w:sz w:val="24"/>
                <w:szCs w:val="24"/>
              </w:rPr>
              <w:t>图示</w:t>
            </w:r>
            <w:r>
              <w:rPr>
                <w:rFonts w:eastAsiaTheme="minorEastAsia"/>
                <w:b/>
                <w:bCs/>
                <w:color w:val="auto"/>
                <w:sz w:val="24"/>
                <w:szCs w:val="24"/>
              </w:rPr>
              <w:t>)</w:t>
            </w:r>
            <w:r>
              <w:rPr>
                <w:rFonts w:hAnsiTheme="minorEastAsia" w:eastAsiaTheme="minorEastAsia"/>
                <w:b/>
                <w:bCs/>
                <w:color w:val="auto"/>
                <w:sz w:val="24"/>
                <w:szCs w:val="24"/>
              </w:rPr>
              <w:t>：</w:t>
            </w:r>
          </w:p>
          <w:p>
            <w:pPr>
              <w:spacing w:line="360" w:lineRule="auto"/>
              <w:rPr>
                <w:b/>
                <w:bCs/>
                <w:color w:val="auto"/>
                <w:sz w:val="24"/>
                <w:szCs w:val="24"/>
              </w:rPr>
            </w:pPr>
            <w:r>
              <w:rPr>
                <w:rFonts w:hint="eastAsia"/>
                <w:b/>
                <w:bCs/>
                <w:color w:val="auto"/>
                <w:sz w:val="24"/>
                <w:szCs w:val="24"/>
              </w:rPr>
              <w:t>一、施工期</w:t>
            </w:r>
          </w:p>
          <w:p>
            <w:pPr>
              <w:spacing w:line="360" w:lineRule="auto"/>
              <w:ind w:firstLine="472" w:firstLineChars="200"/>
              <w:rPr>
                <w:rFonts w:hint="eastAsia"/>
                <w:color w:val="auto"/>
                <w:sz w:val="24"/>
                <w:szCs w:val="24"/>
              </w:rPr>
            </w:pPr>
            <w:r>
              <w:rPr>
                <w:rFonts w:hint="eastAsia"/>
                <w:color w:val="auto"/>
                <w:sz w:val="24"/>
                <w:szCs w:val="24"/>
              </w:rPr>
              <w:t>本项目利用已建成厂房用作生产场地，施工期间的主要内容为车间内的分区布置、设备安装、一体化污水处理设施的土建施工和危废间的地面防渗改造，具体的施工工艺流程图见图2。</w:t>
            </w:r>
          </w:p>
          <w:p>
            <w:pPr>
              <w:spacing w:line="420" w:lineRule="exact"/>
              <w:jc w:val="left"/>
              <w:rPr>
                <w:rFonts w:hAnsi="宋体"/>
                <w:color w:val="auto"/>
                <w:sz w:val="24"/>
              </w:rPr>
            </w:pPr>
            <w:r>
              <w:rPr>
                <w:b/>
                <w:color w:val="auto"/>
                <w:sz w:val="28"/>
              </w:rPr>
              <mc:AlternateContent>
                <mc:Choice Requires="wpg">
                  <w:drawing>
                    <wp:anchor distT="0" distB="0" distL="114300" distR="114300" simplePos="0" relativeHeight="251663360" behindDoc="0" locked="0" layoutInCell="1" allowOverlap="1">
                      <wp:simplePos x="0" y="0"/>
                      <wp:positionH relativeFrom="column">
                        <wp:posOffset>437515</wp:posOffset>
                      </wp:positionH>
                      <wp:positionV relativeFrom="paragraph">
                        <wp:posOffset>46355</wp:posOffset>
                      </wp:positionV>
                      <wp:extent cx="4899025" cy="1427480"/>
                      <wp:effectExtent l="4445" t="5080" r="11430" b="15240"/>
                      <wp:wrapNone/>
                      <wp:docPr id="6" name="组合 6"/>
                      <wp:cNvGraphicFramePr/>
                      <a:graphic xmlns:a="http://schemas.openxmlformats.org/drawingml/2006/main">
                        <a:graphicData uri="http://schemas.microsoft.com/office/word/2010/wordprocessingGroup">
                          <wpg:wgp>
                            <wpg:cNvGrpSpPr/>
                            <wpg:grpSpPr>
                              <a:xfrm>
                                <a:off x="0" y="0"/>
                                <a:ext cx="4899025" cy="1427529"/>
                                <a:chOff x="1701" y="3683"/>
                                <a:chExt cx="8430" cy="2412"/>
                              </a:xfrm>
                            </wpg:grpSpPr>
                            <wps:wsp>
                              <wps:cNvPr id="37" name="矩形 37"/>
                              <wps:cNvSpPr/>
                              <wps:spPr>
                                <a:xfrm>
                                  <a:off x="3643" y="5009"/>
                                  <a:ext cx="1724" cy="10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szCs w:val="21"/>
                                      </w:rPr>
                                      <w:t>地面防渗改造、污水处理站施工</w:t>
                                    </w:r>
                                  </w:p>
                                </w:txbxContent>
                              </wps:txbx>
                              <wps:bodyPr upright="true"/>
                            </wps:wsp>
                            <wps:wsp>
                              <wps:cNvPr id="7" name="矩形 38"/>
                              <wps:cNvSpPr/>
                              <wps:spPr>
                                <a:xfrm>
                                  <a:off x="6434"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Cs w:val="21"/>
                                      </w:rPr>
                                    </w:pPr>
                                    <w:r>
                                      <w:rPr>
                                        <w:rFonts w:hint="eastAsia"/>
                                        <w:szCs w:val="21"/>
                                      </w:rPr>
                                      <w:t>设备安装</w:t>
                                    </w:r>
                                  </w:p>
                                </w:txbxContent>
                              </wps:txbx>
                              <wps:bodyPr upright="true"/>
                            </wps:wsp>
                            <wps:wsp>
                              <wps:cNvPr id="39" name="直接连接符 39"/>
                              <wps:cNvCnPr/>
                              <wps:spPr>
                                <a:xfrm flipV="true">
                                  <a:off x="4458" y="4398"/>
                                  <a:ext cx="0" cy="585"/>
                                </a:xfrm>
                                <a:prstGeom prst="line">
                                  <a:avLst/>
                                </a:prstGeom>
                                <a:ln w="9525" cap="flat" cmpd="sng">
                                  <a:solidFill>
                                    <a:srgbClr val="000000"/>
                                  </a:solidFill>
                                  <a:prstDash val="dash"/>
                                  <a:headEnd type="none" w="med" len="med"/>
                                  <a:tailEnd type="none" w="med" len="med"/>
                                </a:ln>
                              </wps:spPr>
                              <wps:bodyPr/>
                            </wps:wsp>
                            <wps:wsp>
                              <wps:cNvPr id="8" name="直接连接符 40"/>
                              <wps:cNvCnPr/>
                              <wps:spPr>
                                <a:xfrm>
                                  <a:off x="4509" y="4424"/>
                                  <a:ext cx="2776" cy="0"/>
                                </a:xfrm>
                                <a:prstGeom prst="line">
                                  <a:avLst/>
                                </a:prstGeom>
                                <a:ln w="9525" cap="flat" cmpd="sng">
                                  <a:solidFill>
                                    <a:srgbClr val="000000"/>
                                  </a:solidFill>
                                  <a:prstDash val="dash"/>
                                  <a:headEnd type="none" w="med" len="med"/>
                                  <a:tailEnd type="none" w="med" len="med"/>
                                </a:ln>
                              </wps:spPr>
                              <wps:bodyPr/>
                            </wps:wsp>
                            <wps:wsp>
                              <wps:cNvPr id="9" name="直接连接符 41"/>
                              <wps:cNvCnPr/>
                              <wps:spPr>
                                <a:xfrm flipV="true">
                                  <a:off x="7307" y="4424"/>
                                  <a:ext cx="0" cy="585"/>
                                </a:xfrm>
                                <a:prstGeom prst="line">
                                  <a:avLst/>
                                </a:prstGeom>
                                <a:ln w="9525" cap="flat" cmpd="sng">
                                  <a:solidFill>
                                    <a:srgbClr val="000000"/>
                                  </a:solidFill>
                                  <a:prstDash val="dash"/>
                                  <a:headEnd type="none" w="med" len="med"/>
                                  <a:tailEnd type="none" w="med" len="med"/>
                                </a:ln>
                              </wps:spPr>
                              <wps:bodyPr/>
                            </wps:wsp>
                            <wps:wsp>
                              <wps:cNvPr id="10" name="矩形 42"/>
                              <wps:cNvSpPr/>
                              <wps:spPr>
                                <a:xfrm>
                                  <a:off x="1701" y="4979"/>
                                  <a:ext cx="1320"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p>
                                  <w:p>
                                    <w:pPr>
                                      <w:spacing w:line="240" w:lineRule="exact"/>
                                      <w:jc w:val="center"/>
                                      <w:rPr>
                                        <w:szCs w:val="21"/>
                                      </w:rPr>
                                    </w:pPr>
                                    <w:r>
                                      <w:rPr>
                                        <w:rFonts w:hint="eastAsia"/>
                                        <w:szCs w:val="21"/>
                                      </w:rPr>
                                      <w:t>分区布置</w:t>
                                    </w:r>
                                  </w:p>
                                  <w:p>
                                    <w:pPr>
                                      <w:spacing w:line="240" w:lineRule="exact"/>
                                      <w:jc w:val="center"/>
                                    </w:pPr>
                                  </w:p>
                                </w:txbxContent>
                              </wps:txbx>
                              <wps:bodyPr lIns="0" tIns="0" rIns="0" bIns="0" upright="true"/>
                            </wps:wsp>
                            <wps:wsp>
                              <wps:cNvPr id="11" name="直接连接符 43"/>
                              <wps:cNvCnPr/>
                              <wps:spPr>
                                <a:xfrm>
                                  <a:off x="3017" y="5294"/>
                                  <a:ext cx="630" cy="0"/>
                                </a:xfrm>
                                <a:prstGeom prst="line">
                                  <a:avLst/>
                                </a:prstGeom>
                                <a:ln w="9525" cap="flat" cmpd="sng">
                                  <a:solidFill>
                                    <a:srgbClr val="000000"/>
                                  </a:solidFill>
                                  <a:prstDash val="solid"/>
                                  <a:headEnd type="none" w="med" len="med"/>
                                  <a:tailEnd type="triangle" w="med" len="med"/>
                                </a:ln>
                              </wps:spPr>
                              <wps:bodyPr/>
                            </wps:wsp>
                            <wps:wsp>
                              <wps:cNvPr id="12" name="直接连接符 44"/>
                              <wps:cNvCnPr/>
                              <wps:spPr>
                                <a:xfrm>
                                  <a:off x="8199" y="5309"/>
                                  <a:ext cx="630" cy="0"/>
                                </a:xfrm>
                                <a:prstGeom prst="line">
                                  <a:avLst/>
                                </a:prstGeom>
                                <a:ln w="9525" cap="flat" cmpd="sng">
                                  <a:solidFill>
                                    <a:srgbClr val="000000"/>
                                  </a:solidFill>
                                  <a:prstDash val="solid"/>
                                  <a:headEnd type="none" w="med" len="med"/>
                                  <a:tailEnd type="triangle" w="med" len="med"/>
                                </a:ln>
                              </wps:spPr>
                              <wps:bodyPr/>
                            </wps:wsp>
                            <wps:wsp>
                              <wps:cNvPr id="13" name="矩形 45"/>
                              <wps:cNvSpPr/>
                              <wps:spPr>
                                <a:xfrm>
                                  <a:off x="8811" y="4934"/>
                                  <a:ext cx="1320"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szCs w:val="21"/>
                                      </w:rPr>
                                      <w:t>施工人员及设备出场</w:t>
                                    </w:r>
                                  </w:p>
                                </w:txbxContent>
                              </wps:txbx>
                              <wps:bodyPr lIns="0" tIns="0" rIns="0" bIns="0" upright="true"/>
                            </wps:wsp>
                            <wps:wsp>
                              <wps:cNvPr id="14" name="直接连接符 46"/>
                              <wps:cNvCnPr/>
                              <wps:spPr>
                                <a:xfrm>
                                  <a:off x="5425" y="5309"/>
                                  <a:ext cx="960" cy="0"/>
                                </a:xfrm>
                                <a:prstGeom prst="line">
                                  <a:avLst/>
                                </a:prstGeom>
                                <a:ln w="9525" cap="flat" cmpd="sng">
                                  <a:solidFill>
                                    <a:srgbClr val="000000"/>
                                  </a:solidFill>
                                  <a:prstDash val="solid"/>
                                  <a:headEnd type="none" w="med" len="med"/>
                                  <a:tailEnd type="triangle" w="med" len="med"/>
                                </a:ln>
                              </wps:spPr>
                              <wps:bodyPr/>
                            </wps:wsp>
                            <wps:wsp>
                              <wps:cNvPr id="15" name="直接连接符 47"/>
                              <wps:cNvCnPr/>
                              <wps:spPr>
                                <a:xfrm flipV="true">
                                  <a:off x="5889" y="4094"/>
                                  <a:ext cx="0" cy="315"/>
                                </a:xfrm>
                                <a:prstGeom prst="line">
                                  <a:avLst/>
                                </a:prstGeom>
                                <a:ln w="9525" cap="flat" cmpd="sng">
                                  <a:solidFill>
                                    <a:srgbClr val="000000"/>
                                  </a:solidFill>
                                  <a:prstDash val="dash"/>
                                  <a:headEnd type="none" w="med" len="med"/>
                                  <a:tailEnd type="triangle" w="med" len="med"/>
                                </a:ln>
                              </wps:spPr>
                              <wps:bodyPr/>
                            </wps:wsp>
                            <wps:wsp>
                              <wps:cNvPr id="16" name="矩形 48"/>
                              <wps:cNvSpPr/>
                              <wps:spPr>
                                <a:xfrm>
                                  <a:off x="4039" y="3683"/>
                                  <a:ext cx="3704" cy="435"/>
                                </a:xfrm>
                                <a:prstGeom prst="rect">
                                  <a:avLst/>
                                </a:prstGeom>
                                <a:noFill/>
                                <a:ln w="9525" cap="flat" cmpd="sng">
                                  <a:solidFill>
                                    <a:srgbClr val="000000"/>
                                  </a:solidFill>
                                  <a:prstDash val="dash"/>
                                  <a:miter/>
                                  <a:headEnd type="none" w="med" len="med"/>
                                  <a:tailEnd type="none" w="med" len="med"/>
                                </a:ln>
                              </wps:spPr>
                              <wps:txbx>
                                <w:txbxContent>
                                  <w:p>
                                    <w:pPr>
                                      <w:jc w:val="center"/>
                                      <w:rPr>
                                        <w:szCs w:val="21"/>
                                      </w:rPr>
                                    </w:pPr>
                                    <w:r>
                                      <w:rPr>
                                        <w:rFonts w:hint="eastAsia"/>
                                        <w:szCs w:val="21"/>
                                      </w:rPr>
                                      <w:t>废气、废水、固废</w:t>
                                    </w:r>
                                  </w:p>
                                </w:txbxContent>
                              </wps:txbx>
                              <wps:bodyPr lIns="0" tIns="0" rIns="0" bIns="0" upright="true"/>
                            </wps:wsp>
                          </wpg:wgp>
                        </a:graphicData>
                      </a:graphic>
                    </wp:anchor>
                  </w:drawing>
                </mc:Choice>
                <mc:Fallback>
                  <w:pict>
                    <v:group id="_x0000_s1026" o:spid="_x0000_s1026" o:spt="203" style="position:absolute;left:0pt;margin-left:34.45pt;margin-top:3.65pt;height:112.4pt;width:385.75pt;z-index:251663360;mso-width-relative:page;mso-height-relative:page;" coordorigin="1701,3683" coordsize="8430,2412" o:gfxdata="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">
                      <o:lock v:ext="edit" aspectratio="f"/>
                      <v:rect id="_x0000_s1026" o:spid="_x0000_s1026" o:spt="1" style="position:absolute;left:3643;top:5009;height:1086;width:1724;" fillcolor="#FFFFFF" filled="t" stroked="t" coordsize="21600,21600" o:gfxdata="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wNqF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40" w:lineRule="exact"/>
                                <w:jc w:val="center"/>
                                <w:rPr>
                                  <w:szCs w:val="21"/>
                                </w:rPr>
                              </w:pPr>
                              <w:r>
                                <w:rPr>
                                  <w:rFonts w:hint="eastAsia"/>
                                  <w:szCs w:val="21"/>
                                </w:rPr>
                                <w:t>地面防渗改造、污水处理站施工</w:t>
                              </w:r>
                            </w:p>
                          </w:txbxContent>
                        </v:textbox>
                      </v:rect>
                      <v:rect id="矩形 38" o:spid="_x0000_s1026" o:spt="1" style="position:absolute;left:6434;top:5009;height:585;width:1724;" fillcolor="#FFFFFF" filled="t" stroked="t" coordsize="21600,21600" o:gfxdata="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Whp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260" w:lineRule="exact"/>
                                <w:jc w:val="center"/>
                                <w:rPr>
                                  <w:szCs w:val="21"/>
                                </w:rPr>
                              </w:pPr>
                              <w:r>
                                <w:rPr>
                                  <w:rFonts w:hint="eastAsia"/>
                                  <w:szCs w:val="21"/>
                                </w:rPr>
                                <w:t>设备安装</w:t>
                              </w:r>
                            </w:p>
                          </w:txbxContent>
                        </v:textbox>
                      </v:rect>
                      <v:line id="_x0000_s1026" o:spid="_x0000_s1026" o:spt="20" style="position:absolute;left:4458;top:4398;flip:y;height:585;width:0;" filled="f" stroked="t" coordsize="21600,21600" o:gfxdata="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&#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T/anxuQAAANsAAAAPAAAAAAAAAAEAIAAAADgAAABkcnMvZG93bnJldi54bWxQ&#10;SwECFAAUAAAACACHTuJAMy8FnjsAAAA5AAAAEAAAAAAAAAABACAAAAAeAQAAZHJzL3NoYXBleG1s&#10;LnhtbFBLBQYAAAAABgAGAFsBAADIAwAAAAA=&#10;">
                        <v:fill on="f" focussize="0,0"/>
                        <v:stroke color="#000000" joinstyle="round" dashstyle="dash"/>
                        <v:imagedata o:title=""/>
                        <o:lock v:ext="edit" aspectratio="f"/>
                      </v:line>
                      <v:line id="直接连接符 40" o:spid="_x0000_s1026" o:spt="20" style="position:absolute;left:4509;top:4424;height:0;width:2776;" filled="f" stroked="t" coordsize="21600,21600" o:gfxdata="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7Yc/G4AAAA2gAAAA8AAAAAAAAAAQAgAAAAOAAAAGRycy9kb3ducmV2LnhtbFBL&#10;AQIUABQAAAAIAIdO4kAzLwWeOwAAADkAAAAQAAAAAAAAAAEAIAAAAB0BAABkcnMvc2hhcGV4bWwu&#10;eG1sUEsFBgAAAAAGAAYAWwEAAMcDAAAAAA==&#10;">
                        <v:fill on="f" focussize="0,0"/>
                        <v:stroke color="#000000" joinstyle="round" dashstyle="dash"/>
                        <v:imagedata o:title=""/>
                        <o:lock v:ext="edit" aspectratio="f"/>
                      </v:line>
                      <v:line id="直接连接符 41" o:spid="_x0000_s1026" o:spt="20" style="position:absolute;left:7307;top:4424;flip:y;height:585;width:0;" filled="f" stroked="t" coordsize="21600,21600" o:gfxdata="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jNQnfuQAAANoAAAAPAAAAAAAAAAEAIAAAADgAAABkcnMvZG93bnJldi54bWxQ&#10;SwECFAAUAAAACACHTuJAMy8FnjsAAAA5AAAAEAAAAAAAAAABACAAAAAeAQAAZHJzL3NoYXBleG1s&#10;LnhtbFBLBQYAAAAABgAGAFsBAADIAwAAAAA=&#10;">
                        <v:fill on="f" focussize="0,0"/>
                        <v:stroke color="#000000" joinstyle="round" dashstyle="dash"/>
                        <v:imagedata o:title=""/>
                        <o:lock v:ext="edit" aspectratio="f"/>
                      </v:line>
                      <v:rect id="矩形 42" o:spid="_x0000_s1026" o:spt="1" style="position:absolute;left:1701;top:4979;height:661;width:1320;" fillcolor="#FFFFFF" filled="t" stroked="t" coordsize="21600,21600" o:gfxdata="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EIkP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0mm,0mm,0mm,0mm">
                          <w:txbxContent>
                            <w:p>
                              <w:pPr>
                                <w:spacing w:line="240" w:lineRule="exact"/>
                                <w:jc w:val="center"/>
                                <w:rPr>
                                  <w:szCs w:val="21"/>
                                </w:rPr>
                              </w:pPr>
                            </w:p>
                            <w:p>
                              <w:pPr>
                                <w:spacing w:line="240" w:lineRule="exact"/>
                                <w:jc w:val="center"/>
                                <w:rPr>
                                  <w:szCs w:val="21"/>
                                </w:rPr>
                              </w:pPr>
                              <w:r>
                                <w:rPr>
                                  <w:rFonts w:hint="eastAsia"/>
                                  <w:szCs w:val="21"/>
                                </w:rPr>
                                <w:t>分区布置</w:t>
                              </w:r>
                            </w:p>
                            <w:p>
                              <w:pPr>
                                <w:spacing w:line="240" w:lineRule="exact"/>
                                <w:jc w:val="center"/>
                              </w:pPr>
                            </w:p>
                          </w:txbxContent>
                        </v:textbox>
                      </v:rect>
                      <v:line id="直接连接符 43" o:spid="_x0000_s1026" o:spt="20" style="position:absolute;left:3017;top:5294;height:0;width:630;" filled="f" stroked="t" coordsize="21600,21600" o:gfxdata="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uVZML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接连接符 44" o:spid="_x0000_s1026" o:spt="20" style="position:absolute;left:8199;top:5309;height:0;width:630;" filled="f" stroked="t" coordsize="21600,21600" o:gfxdata="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Y3x0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rect id="矩形 45" o:spid="_x0000_s1026" o:spt="1" style="position:absolute;left:8811;top:4934;height:676;width:1320;" fillcolor="#FFFFFF" filled="t" stroked="t" coordsize="21600,21600" o:gfxdata="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2g6N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inset="0mm,0mm,0mm,0mm">
                          <w:txbxContent>
                            <w:p>
                              <w:pPr>
                                <w:spacing w:line="260" w:lineRule="exact"/>
                                <w:jc w:val="center"/>
                              </w:pPr>
                              <w:r>
                                <w:rPr>
                                  <w:rFonts w:hint="eastAsia"/>
                                  <w:szCs w:val="21"/>
                                </w:rPr>
                                <w:t>施工人员及设备出场</w:t>
                              </w:r>
                            </w:p>
                          </w:txbxContent>
                        </v:textbox>
                      </v:rect>
                      <v:line id="直接连接符 46" o:spid="_x0000_s1026" o:spt="20" style="position:absolute;left:5425;top:5309;height:0;width:960;" filled="f" stroked="t" coordsize="21600,21600" o:gfxdata="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kvq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47" o:spid="_x0000_s1026" o:spt="20" style="position:absolute;left:5889;top:4094;flip:y;height:315;width:0;" filled="f" stroked="t" coordsize="21600,21600" o:gfxdata="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ozZrK4AAAA2wAAAA8AAAAAAAAAAQAgAAAAOAAAAGRycy9kb3ducmV2LnhtbFBL&#10;AQIUABQAAAAIAIdO4kAzLwWeOwAAADkAAAAQAAAAAAAAAAEAIAAAAB0BAABkcnMvc2hhcGV4bWwu&#10;eG1sUEsFBgAAAAAGAAYAWwEAAMcDAAAAAA==&#10;">
                        <v:fill on="f" focussize="0,0"/>
                        <v:stroke color="#000000" joinstyle="round" dashstyle="dash" endarrow="block"/>
                        <v:imagedata o:title=""/>
                        <o:lock v:ext="edit" aspectratio="f"/>
                      </v:line>
                      <v:rect id="矩形 48" o:spid="_x0000_s1026" o:spt="1" style="position:absolute;left:4039;top:3683;height:435;width:3704;" filled="f" stroked="t" coordsize="21600,21600" o:gfxdata="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JuISmbcAAADbAAAADwAAAAAAAAABACAAAAA4AAAAZHJzL2Rvd25yZXYueG1sUEsB&#10;AhQAFAAAAAgAh07iQDMvBZ47AAAAOQAAABAAAAAAAAAAAQAgAAAAHAEAAGRycy9zaGFwZXhtbC54&#10;bWxQSwUGAAAAAAYABgBbAQAAxgMAAAAA&#10;">
                        <v:fill on="f" focussize="0,0"/>
                        <v:stroke color="#000000" joinstyle="miter" dashstyle="dash"/>
                        <v:imagedata o:title=""/>
                        <o:lock v:ext="edit" aspectratio="f"/>
                        <v:textbox inset="0mm,0mm,0mm,0mm">
                          <w:txbxContent>
                            <w:p>
                              <w:pPr>
                                <w:jc w:val="center"/>
                                <w:rPr>
                                  <w:szCs w:val="21"/>
                                </w:rPr>
                              </w:pPr>
                              <w:r>
                                <w:rPr>
                                  <w:rFonts w:hint="eastAsia"/>
                                  <w:szCs w:val="21"/>
                                </w:rPr>
                                <w:t>废气、废水、固废</w:t>
                              </w:r>
                            </w:p>
                          </w:txbxContent>
                        </v:textbox>
                      </v:rect>
                    </v:group>
                  </w:pict>
                </mc:Fallback>
              </mc:AlternateContent>
            </w:r>
          </w:p>
          <w:p>
            <w:pPr>
              <w:spacing w:line="360" w:lineRule="auto"/>
              <w:ind w:firstLine="472" w:firstLineChars="200"/>
              <w:rPr>
                <w:rFonts w:hAnsi="宋体"/>
                <w:color w:val="auto"/>
                <w:sz w:val="24"/>
              </w:rPr>
            </w:pPr>
          </w:p>
          <w:p>
            <w:pPr>
              <w:spacing w:line="360" w:lineRule="auto"/>
              <w:ind w:firstLine="472" w:firstLineChars="200"/>
              <w:rPr>
                <w:rFonts w:hAnsi="宋体"/>
                <w:color w:val="auto"/>
                <w:sz w:val="24"/>
              </w:rPr>
            </w:pPr>
          </w:p>
          <w:p>
            <w:pPr>
              <w:tabs>
                <w:tab w:val="left" w:pos="3225"/>
              </w:tabs>
              <w:spacing w:line="360" w:lineRule="auto"/>
              <w:rPr>
                <w:rFonts w:asciiTheme="minorEastAsia" w:hAnsiTheme="minorEastAsia" w:eastAsiaTheme="minorEastAsia"/>
                <w:b/>
                <w:color w:val="auto"/>
                <w:sz w:val="24"/>
              </w:rPr>
            </w:pPr>
          </w:p>
          <w:p>
            <w:pPr>
              <w:tabs>
                <w:tab w:val="left" w:pos="3225"/>
              </w:tabs>
              <w:spacing w:line="360" w:lineRule="auto"/>
              <w:jc w:val="center"/>
              <w:rPr>
                <w:rFonts w:asciiTheme="minorEastAsia" w:hAnsiTheme="minorEastAsia" w:eastAsiaTheme="minorEastAsia"/>
                <w:b/>
                <w:color w:val="auto"/>
                <w:sz w:val="24"/>
              </w:rPr>
            </w:pPr>
          </w:p>
          <w:p>
            <w:pPr>
              <w:tabs>
                <w:tab w:val="left" w:pos="3225"/>
              </w:tabs>
              <w:spacing w:line="360" w:lineRule="auto"/>
              <w:jc w:val="center"/>
              <w:rPr>
                <w:rFonts w:eastAsiaTheme="minorEastAsia"/>
                <w:b/>
                <w:bCs/>
                <w:color w:val="auto"/>
              </w:rPr>
            </w:pPr>
            <w:r>
              <w:rPr>
                <w:rFonts w:asciiTheme="minorEastAsia" w:hAnsiTheme="minorEastAsia" w:eastAsiaTheme="minorEastAsia"/>
                <w:b/>
                <w:color w:val="auto"/>
                <w:sz w:val="24"/>
              </w:rPr>
              <w:t>图</w:t>
            </w:r>
            <w:r>
              <w:rPr>
                <w:rFonts w:hint="eastAsia" w:asciiTheme="minorEastAsia" w:hAnsiTheme="minorEastAsia" w:eastAsiaTheme="minorEastAsia"/>
                <w:b/>
                <w:color w:val="auto"/>
                <w:sz w:val="24"/>
              </w:rPr>
              <w:t>2-4</w:t>
            </w:r>
            <w:r>
              <w:rPr>
                <w:rFonts w:asciiTheme="minorEastAsia" w:hAnsiTheme="minorEastAsia" w:eastAsiaTheme="minorEastAsia"/>
                <w:b/>
                <w:color w:val="auto"/>
                <w:sz w:val="24"/>
              </w:rPr>
              <w:t xml:space="preserve"> 施工期工艺</w:t>
            </w:r>
            <w:r>
              <w:rPr>
                <w:rFonts w:asciiTheme="minorEastAsia" w:hAnsiTheme="minorEastAsia" w:eastAsiaTheme="minorEastAsia"/>
                <w:b/>
                <w:color w:val="auto"/>
                <w:spacing w:val="12"/>
                <w:sz w:val="24"/>
              </w:rPr>
              <w:t>流程及产污环节图</w:t>
            </w:r>
          </w:p>
          <w:p>
            <w:pPr>
              <w:spacing w:line="360" w:lineRule="auto"/>
              <w:ind w:firstLine="472" w:firstLineChars="200"/>
              <w:rPr>
                <w:color w:val="auto"/>
                <w:sz w:val="24"/>
                <w:szCs w:val="24"/>
              </w:rPr>
            </w:pPr>
            <w:r>
              <w:rPr>
                <w:rFonts w:hint="eastAsia"/>
                <w:color w:val="auto"/>
                <w:sz w:val="24"/>
                <w:szCs w:val="24"/>
              </w:rPr>
              <w:t>施工期污染如下：</w:t>
            </w:r>
          </w:p>
          <w:p>
            <w:pPr>
              <w:spacing w:line="360" w:lineRule="auto"/>
              <w:ind w:firstLine="472" w:firstLineChars="200"/>
              <w:rPr>
                <w:color w:val="auto"/>
                <w:sz w:val="24"/>
                <w:szCs w:val="24"/>
              </w:rPr>
            </w:pPr>
            <w:r>
              <w:rPr>
                <w:rFonts w:hint="eastAsia"/>
                <w:color w:val="auto"/>
                <w:sz w:val="24"/>
                <w:szCs w:val="24"/>
              </w:rPr>
              <w:t>（1）废气：施工期大气污染源主要为施工产生的扬尘；</w:t>
            </w:r>
          </w:p>
          <w:p>
            <w:pPr>
              <w:spacing w:line="360" w:lineRule="auto"/>
              <w:ind w:firstLine="472" w:firstLineChars="200"/>
              <w:rPr>
                <w:color w:val="auto"/>
                <w:sz w:val="24"/>
                <w:szCs w:val="24"/>
              </w:rPr>
            </w:pPr>
            <w:r>
              <w:rPr>
                <w:rFonts w:hint="eastAsia"/>
                <w:color w:val="auto"/>
                <w:sz w:val="24"/>
                <w:szCs w:val="24"/>
              </w:rPr>
              <w:t>（2）废水：施工期废水主要为施工人员生活污水；</w:t>
            </w:r>
          </w:p>
          <w:p>
            <w:pPr>
              <w:spacing w:line="360" w:lineRule="auto"/>
              <w:ind w:firstLine="472" w:firstLineChars="200"/>
              <w:rPr>
                <w:color w:val="auto"/>
                <w:sz w:val="24"/>
                <w:szCs w:val="24"/>
              </w:rPr>
            </w:pPr>
            <w:r>
              <w:rPr>
                <w:rFonts w:hint="eastAsia"/>
                <w:color w:val="auto"/>
                <w:sz w:val="24"/>
                <w:szCs w:val="24"/>
              </w:rPr>
              <w:t>（3）噪声：施工期间各种施工设备噪声；</w:t>
            </w:r>
          </w:p>
          <w:p>
            <w:pPr>
              <w:spacing w:line="360" w:lineRule="auto"/>
              <w:ind w:firstLine="472" w:firstLineChars="200"/>
              <w:rPr>
                <w:rFonts w:hAnsi="宋体"/>
                <w:color w:val="auto"/>
                <w:sz w:val="24"/>
              </w:rPr>
            </w:pPr>
            <w:r>
              <w:rPr>
                <w:rFonts w:hint="eastAsia"/>
                <w:color w:val="auto"/>
                <w:sz w:val="24"/>
                <w:szCs w:val="24"/>
              </w:rPr>
              <w:t>（4）固废：施工期产生的施工建筑垃圾和施工人员生活垃圾；</w:t>
            </w:r>
          </w:p>
          <w:p>
            <w:pPr>
              <w:numPr>
                <w:ilvl w:val="0"/>
                <w:numId w:val="2"/>
              </w:numPr>
              <w:tabs>
                <w:tab w:val="left" w:pos="3225"/>
              </w:tabs>
              <w:spacing w:line="360" w:lineRule="auto"/>
              <w:rPr>
                <w:rFonts w:asciiTheme="minorEastAsia" w:hAnsiTheme="minorEastAsia"/>
                <w:b/>
                <w:color w:val="auto"/>
                <w:sz w:val="24"/>
              </w:rPr>
            </w:pPr>
            <w:r>
              <w:rPr>
                <w:rFonts w:hint="eastAsia" w:eastAsiaTheme="minorEastAsia"/>
                <w:b/>
                <w:color w:val="auto"/>
                <w:sz w:val="24"/>
                <w:szCs w:val="24"/>
              </w:rPr>
              <w:t>营运期</w:t>
            </w:r>
          </w:p>
          <w:p>
            <w:pPr>
              <w:spacing w:line="360" w:lineRule="auto"/>
              <w:ind w:firstLine="472" w:firstLineChars="200"/>
              <w:rPr>
                <w:b/>
                <w:bCs/>
                <w:color w:val="auto"/>
                <w:sz w:val="24"/>
              </w:rPr>
            </w:pPr>
            <w:r>
              <w:rPr>
                <w:b/>
                <w:bCs/>
                <w:color w:val="auto"/>
                <w:sz w:val="24"/>
              </w:rPr>
              <w:t xml:space="preserve">主要工艺流程描述： </w:t>
            </w:r>
          </w:p>
          <w:p>
            <w:pPr>
              <w:spacing w:line="360" w:lineRule="auto"/>
              <w:ind w:firstLine="472" w:firstLineChars="200"/>
              <w:jc w:val="left"/>
              <w:rPr>
                <w:color w:val="auto"/>
                <w:sz w:val="24"/>
                <w:szCs w:val="24"/>
              </w:rPr>
            </w:pPr>
            <w:r>
              <w:rPr>
                <w:rFonts w:hint="eastAsia"/>
                <w:color w:val="auto"/>
                <w:sz w:val="24"/>
                <w:szCs w:val="24"/>
              </w:rPr>
              <w:t>(一）机加工及组装工艺流程</w:t>
            </w:r>
          </w:p>
          <w:p>
            <w:pPr>
              <w:tabs>
                <w:tab w:val="left" w:pos="3225"/>
              </w:tabs>
              <w:spacing w:line="360" w:lineRule="auto"/>
              <w:jc w:val="center"/>
              <w:rPr>
                <w:rFonts w:asciiTheme="minorEastAsia" w:hAnsiTheme="minorEastAsia"/>
                <w:b/>
                <w:color w:val="auto"/>
                <w:sz w:val="24"/>
              </w:rPr>
            </w:pPr>
            <w:r>
              <w:rPr>
                <w:color w:val="auto"/>
              </w:rPr>
              <mc:AlternateContent>
                <mc:Choice Requires="wps">
                  <w:drawing>
                    <wp:anchor distT="0" distB="0" distL="114300" distR="114300" simplePos="0" relativeHeight="251665408" behindDoc="0" locked="0" layoutInCell="1" allowOverlap="1">
                      <wp:simplePos x="0" y="0"/>
                      <wp:positionH relativeFrom="column">
                        <wp:posOffset>1181735</wp:posOffset>
                      </wp:positionH>
                      <wp:positionV relativeFrom="paragraph">
                        <wp:posOffset>1615440</wp:posOffset>
                      </wp:positionV>
                      <wp:extent cx="4337685" cy="313055"/>
                      <wp:effectExtent l="4445" t="4445" r="20320" b="6350"/>
                      <wp:wrapNone/>
                      <wp:docPr id="38" name="文本框 38"/>
                      <wp:cNvGraphicFramePr/>
                      <a:graphic xmlns:a="http://schemas.openxmlformats.org/drawingml/2006/main">
                        <a:graphicData uri="http://schemas.microsoft.com/office/word/2010/wordprocessingShape">
                          <wps:wsp>
                            <wps:cNvSpPr txBox="true"/>
                            <wps:spPr>
                              <a:xfrm>
                                <a:off x="5356225" y="6406515"/>
                                <a:ext cx="4337685" cy="313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5"/>
                                      <w:szCs w:val="15"/>
                                      <w:lang w:val="en-US" w:eastAsia="zh-CN"/>
                                    </w:rPr>
                                  </w:pPr>
                                  <w:r>
                                    <w:rPr>
                                      <w:rFonts w:hint="eastAsia"/>
                                      <w:sz w:val="15"/>
                                      <w:szCs w:val="15"/>
                                    </w:rPr>
                                    <w:t>图例：G废气 S固废 N噪声</w:t>
                                  </w:r>
                                  <w:r>
                                    <w:rPr>
                                      <w:rFonts w:hint="eastAsia"/>
                                      <w:sz w:val="15"/>
                                      <w:szCs w:val="15"/>
                                      <w:lang w:eastAsia="zh-CN"/>
                                    </w:rPr>
                                    <w:t>，</w:t>
                                  </w:r>
                                  <w:r>
                                    <w:rPr>
                                      <w:rFonts w:hint="eastAsia"/>
                                      <w:sz w:val="15"/>
                                      <w:szCs w:val="15"/>
                                      <w:lang w:val="en-US" w:eastAsia="zh-CN"/>
                                    </w:rPr>
                                    <w:t>红色方框内产排污节点见下文喷塑工艺流程产排污节点分析</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3.05pt;margin-top:127.2pt;height:24.65pt;width:341.55pt;z-index:251665408;mso-width-relative:page;mso-height-relative:page;" fillcolor="#FFFFFF [3201]" filled="t" stroked="t" coordsize="21600,21600" o:gfxdata="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dZXp2AAAAAsBAAAPAAAAAAAAAAEAIAAAADgAAABkcnMvZG93bnJldi54bWxQ&#10;SwECFAAUAAAACACHTuJA69OEo1MCAACJBAAADgAAAAAAAAABACAAAAA9AQAAZHJzL2Uyb0RvYy54&#10;bWxQSwUGAAAAAAYABgBZAQAAAgYAAAAA&#10;">
                      <v:fill on="t" focussize="0,0"/>
                      <v:stroke weight="0.5pt" color="#000000 [3204]" joinstyle="round"/>
                      <v:imagedata o:title=""/>
                      <o:lock v:ext="edit" aspectratio="f"/>
                      <v:textbox>
                        <w:txbxContent>
                          <w:p>
                            <w:pPr>
                              <w:rPr>
                                <w:rFonts w:hint="default" w:eastAsia="宋体"/>
                                <w:sz w:val="15"/>
                                <w:szCs w:val="15"/>
                                <w:lang w:val="en-US" w:eastAsia="zh-CN"/>
                              </w:rPr>
                            </w:pPr>
                            <w:r>
                              <w:rPr>
                                <w:rFonts w:hint="eastAsia"/>
                                <w:sz w:val="15"/>
                                <w:szCs w:val="15"/>
                              </w:rPr>
                              <w:t>图例：G废气 S固废 N噪声</w:t>
                            </w:r>
                            <w:r>
                              <w:rPr>
                                <w:rFonts w:hint="eastAsia"/>
                                <w:sz w:val="15"/>
                                <w:szCs w:val="15"/>
                                <w:lang w:eastAsia="zh-CN"/>
                              </w:rPr>
                              <w:t>，</w:t>
                            </w:r>
                            <w:r>
                              <w:rPr>
                                <w:rFonts w:hint="eastAsia"/>
                                <w:sz w:val="15"/>
                                <w:szCs w:val="15"/>
                                <w:lang w:val="en-US" w:eastAsia="zh-CN"/>
                              </w:rPr>
                              <w:t>红色方框内产排污节点见下文喷塑工艺流程产排污节点分析</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3357880</wp:posOffset>
                      </wp:positionH>
                      <wp:positionV relativeFrom="paragraph">
                        <wp:posOffset>1001395</wp:posOffset>
                      </wp:positionV>
                      <wp:extent cx="941705" cy="549910"/>
                      <wp:effectExtent l="6350" t="6350" r="23495" b="15240"/>
                      <wp:wrapNone/>
                      <wp:docPr id="42" name="矩形 42"/>
                      <wp:cNvGraphicFramePr/>
                      <a:graphic xmlns:a="http://schemas.openxmlformats.org/drawingml/2006/main">
                        <a:graphicData uri="http://schemas.microsoft.com/office/word/2010/wordprocessingShape">
                          <wps:wsp>
                            <wps:cNvSpPr/>
                            <wps:spPr>
                              <a:xfrm>
                                <a:off x="4573270" y="4007485"/>
                                <a:ext cx="941705" cy="549910"/>
                              </a:xfrm>
                              <a:prstGeom prst="rect">
                                <a:avLst/>
                              </a:prstGeom>
                              <a:noFill/>
                              <a:ln>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4.4pt;margin-top:78.85pt;height:43.3pt;width:74.15pt;z-index:251666432;v-text-anchor:middle;mso-width-relative:page;mso-height-relative:page;" filled="f" stroked="t" coordsize="21600,21600" o:gfxdata="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bFC8o9sAAAALAQAADwAAAAAAAAABACAAAAA4&#10;AAAAZHJzL2Rvd25yZXYueG1sUEsBAhQAFAAAAAgAh07iQG6Vk+NjAgAAmgQAAA4AAAAAAAAAAQAg&#10;AAAAQAEAAGRycy9lMm9Eb2MueG1sUEsFBgAAAAAGAAYAWQEAABUGAAAAAA==&#10;">
                      <v:fill on="f" focussize="0,0"/>
                      <v:stroke weight="1pt" color="#FF0000 [3204]" miterlimit="8" joinstyle="miter" dashstyle="longDash"/>
                      <v:imagedata o:title=""/>
                      <o:lock v:ext="edit" aspectratio="f"/>
                    </v:rect>
                  </w:pict>
                </mc:Fallback>
              </mc:AlternateContent>
            </w:r>
            <w:r>
              <w:rPr>
                <w:rFonts w:hint="eastAsia" w:asciiTheme="minorEastAsia" w:hAnsiTheme="minorEastAsia"/>
                <w:b/>
                <w:color w:val="auto"/>
                <w:sz w:val="24"/>
              </w:rPr>
              <w:drawing>
                <wp:inline distT="0" distB="0" distL="114300" distR="114300">
                  <wp:extent cx="3495675" cy="1733550"/>
                  <wp:effectExtent l="0" t="0" r="9525" b="0"/>
                  <wp:docPr id="49" name="图片 49" descr="167988569817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49" descr="1679885698174"/>
                          <pic:cNvPicPr>
                            <a:picLocks noChangeAspect="true"/>
                          </pic:cNvPicPr>
                        </pic:nvPicPr>
                        <pic:blipFill>
                          <a:blip r:embed="rId9"/>
                          <a:stretch>
                            <a:fillRect/>
                          </a:stretch>
                        </pic:blipFill>
                        <pic:spPr>
                          <a:xfrm>
                            <a:off x="0" y="0"/>
                            <a:ext cx="3495675" cy="1733550"/>
                          </a:xfrm>
                          <a:prstGeom prst="rect">
                            <a:avLst/>
                          </a:prstGeom>
                        </pic:spPr>
                      </pic:pic>
                    </a:graphicData>
                  </a:graphic>
                </wp:inline>
              </w:drawing>
            </w:r>
          </w:p>
          <w:p>
            <w:pPr>
              <w:tabs>
                <w:tab w:val="left" w:pos="3225"/>
              </w:tabs>
              <w:spacing w:line="360" w:lineRule="auto"/>
              <w:ind w:firstLine="1652" w:firstLineChars="700"/>
              <w:jc w:val="both"/>
              <w:rPr>
                <w:b/>
                <w:bCs/>
                <w:color w:val="auto"/>
                <w:sz w:val="24"/>
                <w:highlight w:val="none"/>
              </w:rPr>
            </w:pPr>
            <w:r>
              <w:rPr>
                <w:rFonts w:asciiTheme="minorEastAsia" w:hAnsiTheme="minorEastAsia" w:eastAsiaTheme="minorEastAsia"/>
                <w:b/>
                <w:color w:val="auto"/>
                <w:sz w:val="24"/>
                <w:highlight w:val="none"/>
              </w:rPr>
              <w:t>图</w:t>
            </w:r>
            <w:r>
              <w:rPr>
                <w:rFonts w:hint="eastAsia" w:asciiTheme="minorEastAsia" w:hAnsiTheme="minorEastAsia" w:eastAsiaTheme="minorEastAsia"/>
                <w:b/>
                <w:color w:val="auto"/>
                <w:sz w:val="24"/>
                <w:highlight w:val="none"/>
              </w:rPr>
              <w:t>2-5营运</w:t>
            </w:r>
            <w:r>
              <w:rPr>
                <w:rFonts w:asciiTheme="minorEastAsia" w:hAnsiTheme="minorEastAsia" w:eastAsiaTheme="minorEastAsia"/>
                <w:b/>
                <w:color w:val="auto"/>
                <w:sz w:val="24"/>
                <w:highlight w:val="none"/>
              </w:rPr>
              <w:t>期</w:t>
            </w:r>
            <w:r>
              <w:rPr>
                <w:rFonts w:hint="eastAsia" w:asciiTheme="minorEastAsia" w:hAnsiTheme="minorEastAsia" w:eastAsiaTheme="minorEastAsia"/>
                <w:b/>
                <w:color w:val="auto"/>
                <w:sz w:val="24"/>
                <w:highlight w:val="none"/>
              </w:rPr>
              <w:t>机加工及组</w:t>
            </w:r>
            <w:r>
              <w:rPr>
                <w:rFonts w:hint="eastAsia" w:asciiTheme="minorEastAsia" w:hAnsiTheme="minorEastAsia" w:eastAsiaTheme="minorEastAsia"/>
                <w:b/>
                <w:color w:val="auto"/>
                <w:sz w:val="24"/>
                <w:highlight w:val="none"/>
                <w:lang w:val="en-US" w:eastAsia="zh-CN"/>
              </w:rPr>
              <w:t>装</w:t>
            </w:r>
            <w:r>
              <w:rPr>
                <w:rFonts w:asciiTheme="minorEastAsia" w:hAnsiTheme="minorEastAsia" w:eastAsiaTheme="minorEastAsia"/>
                <w:b/>
                <w:color w:val="auto"/>
                <w:sz w:val="24"/>
                <w:highlight w:val="none"/>
              </w:rPr>
              <w:t>工艺</w:t>
            </w:r>
            <w:r>
              <w:rPr>
                <w:rFonts w:asciiTheme="minorEastAsia" w:hAnsiTheme="minorEastAsia" w:eastAsiaTheme="minorEastAsia"/>
                <w:b/>
                <w:color w:val="auto"/>
                <w:spacing w:val="12"/>
                <w:sz w:val="24"/>
                <w:highlight w:val="none"/>
              </w:rPr>
              <w:t>流程及产污环节图</w:t>
            </w:r>
          </w:p>
          <w:p>
            <w:pPr>
              <w:spacing w:line="360" w:lineRule="auto"/>
              <w:ind w:firstLine="472" w:firstLineChars="200"/>
              <w:jc w:val="left"/>
              <w:rPr>
                <w:color w:val="auto"/>
                <w:sz w:val="24"/>
                <w:szCs w:val="24"/>
              </w:rPr>
            </w:pPr>
            <w:r>
              <w:rPr>
                <w:rFonts w:hint="eastAsia"/>
                <w:color w:val="auto"/>
                <w:sz w:val="24"/>
                <w:szCs w:val="24"/>
              </w:rPr>
              <w:t>本项目2条厢式变电站生产线，1条高压配电柜生产线和1条低压配电柜生产线生产工艺一致，只是在生产过程中规格型号和尺寸不一致。4条生产线工艺流程简述如下：</w:t>
            </w:r>
          </w:p>
          <w:p>
            <w:pPr>
              <w:numPr>
                <w:ilvl w:val="0"/>
                <w:numId w:val="3"/>
              </w:numPr>
              <w:spacing w:line="360" w:lineRule="auto"/>
              <w:ind w:firstLine="472"/>
              <w:jc w:val="left"/>
              <w:rPr>
                <w:color w:val="auto"/>
                <w:sz w:val="24"/>
                <w:szCs w:val="24"/>
              </w:rPr>
            </w:pPr>
            <w:r>
              <w:rPr>
                <w:rFonts w:hint="eastAsia"/>
                <w:color w:val="auto"/>
                <w:sz w:val="24"/>
                <w:szCs w:val="24"/>
              </w:rPr>
              <w:t>开料：将外购冷轧钢板人工运至光纤激光切割机对板材进行切割，本项目切割不适用切削液，光纤激光切割机激光束聚焦成很小的光点，使焦点处达到很高的</w:t>
            </w:r>
            <w:r>
              <w:rPr>
                <w:rFonts w:hint="eastAsia"/>
                <w:color w:val="auto"/>
                <w:sz w:val="24"/>
                <w:szCs w:val="24"/>
              </w:rPr>
              <w:fldChar w:fldCharType="begin"/>
            </w:r>
            <w:r>
              <w:rPr>
                <w:rFonts w:hint="eastAsia"/>
                <w:color w:val="auto"/>
                <w:sz w:val="24"/>
                <w:szCs w:val="24"/>
              </w:rPr>
              <w:instrText xml:space="preserve"> HYPERLINK "https://baike.so.com/doc/6972403-7195089.html" \t "https://baike.so.com/doc/_blank" </w:instrText>
            </w:r>
            <w:r>
              <w:rPr>
                <w:rFonts w:hint="eastAsia"/>
                <w:color w:val="auto"/>
                <w:sz w:val="24"/>
                <w:szCs w:val="24"/>
              </w:rPr>
              <w:fldChar w:fldCharType="separate"/>
            </w:r>
            <w:r>
              <w:rPr>
                <w:rFonts w:hint="eastAsia"/>
                <w:color w:val="auto"/>
                <w:sz w:val="24"/>
                <w:szCs w:val="24"/>
              </w:rPr>
              <w:t>功率密度</w:t>
            </w:r>
            <w:r>
              <w:rPr>
                <w:rFonts w:hint="eastAsia"/>
                <w:color w:val="auto"/>
                <w:sz w:val="24"/>
                <w:szCs w:val="24"/>
              </w:rPr>
              <w:fldChar w:fldCharType="end"/>
            </w:r>
            <w:r>
              <w:rPr>
                <w:rFonts w:hint="eastAsia"/>
                <w:color w:val="auto"/>
                <w:sz w:val="24"/>
                <w:szCs w:val="24"/>
              </w:rPr>
              <w:t>，材料很快加热至气化程度，蒸发形成孔洞。随着光束与材料相对线性移动，使孔洞连续形成宽度很窄的切缝，使板材按照板材定制规格尺寸断裂分离。</w:t>
            </w:r>
          </w:p>
          <w:p>
            <w:pPr>
              <w:spacing w:line="360" w:lineRule="auto"/>
              <w:ind w:firstLine="472" w:firstLineChars="200"/>
              <w:jc w:val="left"/>
              <w:rPr>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废气污染源主要为切割粉尘G1，主要污染物为颗粒物，经集气罩收集后通过布袋除尘器处理后通过15m高排气筒排放；固体废物主要为激光切割产生的废边角料S1；</w:t>
            </w:r>
            <w:r>
              <w:rPr>
                <w:b/>
                <w:bCs/>
                <w:color w:val="auto"/>
                <w:sz w:val="24"/>
                <w:szCs w:val="24"/>
              </w:rPr>
              <w:t>噪声</w:t>
            </w:r>
            <w:r>
              <w:rPr>
                <w:rFonts w:hint="eastAsia"/>
                <w:b/>
                <w:bCs/>
                <w:color w:val="auto"/>
                <w:sz w:val="24"/>
                <w:szCs w:val="24"/>
              </w:rPr>
              <w:t>污染源主要为光纤激光切割机产生的设备噪声N</w:t>
            </w:r>
            <w:r>
              <w:rPr>
                <w:b/>
                <w:bCs/>
                <w:color w:val="auto"/>
                <w:sz w:val="24"/>
                <w:szCs w:val="24"/>
              </w:rPr>
              <w:t>。</w:t>
            </w:r>
            <w:r>
              <w:rPr>
                <w:color w:val="auto"/>
                <w:sz w:val="24"/>
                <w:szCs w:val="24"/>
              </w:rPr>
              <w:t xml:space="preserve"> </w:t>
            </w:r>
          </w:p>
          <w:p>
            <w:pPr>
              <w:numPr>
                <w:ilvl w:val="0"/>
                <w:numId w:val="3"/>
              </w:numPr>
              <w:spacing w:line="360" w:lineRule="auto"/>
              <w:ind w:firstLine="472"/>
              <w:jc w:val="left"/>
              <w:rPr>
                <w:color w:val="auto"/>
                <w:sz w:val="24"/>
                <w:szCs w:val="24"/>
              </w:rPr>
            </w:pPr>
            <w:r>
              <w:rPr>
                <w:rFonts w:hint="eastAsia"/>
                <w:color w:val="auto"/>
                <w:sz w:val="24"/>
                <w:szCs w:val="24"/>
              </w:rPr>
              <w:t>打孔：切割完的板材由人工抬运至砖塔冲床对板材进行打孔，使用前安装好打孔模具，将板材放置于送料扣，冲床对材料施以压力，使其塑性变形，打孔完成。</w:t>
            </w:r>
          </w:p>
          <w:p>
            <w:pPr>
              <w:spacing w:line="360" w:lineRule="auto"/>
              <w:ind w:firstLine="472" w:firstLineChars="200"/>
              <w:jc w:val="left"/>
              <w:rPr>
                <w:b/>
                <w:bCs/>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废气污染源主要为打孔粉尘G2，主要污染物为颗粒物，经集气罩收集后通过布袋除尘器处理后通过15m高排气筒排放；固体废物主要为冲孔产生的废边角料S1和打孔产生的粉尘G2,和设备液压产生的废液压油S2；</w:t>
            </w:r>
            <w:r>
              <w:rPr>
                <w:b/>
                <w:bCs/>
                <w:color w:val="auto"/>
                <w:sz w:val="24"/>
                <w:szCs w:val="24"/>
              </w:rPr>
              <w:t>噪声</w:t>
            </w:r>
            <w:r>
              <w:rPr>
                <w:rFonts w:hint="eastAsia"/>
                <w:b/>
                <w:bCs/>
                <w:color w:val="auto"/>
                <w:sz w:val="24"/>
                <w:szCs w:val="24"/>
              </w:rPr>
              <w:t>污染源主要为砖塔冲床产生的设备噪声N</w:t>
            </w:r>
            <w:r>
              <w:rPr>
                <w:b/>
                <w:bCs/>
                <w:color w:val="auto"/>
                <w:sz w:val="24"/>
                <w:szCs w:val="24"/>
              </w:rPr>
              <w:t>。</w:t>
            </w:r>
            <w:r>
              <w:rPr>
                <w:color w:val="auto"/>
                <w:sz w:val="24"/>
                <w:szCs w:val="24"/>
              </w:rPr>
              <w:t xml:space="preserve"> </w:t>
            </w:r>
          </w:p>
          <w:p>
            <w:pPr>
              <w:numPr>
                <w:ilvl w:val="0"/>
                <w:numId w:val="3"/>
              </w:numPr>
              <w:spacing w:line="360" w:lineRule="auto"/>
              <w:ind w:firstLine="472"/>
              <w:jc w:val="left"/>
              <w:rPr>
                <w:color w:val="auto"/>
                <w:sz w:val="24"/>
                <w:szCs w:val="24"/>
              </w:rPr>
            </w:pPr>
            <w:r>
              <w:rPr>
                <w:rFonts w:hint="eastAsia"/>
                <w:color w:val="auto"/>
                <w:sz w:val="24"/>
                <w:szCs w:val="24"/>
              </w:rPr>
              <w:t>将打孔完成的板材人工抬运至数控板料折弯机，将板材放置于送料口，折弯机运行时对压板产生引力，从而实现压板和底座之间对板材的夹持。</w:t>
            </w:r>
          </w:p>
          <w:p>
            <w:pPr>
              <w:spacing w:line="360" w:lineRule="auto"/>
              <w:ind w:firstLine="472" w:firstLineChars="200"/>
              <w:jc w:val="left"/>
              <w:rPr>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固体废物主要为数控板料折弯机运行过程中折损的板材，按照废边角料对待S1,设备液压产生的废液压油S2；</w:t>
            </w:r>
            <w:r>
              <w:rPr>
                <w:b/>
                <w:bCs/>
                <w:color w:val="auto"/>
                <w:sz w:val="24"/>
                <w:szCs w:val="24"/>
              </w:rPr>
              <w:t>噪声</w:t>
            </w:r>
            <w:r>
              <w:rPr>
                <w:rFonts w:hint="eastAsia"/>
                <w:b/>
                <w:bCs/>
                <w:color w:val="auto"/>
                <w:sz w:val="24"/>
                <w:szCs w:val="24"/>
              </w:rPr>
              <w:t>污染源主要为数控板料折弯机产生的设备噪声N</w:t>
            </w:r>
            <w:r>
              <w:rPr>
                <w:b/>
                <w:bCs/>
                <w:color w:val="auto"/>
                <w:sz w:val="24"/>
                <w:szCs w:val="24"/>
              </w:rPr>
              <w:t>。</w:t>
            </w:r>
          </w:p>
          <w:p>
            <w:pPr>
              <w:numPr>
                <w:ilvl w:val="0"/>
                <w:numId w:val="3"/>
              </w:numPr>
              <w:spacing w:line="360" w:lineRule="auto"/>
              <w:ind w:firstLine="472"/>
              <w:jc w:val="left"/>
              <w:rPr>
                <w:color w:val="auto"/>
                <w:sz w:val="24"/>
                <w:szCs w:val="24"/>
              </w:rPr>
            </w:pPr>
            <w:r>
              <w:rPr>
                <w:rFonts w:hint="eastAsia"/>
                <w:color w:val="auto"/>
                <w:sz w:val="24"/>
                <w:szCs w:val="24"/>
              </w:rPr>
              <w:t>焊接：将折弯好的板材人工运至焊接工位，使用二保焊机、氩弧焊机或者激光焊机对已成型的箱体进行焊接，形成箱体，同时将开关等配件焊接在箱体上。</w:t>
            </w:r>
          </w:p>
          <w:p>
            <w:pPr>
              <w:spacing w:line="360" w:lineRule="auto"/>
              <w:ind w:firstLine="472" w:firstLineChars="200"/>
              <w:jc w:val="left"/>
              <w:rPr>
                <w:b/>
                <w:bCs/>
                <w:color w:val="auto"/>
                <w:sz w:val="24"/>
                <w:szCs w:val="24"/>
              </w:rPr>
            </w:pPr>
            <w:r>
              <w:rPr>
                <w:rFonts w:hint="eastAsia"/>
                <w:b/>
                <w:bCs/>
                <w:color w:val="auto"/>
                <w:sz w:val="24"/>
                <w:szCs w:val="24"/>
              </w:rPr>
              <w:t>本</w:t>
            </w:r>
            <w:r>
              <w:rPr>
                <w:b/>
                <w:bCs/>
                <w:color w:val="auto"/>
                <w:sz w:val="24"/>
                <w:szCs w:val="24"/>
              </w:rPr>
              <w:t>过程</w:t>
            </w:r>
            <w:r>
              <w:rPr>
                <w:rFonts w:hint="eastAsia"/>
                <w:b/>
                <w:bCs/>
                <w:color w:val="auto"/>
                <w:sz w:val="24"/>
                <w:szCs w:val="24"/>
              </w:rPr>
              <w:t>废气污染源为焊接</w:t>
            </w:r>
            <w:r>
              <w:rPr>
                <w:b/>
                <w:bCs/>
                <w:color w:val="auto"/>
                <w:sz w:val="24"/>
                <w:szCs w:val="24"/>
              </w:rPr>
              <w:t>废气</w:t>
            </w:r>
            <w:r>
              <w:rPr>
                <w:rFonts w:hint="eastAsia"/>
                <w:b/>
                <w:bCs/>
                <w:color w:val="auto"/>
                <w:sz w:val="24"/>
                <w:szCs w:val="24"/>
              </w:rPr>
              <w:t>G3</w:t>
            </w:r>
            <w:r>
              <w:rPr>
                <w:b/>
                <w:bCs/>
                <w:color w:val="auto"/>
                <w:sz w:val="24"/>
                <w:szCs w:val="24"/>
              </w:rPr>
              <w:t>，</w:t>
            </w:r>
            <w:r>
              <w:rPr>
                <w:rFonts w:hint="eastAsia"/>
                <w:b/>
                <w:bCs/>
                <w:color w:val="auto"/>
                <w:sz w:val="24"/>
                <w:szCs w:val="24"/>
              </w:rPr>
              <w:t>主要污染物为颗粒物，经集气罩收集后通过布袋除尘器处理后通过15m高排气筒排放；固体废物主要为焊接过程中产生的焊渣S3;噪声污染源主要为二保焊机、氩弧焊机和激光焊机产生的设备噪声N。</w:t>
            </w:r>
          </w:p>
          <w:p>
            <w:pPr>
              <w:spacing w:line="360" w:lineRule="auto"/>
              <w:ind w:firstLine="472" w:firstLineChars="200"/>
              <w:rPr>
                <w:color w:val="auto"/>
                <w:sz w:val="24"/>
                <w:szCs w:val="24"/>
              </w:rPr>
            </w:pPr>
            <w:r>
              <w:rPr>
                <w:rFonts w:hint="eastAsia"/>
                <w:color w:val="auto"/>
                <w:sz w:val="24"/>
                <w:szCs w:val="24"/>
              </w:rPr>
              <w:t>（5）静电喷涂：焊接完成后的箱体送喷涂线进行喷塑处理，喷塑具体工艺见下文介绍。</w:t>
            </w:r>
          </w:p>
          <w:p>
            <w:pPr>
              <w:spacing w:line="360" w:lineRule="auto"/>
              <w:ind w:firstLine="472" w:firstLineChars="200"/>
              <w:rPr>
                <w:color w:val="auto"/>
                <w:sz w:val="24"/>
                <w:szCs w:val="24"/>
              </w:rPr>
            </w:pPr>
            <w:r>
              <w:rPr>
                <w:rFonts w:hint="eastAsia"/>
                <w:color w:val="auto"/>
                <w:sz w:val="24"/>
                <w:szCs w:val="24"/>
              </w:rPr>
              <w:t>（6）导线组装：外购的铜排母线通过数控母线冲剪机下料后，再通过数控母线折弯机折成所需的弯度之后人工安装至喷塑后的箱体内，送调试台进行安装调试。</w:t>
            </w:r>
          </w:p>
          <w:p>
            <w:pPr>
              <w:spacing w:line="360" w:lineRule="auto"/>
              <w:ind w:firstLine="472" w:firstLineChars="200"/>
              <w:jc w:val="left"/>
              <w:rPr>
                <w:b/>
                <w:bCs/>
                <w:color w:val="auto"/>
                <w:sz w:val="24"/>
                <w:szCs w:val="24"/>
              </w:rPr>
            </w:pPr>
            <w:r>
              <w:rPr>
                <w:rFonts w:hint="eastAsia"/>
                <w:b/>
                <w:bCs/>
                <w:color w:val="auto"/>
                <w:sz w:val="24"/>
                <w:szCs w:val="24"/>
              </w:rPr>
              <w:t>本过程固体废物主要为铜排母线冲剪、折弯过程中产生</w:t>
            </w:r>
            <w:r>
              <w:rPr>
                <w:b/>
                <w:bCs/>
                <w:color w:val="auto"/>
                <w:sz w:val="24"/>
                <w:szCs w:val="24"/>
              </w:rPr>
              <w:t>废</w:t>
            </w:r>
            <w:r>
              <w:rPr>
                <w:rFonts w:hint="eastAsia"/>
                <w:b/>
                <w:bCs/>
                <w:color w:val="auto"/>
                <w:sz w:val="24"/>
                <w:szCs w:val="24"/>
              </w:rPr>
              <w:t>铜线S4</w:t>
            </w:r>
            <w:r>
              <w:rPr>
                <w:b/>
                <w:bCs/>
                <w:color w:val="auto"/>
                <w:sz w:val="24"/>
                <w:szCs w:val="24"/>
              </w:rPr>
              <w:t>，</w:t>
            </w:r>
            <w:r>
              <w:rPr>
                <w:rFonts w:hint="eastAsia"/>
                <w:b/>
                <w:bCs/>
                <w:color w:val="auto"/>
                <w:sz w:val="24"/>
                <w:szCs w:val="24"/>
              </w:rPr>
              <w:t>噪声污染源主要为数控母线冲剪机、数控母线折弯机产生的设备噪声N。</w:t>
            </w:r>
          </w:p>
          <w:p>
            <w:pPr>
              <w:spacing w:line="360" w:lineRule="auto"/>
              <w:ind w:firstLine="472" w:firstLineChars="200"/>
              <w:rPr>
                <w:color w:val="auto"/>
                <w:sz w:val="24"/>
                <w:szCs w:val="24"/>
              </w:rPr>
            </w:pPr>
            <w:r>
              <w:rPr>
                <w:rFonts w:hint="eastAsia"/>
                <w:color w:val="auto"/>
                <w:sz w:val="24"/>
                <w:szCs w:val="24"/>
              </w:rPr>
              <w:t>（7）成品入库：调试完成后的配电柜、厢式变电站入库待售。</w:t>
            </w:r>
          </w:p>
          <w:p>
            <w:pPr>
              <w:spacing w:line="360" w:lineRule="auto"/>
              <w:ind w:firstLine="472" w:firstLineChars="200"/>
              <w:jc w:val="left"/>
              <w:rPr>
                <w:color w:val="auto"/>
                <w:sz w:val="24"/>
                <w:szCs w:val="24"/>
              </w:rPr>
            </w:pPr>
            <w:r>
              <w:rPr>
                <w:color w:val="auto"/>
                <w:sz w:val="24"/>
                <w:szCs w:val="24"/>
              </w:rPr>
              <w:t xml:space="preserve"> </w:t>
            </w:r>
            <w:r>
              <w:rPr>
                <w:rFonts w:hint="eastAsia"/>
                <w:color w:val="auto"/>
                <w:sz w:val="24"/>
                <w:szCs w:val="24"/>
                <w:highlight w:val="none"/>
              </w:rPr>
              <w:t>(二）喷塑工艺流程</w:t>
            </w:r>
          </w:p>
          <w:p>
            <w:pPr>
              <w:tabs>
                <w:tab w:val="left" w:pos="3225"/>
              </w:tabs>
              <w:spacing w:line="360" w:lineRule="auto"/>
              <w:jc w:val="cente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3065780</wp:posOffset>
                      </wp:positionH>
                      <wp:positionV relativeFrom="paragraph">
                        <wp:posOffset>1351915</wp:posOffset>
                      </wp:positionV>
                      <wp:extent cx="2094865" cy="422275"/>
                      <wp:effectExtent l="4445" t="4445" r="15240" b="11430"/>
                      <wp:wrapNone/>
                      <wp:docPr id="111" name="文本框 111"/>
                      <wp:cNvGraphicFramePr/>
                      <a:graphic xmlns:a="http://schemas.openxmlformats.org/drawingml/2006/main">
                        <a:graphicData uri="http://schemas.microsoft.com/office/word/2010/wordprocessingShape">
                          <wps:wsp>
                            <wps:cNvSpPr txBox="true"/>
                            <wps:spPr>
                              <a:xfrm>
                                <a:off x="0" y="0"/>
                                <a:ext cx="2094865" cy="422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图例：G废气 S固废 N噪声 W废水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1.4pt;margin-top:106.45pt;height:33.25pt;width:164.95pt;z-index:251662336;mso-width-relative:page;mso-height-relative:page;" fillcolor="#FFFFFF [3201]" filled="t" stroked="t" coordsize="21600,21600" o:gfxdata="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2oJU&#10;BNgAAAALAQAADwAAAAAAAAABACAAAAA4AAAAZHJzL2Rvd25yZXYueG1sUEsBAhQAFAAAAAgAh07i&#10;QJ3Hl7dFAgAAfwQAAA4AAAAAAAAAAQAgAAAAPQEAAGRycy9lMm9Eb2MueG1sUEsFBgAAAAAGAAYA&#10;WQEAAPQFAAAAAA==&#10;">
                      <v:fill on="t" focussize="0,0"/>
                      <v:stroke weight="0.5pt" color="#000000 [3204]" joinstyle="round"/>
                      <v:imagedata o:title=""/>
                      <o:lock v:ext="edit" aspectratio="f"/>
                      <v:textbox>
                        <w:txbxContent>
                          <w:p>
                            <w:pPr>
                              <w:rPr>
                                <w:sz w:val="15"/>
                                <w:szCs w:val="15"/>
                              </w:rPr>
                            </w:pPr>
                            <w:r>
                              <w:rPr>
                                <w:rFonts w:hint="eastAsia"/>
                                <w:sz w:val="15"/>
                                <w:szCs w:val="15"/>
                              </w:rPr>
                              <w:t>图例：G废气 S固废 N噪声 W废水</w:t>
                            </w:r>
                          </w:p>
                        </w:txbxContent>
                      </v:textbox>
                    </v:shape>
                  </w:pict>
                </mc:Fallback>
              </mc:AlternateContent>
            </w:r>
            <w:r>
              <w:rPr>
                <w:color w:val="auto"/>
              </w:rPr>
              <w:drawing>
                <wp:inline distT="0" distB="0" distL="114300" distR="114300">
                  <wp:extent cx="4185920" cy="1878330"/>
                  <wp:effectExtent l="0" t="0" r="5080" b="7620"/>
                  <wp:docPr id="4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true"/>
                          </pic:cNvPicPr>
                        </pic:nvPicPr>
                        <pic:blipFill>
                          <a:blip r:embed="rId10"/>
                          <a:stretch>
                            <a:fillRect/>
                          </a:stretch>
                        </pic:blipFill>
                        <pic:spPr>
                          <a:xfrm>
                            <a:off x="0" y="0"/>
                            <a:ext cx="4185920" cy="1878330"/>
                          </a:xfrm>
                          <a:prstGeom prst="rect">
                            <a:avLst/>
                          </a:prstGeom>
                          <a:noFill/>
                          <a:ln>
                            <a:noFill/>
                          </a:ln>
                        </pic:spPr>
                      </pic:pic>
                    </a:graphicData>
                  </a:graphic>
                </wp:inline>
              </w:drawing>
            </w:r>
          </w:p>
          <w:p>
            <w:pPr>
              <w:tabs>
                <w:tab w:val="left" w:pos="3225"/>
              </w:tabs>
              <w:spacing w:line="360" w:lineRule="auto"/>
              <w:jc w:val="center"/>
              <w:rPr>
                <w:b/>
                <w:bCs/>
                <w:color w:val="auto"/>
                <w:sz w:val="24"/>
              </w:rPr>
            </w:pPr>
            <w:r>
              <w:rPr>
                <w:rFonts w:asciiTheme="minorEastAsia" w:hAnsiTheme="minorEastAsia" w:eastAsiaTheme="minorEastAsia"/>
                <w:b/>
                <w:color w:val="auto"/>
                <w:sz w:val="24"/>
              </w:rPr>
              <w:t>图</w:t>
            </w:r>
            <w:r>
              <w:rPr>
                <w:rFonts w:hint="eastAsia" w:asciiTheme="minorEastAsia" w:hAnsiTheme="minorEastAsia" w:eastAsiaTheme="minorEastAsia"/>
                <w:b/>
                <w:color w:val="auto"/>
                <w:sz w:val="24"/>
              </w:rPr>
              <w:t>2-6</w:t>
            </w: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营运</w:t>
            </w:r>
            <w:r>
              <w:rPr>
                <w:rFonts w:asciiTheme="minorEastAsia" w:hAnsiTheme="minorEastAsia" w:eastAsiaTheme="minorEastAsia"/>
                <w:b/>
                <w:color w:val="auto"/>
                <w:sz w:val="24"/>
              </w:rPr>
              <w:t>期</w:t>
            </w:r>
            <w:r>
              <w:rPr>
                <w:rFonts w:hint="eastAsia" w:asciiTheme="minorEastAsia" w:hAnsiTheme="minorEastAsia" w:eastAsiaTheme="minorEastAsia"/>
                <w:b/>
                <w:color w:val="auto"/>
                <w:sz w:val="24"/>
              </w:rPr>
              <w:t>喷塑</w:t>
            </w:r>
            <w:r>
              <w:rPr>
                <w:rFonts w:asciiTheme="minorEastAsia" w:hAnsiTheme="minorEastAsia" w:eastAsiaTheme="minorEastAsia"/>
                <w:b/>
                <w:color w:val="auto"/>
                <w:sz w:val="24"/>
              </w:rPr>
              <w:t>工艺</w:t>
            </w:r>
            <w:r>
              <w:rPr>
                <w:rFonts w:asciiTheme="minorEastAsia" w:hAnsiTheme="minorEastAsia" w:eastAsiaTheme="minorEastAsia"/>
                <w:b/>
                <w:color w:val="auto"/>
                <w:spacing w:val="12"/>
                <w:sz w:val="24"/>
              </w:rPr>
              <w:t>流程及产污环节图</w:t>
            </w:r>
          </w:p>
          <w:p>
            <w:pPr>
              <w:spacing w:line="360" w:lineRule="auto"/>
              <w:ind w:firstLine="472" w:firstLineChars="200"/>
              <w:rPr>
                <w:color w:val="auto"/>
                <w:sz w:val="24"/>
                <w:szCs w:val="24"/>
              </w:rPr>
            </w:pPr>
            <w:r>
              <w:rPr>
                <w:rFonts w:hint="eastAsia"/>
                <w:color w:val="auto"/>
                <w:sz w:val="24"/>
                <w:szCs w:val="24"/>
              </w:rPr>
              <w:t>（1）前处理</w:t>
            </w:r>
          </w:p>
          <w:p>
            <w:pPr>
              <w:spacing w:line="360" w:lineRule="auto"/>
              <w:ind w:firstLine="472" w:firstLineChars="200"/>
              <w:rPr>
                <w:b/>
                <w:color w:val="auto"/>
                <w:sz w:val="24"/>
                <w:szCs w:val="24"/>
              </w:rPr>
            </w:pPr>
            <w:r>
              <w:rPr>
                <w:rFonts w:hint="eastAsia"/>
                <w:color w:val="auto"/>
                <w:sz w:val="24"/>
                <w:szCs w:val="24"/>
              </w:rPr>
              <w:t>配电柜及变电站箱体喷涂之前需要对工件表面进行前处理。本项目的前处理采用全喷淋式。其主要工序及各工序工艺参数如表2-5所示。</w:t>
            </w:r>
          </w:p>
          <w:p>
            <w:pPr>
              <w:spacing w:line="360" w:lineRule="auto"/>
              <w:jc w:val="center"/>
              <w:rPr>
                <w:b/>
                <w:color w:val="auto"/>
                <w:sz w:val="24"/>
                <w:szCs w:val="24"/>
              </w:rPr>
            </w:pPr>
            <w:r>
              <w:rPr>
                <w:rFonts w:hint="eastAsia"/>
                <w:b/>
                <w:color w:val="auto"/>
                <w:sz w:val="24"/>
                <w:szCs w:val="24"/>
              </w:rPr>
              <w:t>表2-5  前处理工艺及参数</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716"/>
              <w:gridCol w:w="1558"/>
              <w:gridCol w:w="1932"/>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序号</w:t>
                  </w:r>
                </w:p>
              </w:tc>
              <w:tc>
                <w:tcPr>
                  <w:tcW w:w="1716" w:type="dxa"/>
                  <w:vAlign w:val="center"/>
                </w:tcPr>
                <w:p>
                  <w:pPr>
                    <w:pStyle w:val="24"/>
                    <w:jc w:val="center"/>
                    <w:rPr>
                      <w:bCs/>
                      <w:color w:val="auto"/>
                      <w:sz w:val="21"/>
                      <w:szCs w:val="21"/>
                    </w:rPr>
                  </w:pPr>
                  <w:r>
                    <w:rPr>
                      <w:rFonts w:hint="eastAsia"/>
                      <w:bCs/>
                      <w:color w:val="auto"/>
                      <w:sz w:val="21"/>
                      <w:szCs w:val="21"/>
                    </w:rPr>
                    <w:t>工艺名称</w:t>
                  </w:r>
                </w:p>
              </w:tc>
              <w:tc>
                <w:tcPr>
                  <w:tcW w:w="1558" w:type="dxa"/>
                  <w:vAlign w:val="center"/>
                </w:tcPr>
                <w:p>
                  <w:pPr>
                    <w:pStyle w:val="24"/>
                    <w:jc w:val="center"/>
                    <w:rPr>
                      <w:bCs/>
                      <w:color w:val="auto"/>
                      <w:sz w:val="21"/>
                      <w:szCs w:val="21"/>
                    </w:rPr>
                  </w:pPr>
                  <w:r>
                    <w:rPr>
                      <w:rFonts w:hint="eastAsia"/>
                      <w:bCs/>
                      <w:color w:val="auto"/>
                      <w:sz w:val="21"/>
                      <w:szCs w:val="21"/>
                    </w:rPr>
                    <w:t>工艺时间</w:t>
                  </w:r>
                </w:p>
              </w:tc>
              <w:tc>
                <w:tcPr>
                  <w:tcW w:w="1932" w:type="dxa"/>
                  <w:vAlign w:val="center"/>
                </w:tcPr>
                <w:p>
                  <w:pPr>
                    <w:pStyle w:val="24"/>
                    <w:jc w:val="center"/>
                    <w:rPr>
                      <w:bCs/>
                      <w:color w:val="auto"/>
                      <w:sz w:val="21"/>
                      <w:szCs w:val="21"/>
                    </w:rPr>
                  </w:pPr>
                  <w:r>
                    <w:rPr>
                      <w:rFonts w:hint="eastAsia"/>
                      <w:bCs/>
                      <w:color w:val="auto"/>
                      <w:sz w:val="21"/>
                      <w:szCs w:val="21"/>
                    </w:rPr>
                    <w:t>工艺温度（℃）</w:t>
                  </w:r>
                </w:p>
              </w:tc>
              <w:tc>
                <w:tcPr>
                  <w:tcW w:w="2358" w:type="dxa"/>
                  <w:vAlign w:val="center"/>
                </w:tcPr>
                <w:p>
                  <w:pPr>
                    <w:pStyle w:val="24"/>
                    <w:jc w:val="center"/>
                    <w:rPr>
                      <w:bCs/>
                      <w:color w:val="auto"/>
                      <w:sz w:val="21"/>
                      <w:szCs w:val="21"/>
                    </w:rPr>
                  </w:pPr>
                  <w:r>
                    <w:rPr>
                      <w:rFonts w:hint="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1</w:t>
                  </w:r>
                </w:p>
              </w:tc>
              <w:tc>
                <w:tcPr>
                  <w:tcW w:w="1716" w:type="dxa"/>
                  <w:vAlign w:val="center"/>
                </w:tcPr>
                <w:p>
                  <w:pPr>
                    <w:pStyle w:val="24"/>
                    <w:jc w:val="center"/>
                    <w:rPr>
                      <w:bCs/>
                      <w:color w:val="auto"/>
                      <w:sz w:val="21"/>
                      <w:szCs w:val="21"/>
                    </w:rPr>
                  </w:pPr>
                  <w:r>
                    <w:rPr>
                      <w:rFonts w:hint="eastAsia"/>
                      <w:bCs/>
                      <w:color w:val="auto"/>
                      <w:sz w:val="21"/>
                      <w:szCs w:val="21"/>
                    </w:rPr>
                    <w:t>上件</w:t>
                  </w:r>
                </w:p>
              </w:tc>
              <w:tc>
                <w:tcPr>
                  <w:tcW w:w="1558" w:type="dxa"/>
                  <w:vAlign w:val="center"/>
                </w:tcPr>
                <w:p>
                  <w:pPr>
                    <w:pStyle w:val="24"/>
                    <w:jc w:val="center"/>
                    <w:rPr>
                      <w:bCs/>
                      <w:color w:val="auto"/>
                      <w:sz w:val="21"/>
                      <w:szCs w:val="21"/>
                    </w:rPr>
                  </w:pPr>
                  <w:r>
                    <w:rPr>
                      <w:rFonts w:hint="eastAsia"/>
                      <w:bCs/>
                      <w:color w:val="auto"/>
                      <w:sz w:val="21"/>
                      <w:szCs w:val="21"/>
                    </w:rPr>
                    <w:t>3min</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pStyle w:val="24"/>
                    <w:jc w:val="center"/>
                    <w:rPr>
                      <w:bCs/>
                      <w:color w:val="auto"/>
                      <w:sz w:val="21"/>
                      <w:szCs w:val="21"/>
                    </w:rPr>
                  </w:pPr>
                  <w:r>
                    <w:rPr>
                      <w:rFonts w:hint="eastAsia"/>
                      <w:bCs/>
                      <w:color w:val="auto"/>
                      <w:sz w:val="21"/>
                      <w:szCs w:val="21"/>
                    </w:rPr>
                    <w:t>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2</w:t>
                  </w:r>
                </w:p>
              </w:tc>
              <w:tc>
                <w:tcPr>
                  <w:tcW w:w="1716" w:type="dxa"/>
                  <w:vAlign w:val="center"/>
                </w:tcPr>
                <w:p>
                  <w:pPr>
                    <w:pStyle w:val="24"/>
                    <w:jc w:val="center"/>
                    <w:rPr>
                      <w:bCs/>
                      <w:color w:val="auto"/>
                      <w:sz w:val="21"/>
                      <w:szCs w:val="21"/>
                    </w:rPr>
                  </w:pPr>
                  <w:r>
                    <w:rPr>
                      <w:rFonts w:hint="eastAsia"/>
                      <w:bCs/>
                      <w:color w:val="auto"/>
                      <w:sz w:val="21"/>
                      <w:szCs w:val="21"/>
                    </w:rPr>
                    <w:t>水洗1</w:t>
                  </w:r>
                </w:p>
              </w:tc>
              <w:tc>
                <w:tcPr>
                  <w:tcW w:w="1558" w:type="dxa"/>
                  <w:vAlign w:val="center"/>
                </w:tcPr>
                <w:p>
                  <w:pPr>
                    <w:pStyle w:val="24"/>
                    <w:jc w:val="center"/>
                    <w:rPr>
                      <w:bCs/>
                      <w:color w:val="auto"/>
                      <w:sz w:val="21"/>
                      <w:szCs w:val="21"/>
                    </w:rPr>
                  </w:pPr>
                  <w:r>
                    <w:rPr>
                      <w:rFonts w:hint="eastAsia"/>
                      <w:bCs/>
                      <w:color w:val="auto"/>
                      <w:sz w:val="21"/>
                      <w:szCs w:val="21"/>
                    </w:rPr>
                    <w:t>60s</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pStyle w:val="24"/>
                    <w:jc w:val="center"/>
                    <w:rPr>
                      <w:bCs/>
                      <w:color w:val="auto"/>
                      <w:sz w:val="21"/>
                      <w:szCs w:val="21"/>
                    </w:rPr>
                  </w:pPr>
                  <w:r>
                    <w:rPr>
                      <w:rFonts w:hint="eastAsia"/>
                      <w:bCs/>
                      <w:color w:val="auto"/>
                      <w:sz w:val="21"/>
                      <w:szCs w:val="21"/>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3</w:t>
                  </w:r>
                </w:p>
              </w:tc>
              <w:tc>
                <w:tcPr>
                  <w:tcW w:w="1716" w:type="dxa"/>
                  <w:vAlign w:val="center"/>
                </w:tcPr>
                <w:p>
                  <w:pPr>
                    <w:pStyle w:val="24"/>
                    <w:jc w:val="center"/>
                    <w:rPr>
                      <w:bCs/>
                      <w:color w:val="auto"/>
                      <w:sz w:val="21"/>
                      <w:szCs w:val="21"/>
                    </w:rPr>
                  </w:pPr>
                  <w:r>
                    <w:rPr>
                      <w:rFonts w:hint="eastAsia"/>
                      <w:bCs/>
                      <w:color w:val="auto"/>
                      <w:sz w:val="21"/>
                      <w:szCs w:val="21"/>
                    </w:rPr>
                    <w:t>脱脂</w:t>
                  </w:r>
                </w:p>
              </w:tc>
              <w:tc>
                <w:tcPr>
                  <w:tcW w:w="1558" w:type="dxa"/>
                  <w:vAlign w:val="center"/>
                </w:tcPr>
                <w:p>
                  <w:pPr>
                    <w:pStyle w:val="24"/>
                    <w:jc w:val="center"/>
                    <w:rPr>
                      <w:bCs/>
                      <w:color w:val="auto"/>
                      <w:sz w:val="21"/>
                      <w:szCs w:val="21"/>
                    </w:rPr>
                  </w:pPr>
                  <w:r>
                    <w:rPr>
                      <w:rFonts w:hint="eastAsia"/>
                      <w:bCs/>
                      <w:color w:val="auto"/>
                      <w:sz w:val="21"/>
                      <w:szCs w:val="21"/>
                    </w:rPr>
                    <w:t>180S</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pStyle w:val="24"/>
                    <w:jc w:val="center"/>
                    <w:rPr>
                      <w:bCs/>
                      <w:color w:val="auto"/>
                      <w:sz w:val="21"/>
                      <w:szCs w:val="21"/>
                    </w:rPr>
                  </w:pPr>
                  <w:r>
                    <w:rPr>
                      <w:rFonts w:hint="eastAsia"/>
                      <w:bCs/>
                      <w:color w:val="auto"/>
                      <w:sz w:val="21"/>
                      <w:szCs w:val="21"/>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4</w:t>
                  </w:r>
                </w:p>
              </w:tc>
              <w:tc>
                <w:tcPr>
                  <w:tcW w:w="1716" w:type="dxa"/>
                  <w:vAlign w:val="center"/>
                </w:tcPr>
                <w:p>
                  <w:pPr>
                    <w:pStyle w:val="24"/>
                    <w:jc w:val="center"/>
                    <w:rPr>
                      <w:bCs/>
                      <w:color w:val="auto"/>
                      <w:sz w:val="21"/>
                      <w:szCs w:val="21"/>
                    </w:rPr>
                  </w:pPr>
                  <w:r>
                    <w:rPr>
                      <w:rFonts w:hint="eastAsia"/>
                      <w:bCs/>
                      <w:color w:val="auto"/>
                      <w:sz w:val="21"/>
                      <w:szCs w:val="21"/>
                    </w:rPr>
                    <w:t>水洗2</w:t>
                  </w:r>
                </w:p>
              </w:tc>
              <w:tc>
                <w:tcPr>
                  <w:tcW w:w="1558" w:type="dxa"/>
                  <w:vAlign w:val="center"/>
                </w:tcPr>
                <w:p>
                  <w:pPr>
                    <w:pStyle w:val="24"/>
                    <w:jc w:val="center"/>
                    <w:rPr>
                      <w:bCs/>
                      <w:color w:val="auto"/>
                      <w:sz w:val="21"/>
                      <w:szCs w:val="21"/>
                    </w:rPr>
                  </w:pPr>
                  <w:r>
                    <w:rPr>
                      <w:rFonts w:hint="eastAsia"/>
                      <w:bCs/>
                      <w:color w:val="auto"/>
                      <w:sz w:val="21"/>
                      <w:szCs w:val="21"/>
                    </w:rPr>
                    <w:t>60S</w:t>
                  </w:r>
                </w:p>
              </w:tc>
              <w:tc>
                <w:tcPr>
                  <w:tcW w:w="1932" w:type="dxa"/>
                  <w:vAlign w:val="center"/>
                </w:tcPr>
                <w:p>
                  <w:pPr>
                    <w:pStyle w:val="24"/>
                    <w:jc w:val="center"/>
                    <w:rPr>
                      <w:bCs/>
                      <w:color w:val="auto"/>
                      <w:sz w:val="21"/>
                      <w:szCs w:val="21"/>
                    </w:rPr>
                  </w:pPr>
                  <w:r>
                    <w:rPr>
                      <w:rFonts w:hint="eastAsia"/>
                      <w:bCs/>
                      <w:color w:val="auto"/>
                      <w:sz w:val="21"/>
                      <w:szCs w:val="21"/>
                    </w:rPr>
                    <w:t>R.T</w:t>
                  </w:r>
                </w:p>
              </w:tc>
              <w:tc>
                <w:tcPr>
                  <w:tcW w:w="2358" w:type="dxa"/>
                  <w:vAlign w:val="center"/>
                </w:tcPr>
                <w:p>
                  <w:pPr>
                    <w:jc w:val="center"/>
                    <w:rPr>
                      <w:bCs/>
                      <w:color w:val="auto"/>
                      <w:szCs w:val="21"/>
                    </w:rPr>
                  </w:pPr>
                  <w:r>
                    <w:rPr>
                      <w:rFonts w:hint="eastAsia"/>
                      <w:bCs/>
                      <w:color w:val="auto"/>
                      <w:szCs w:val="21"/>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5</w:t>
                  </w:r>
                </w:p>
              </w:tc>
              <w:tc>
                <w:tcPr>
                  <w:tcW w:w="1716" w:type="dxa"/>
                  <w:vAlign w:val="center"/>
                </w:tcPr>
                <w:p>
                  <w:pPr>
                    <w:pStyle w:val="24"/>
                    <w:jc w:val="center"/>
                    <w:rPr>
                      <w:bCs/>
                      <w:color w:val="auto"/>
                      <w:sz w:val="21"/>
                      <w:szCs w:val="21"/>
                    </w:rPr>
                  </w:pPr>
                  <w:r>
                    <w:rPr>
                      <w:rFonts w:hint="eastAsia"/>
                      <w:bCs/>
                      <w:color w:val="auto"/>
                      <w:sz w:val="21"/>
                      <w:szCs w:val="21"/>
                    </w:rPr>
                    <w:t>滴水</w:t>
                  </w:r>
                </w:p>
              </w:tc>
              <w:tc>
                <w:tcPr>
                  <w:tcW w:w="1558" w:type="dxa"/>
                  <w:vAlign w:val="center"/>
                </w:tcPr>
                <w:p>
                  <w:pPr>
                    <w:pStyle w:val="24"/>
                    <w:jc w:val="center"/>
                    <w:rPr>
                      <w:bCs/>
                      <w:color w:val="auto"/>
                      <w:sz w:val="21"/>
                      <w:szCs w:val="21"/>
                    </w:rPr>
                  </w:pPr>
                  <w:r>
                    <w:rPr>
                      <w:rFonts w:hint="eastAsia"/>
                      <w:bCs/>
                      <w:color w:val="auto"/>
                      <w:sz w:val="21"/>
                      <w:szCs w:val="21"/>
                    </w:rPr>
                    <w:t>5-8min</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6</w:t>
                  </w:r>
                </w:p>
              </w:tc>
              <w:tc>
                <w:tcPr>
                  <w:tcW w:w="1716" w:type="dxa"/>
                  <w:vAlign w:val="center"/>
                </w:tcPr>
                <w:p>
                  <w:pPr>
                    <w:pStyle w:val="24"/>
                    <w:jc w:val="center"/>
                    <w:rPr>
                      <w:bCs/>
                      <w:color w:val="auto"/>
                      <w:sz w:val="21"/>
                      <w:szCs w:val="21"/>
                    </w:rPr>
                  </w:pPr>
                  <w:r>
                    <w:rPr>
                      <w:rFonts w:hint="eastAsia"/>
                      <w:bCs/>
                      <w:color w:val="auto"/>
                      <w:sz w:val="21"/>
                      <w:szCs w:val="21"/>
                    </w:rPr>
                    <w:t>脱水炉</w:t>
                  </w:r>
                </w:p>
              </w:tc>
              <w:tc>
                <w:tcPr>
                  <w:tcW w:w="1558" w:type="dxa"/>
                  <w:vAlign w:val="center"/>
                </w:tcPr>
                <w:p>
                  <w:pPr>
                    <w:pStyle w:val="24"/>
                    <w:jc w:val="center"/>
                    <w:rPr>
                      <w:bCs/>
                      <w:color w:val="auto"/>
                      <w:sz w:val="21"/>
                      <w:szCs w:val="21"/>
                    </w:rPr>
                  </w:pPr>
                  <w:r>
                    <w:rPr>
                      <w:rFonts w:hint="eastAsia"/>
                      <w:bCs/>
                      <w:color w:val="auto"/>
                      <w:sz w:val="21"/>
                      <w:szCs w:val="21"/>
                    </w:rPr>
                    <w:t>8~10min</w:t>
                  </w:r>
                </w:p>
              </w:tc>
              <w:tc>
                <w:tcPr>
                  <w:tcW w:w="1932" w:type="dxa"/>
                  <w:vAlign w:val="center"/>
                </w:tcPr>
                <w:p>
                  <w:pPr>
                    <w:pStyle w:val="24"/>
                    <w:jc w:val="center"/>
                    <w:rPr>
                      <w:bCs/>
                      <w:color w:val="auto"/>
                      <w:sz w:val="21"/>
                      <w:szCs w:val="21"/>
                    </w:rPr>
                  </w:pPr>
                  <w:r>
                    <w:rPr>
                      <w:rFonts w:hint="eastAsia"/>
                      <w:bCs/>
                      <w:color w:val="auto"/>
                      <w:sz w:val="21"/>
                      <w:szCs w:val="21"/>
                    </w:rPr>
                    <w:t>80-150°</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7</w:t>
                  </w:r>
                </w:p>
              </w:tc>
              <w:tc>
                <w:tcPr>
                  <w:tcW w:w="1716" w:type="dxa"/>
                  <w:vAlign w:val="center"/>
                </w:tcPr>
                <w:p>
                  <w:pPr>
                    <w:pStyle w:val="24"/>
                    <w:jc w:val="center"/>
                    <w:rPr>
                      <w:bCs/>
                      <w:color w:val="auto"/>
                      <w:sz w:val="21"/>
                      <w:szCs w:val="21"/>
                    </w:rPr>
                  </w:pPr>
                  <w:r>
                    <w:rPr>
                      <w:rFonts w:hint="eastAsia"/>
                      <w:bCs/>
                      <w:color w:val="auto"/>
                      <w:sz w:val="21"/>
                      <w:szCs w:val="21"/>
                    </w:rPr>
                    <w:t>冷却</w:t>
                  </w:r>
                </w:p>
              </w:tc>
              <w:tc>
                <w:tcPr>
                  <w:tcW w:w="1558" w:type="dxa"/>
                  <w:vAlign w:val="center"/>
                </w:tcPr>
                <w:p>
                  <w:pPr>
                    <w:pStyle w:val="24"/>
                    <w:jc w:val="center"/>
                    <w:rPr>
                      <w:bCs/>
                      <w:color w:val="auto"/>
                      <w:sz w:val="21"/>
                      <w:szCs w:val="21"/>
                    </w:rPr>
                  </w:pPr>
                  <w:r>
                    <w:rPr>
                      <w:rFonts w:hint="eastAsia"/>
                      <w:bCs/>
                      <w:color w:val="auto"/>
                      <w:sz w:val="21"/>
                      <w:szCs w:val="21"/>
                    </w:rPr>
                    <w:t>约3-5min</w:t>
                  </w:r>
                </w:p>
              </w:tc>
              <w:tc>
                <w:tcPr>
                  <w:tcW w:w="1932" w:type="dxa"/>
                  <w:vAlign w:val="center"/>
                </w:tcPr>
                <w:p>
                  <w:pPr>
                    <w:pStyle w:val="24"/>
                    <w:jc w:val="center"/>
                    <w:rPr>
                      <w:bCs/>
                      <w:color w:val="auto"/>
                      <w:sz w:val="21"/>
                      <w:szCs w:val="21"/>
                    </w:rPr>
                  </w:pPr>
                  <w:r>
                    <w:rPr>
                      <w:rFonts w:hint="eastAsia"/>
                      <w:bCs/>
                      <w:color w:val="auto"/>
                      <w:sz w:val="21"/>
                      <w:szCs w:val="21"/>
                    </w:rPr>
                    <w:t>R .T</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8</w:t>
                  </w:r>
                </w:p>
              </w:tc>
              <w:tc>
                <w:tcPr>
                  <w:tcW w:w="1716" w:type="dxa"/>
                  <w:vAlign w:val="center"/>
                </w:tcPr>
                <w:p>
                  <w:pPr>
                    <w:pStyle w:val="24"/>
                    <w:jc w:val="center"/>
                    <w:rPr>
                      <w:bCs/>
                      <w:color w:val="auto"/>
                      <w:sz w:val="21"/>
                      <w:szCs w:val="21"/>
                    </w:rPr>
                  </w:pPr>
                  <w:r>
                    <w:rPr>
                      <w:rFonts w:hint="eastAsia"/>
                      <w:bCs/>
                      <w:color w:val="auto"/>
                      <w:sz w:val="21"/>
                      <w:szCs w:val="21"/>
                    </w:rPr>
                    <w:t>喷粉</w:t>
                  </w:r>
                </w:p>
              </w:tc>
              <w:tc>
                <w:tcPr>
                  <w:tcW w:w="1558" w:type="dxa"/>
                  <w:vAlign w:val="center"/>
                </w:tcPr>
                <w:p>
                  <w:pPr>
                    <w:pStyle w:val="24"/>
                    <w:jc w:val="center"/>
                    <w:rPr>
                      <w:bCs/>
                      <w:color w:val="auto"/>
                      <w:sz w:val="21"/>
                      <w:szCs w:val="21"/>
                    </w:rPr>
                  </w:pPr>
                  <w:r>
                    <w:rPr>
                      <w:rFonts w:hint="eastAsia"/>
                      <w:bCs/>
                      <w:color w:val="auto"/>
                      <w:sz w:val="21"/>
                      <w:szCs w:val="21"/>
                    </w:rPr>
                    <w:t>20-60s</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人工+自动往复机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9</w:t>
                  </w:r>
                </w:p>
              </w:tc>
              <w:tc>
                <w:tcPr>
                  <w:tcW w:w="1716" w:type="dxa"/>
                  <w:vAlign w:val="center"/>
                </w:tcPr>
                <w:p>
                  <w:pPr>
                    <w:pStyle w:val="24"/>
                    <w:jc w:val="center"/>
                    <w:rPr>
                      <w:bCs/>
                      <w:color w:val="auto"/>
                      <w:sz w:val="21"/>
                      <w:szCs w:val="21"/>
                    </w:rPr>
                  </w:pPr>
                  <w:r>
                    <w:rPr>
                      <w:rFonts w:hint="eastAsia"/>
                      <w:bCs/>
                      <w:color w:val="auto"/>
                      <w:sz w:val="21"/>
                      <w:szCs w:val="21"/>
                    </w:rPr>
                    <w:t>固化炉</w:t>
                  </w:r>
                </w:p>
              </w:tc>
              <w:tc>
                <w:tcPr>
                  <w:tcW w:w="1558" w:type="dxa"/>
                  <w:vAlign w:val="center"/>
                </w:tcPr>
                <w:p>
                  <w:pPr>
                    <w:pStyle w:val="24"/>
                    <w:jc w:val="center"/>
                    <w:rPr>
                      <w:bCs/>
                      <w:color w:val="auto"/>
                      <w:sz w:val="21"/>
                      <w:szCs w:val="21"/>
                    </w:rPr>
                  </w:pPr>
                  <w:r>
                    <w:rPr>
                      <w:rFonts w:hint="eastAsia"/>
                      <w:bCs/>
                      <w:color w:val="auto"/>
                      <w:sz w:val="21"/>
                      <w:szCs w:val="21"/>
                    </w:rPr>
                    <w:t>15~20min</w:t>
                  </w:r>
                </w:p>
              </w:tc>
              <w:tc>
                <w:tcPr>
                  <w:tcW w:w="1932" w:type="dxa"/>
                  <w:vAlign w:val="center"/>
                </w:tcPr>
                <w:p>
                  <w:pPr>
                    <w:pStyle w:val="24"/>
                    <w:jc w:val="center"/>
                    <w:rPr>
                      <w:bCs/>
                      <w:color w:val="auto"/>
                      <w:sz w:val="21"/>
                      <w:szCs w:val="21"/>
                    </w:rPr>
                  </w:pPr>
                  <w:r>
                    <w:rPr>
                      <w:rFonts w:hint="eastAsia"/>
                      <w:bCs/>
                      <w:color w:val="auto"/>
                      <w:sz w:val="21"/>
                      <w:szCs w:val="21"/>
                    </w:rPr>
                    <w:t>180-220°</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10</w:t>
                  </w:r>
                </w:p>
              </w:tc>
              <w:tc>
                <w:tcPr>
                  <w:tcW w:w="1716" w:type="dxa"/>
                  <w:vAlign w:val="center"/>
                </w:tcPr>
                <w:p>
                  <w:pPr>
                    <w:pStyle w:val="24"/>
                    <w:jc w:val="center"/>
                    <w:rPr>
                      <w:bCs/>
                      <w:color w:val="auto"/>
                      <w:sz w:val="21"/>
                      <w:szCs w:val="21"/>
                    </w:rPr>
                  </w:pPr>
                  <w:r>
                    <w:rPr>
                      <w:rFonts w:hint="eastAsia"/>
                      <w:bCs/>
                      <w:color w:val="auto"/>
                      <w:sz w:val="21"/>
                      <w:szCs w:val="21"/>
                    </w:rPr>
                    <w:t>冷却</w:t>
                  </w:r>
                </w:p>
              </w:tc>
              <w:tc>
                <w:tcPr>
                  <w:tcW w:w="1558" w:type="dxa"/>
                  <w:vAlign w:val="center"/>
                </w:tcPr>
                <w:p>
                  <w:pPr>
                    <w:pStyle w:val="24"/>
                    <w:jc w:val="center"/>
                    <w:rPr>
                      <w:bCs/>
                      <w:color w:val="auto"/>
                      <w:sz w:val="21"/>
                      <w:szCs w:val="21"/>
                    </w:rPr>
                  </w:pPr>
                  <w:r>
                    <w:rPr>
                      <w:rFonts w:hint="eastAsia"/>
                      <w:bCs/>
                      <w:color w:val="auto"/>
                      <w:sz w:val="21"/>
                      <w:szCs w:val="21"/>
                    </w:rPr>
                    <w:t>约6-10min</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958" w:type="dxa"/>
                  <w:vAlign w:val="center"/>
                </w:tcPr>
                <w:p>
                  <w:pPr>
                    <w:pStyle w:val="24"/>
                    <w:jc w:val="center"/>
                    <w:rPr>
                      <w:bCs/>
                      <w:color w:val="auto"/>
                      <w:sz w:val="21"/>
                      <w:szCs w:val="21"/>
                    </w:rPr>
                  </w:pPr>
                  <w:r>
                    <w:rPr>
                      <w:rFonts w:hint="eastAsia"/>
                      <w:bCs/>
                      <w:color w:val="auto"/>
                      <w:sz w:val="21"/>
                      <w:szCs w:val="21"/>
                    </w:rPr>
                    <w:t>11</w:t>
                  </w:r>
                </w:p>
              </w:tc>
              <w:tc>
                <w:tcPr>
                  <w:tcW w:w="1716" w:type="dxa"/>
                  <w:vAlign w:val="center"/>
                </w:tcPr>
                <w:p>
                  <w:pPr>
                    <w:pStyle w:val="24"/>
                    <w:jc w:val="center"/>
                    <w:rPr>
                      <w:bCs/>
                      <w:color w:val="auto"/>
                      <w:sz w:val="21"/>
                      <w:szCs w:val="21"/>
                    </w:rPr>
                  </w:pPr>
                  <w:r>
                    <w:rPr>
                      <w:rFonts w:hint="eastAsia"/>
                      <w:bCs/>
                      <w:color w:val="auto"/>
                      <w:sz w:val="21"/>
                      <w:szCs w:val="21"/>
                    </w:rPr>
                    <w:t>下件</w:t>
                  </w:r>
                </w:p>
              </w:tc>
              <w:tc>
                <w:tcPr>
                  <w:tcW w:w="1558" w:type="dxa"/>
                  <w:vAlign w:val="center"/>
                </w:tcPr>
                <w:p>
                  <w:pPr>
                    <w:pStyle w:val="24"/>
                    <w:jc w:val="center"/>
                    <w:rPr>
                      <w:bCs/>
                      <w:color w:val="auto"/>
                      <w:sz w:val="21"/>
                      <w:szCs w:val="21"/>
                    </w:rPr>
                  </w:pPr>
                  <w:r>
                    <w:rPr>
                      <w:rFonts w:hint="eastAsia"/>
                      <w:bCs/>
                      <w:color w:val="auto"/>
                      <w:sz w:val="21"/>
                      <w:szCs w:val="21"/>
                    </w:rPr>
                    <w:t>3min</w:t>
                  </w:r>
                </w:p>
              </w:tc>
              <w:tc>
                <w:tcPr>
                  <w:tcW w:w="1932" w:type="dxa"/>
                  <w:vAlign w:val="center"/>
                </w:tcPr>
                <w:p>
                  <w:pPr>
                    <w:jc w:val="center"/>
                    <w:rPr>
                      <w:bCs/>
                      <w:color w:val="auto"/>
                      <w:szCs w:val="21"/>
                    </w:rPr>
                  </w:pPr>
                  <w:r>
                    <w:rPr>
                      <w:rFonts w:hint="eastAsia"/>
                      <w:bCs/>
                      <w:color w:val="auto"/>
                      <w:szCs w:val="21"/>
                    </w:rPr>
                    <w:t>R .T</w:t>
                  </w:r>
                </w:p>
              </w:tc>
              <w:tc>
                <w:tcPr>
                  <w:tcW w:w="2358" w:type="dxa"/>
                  <w:vAlign w:val="center"/>
                </w:tcPr>
                <w:p>
                  <w:pPr>
                    <w:pStyle w:val="24"/>
                    <w:jc w:val="center"/>
                    <w:rPr>
                      <w:bCs/>
                      <w:color w:val="auto"/>
                      <w:sz w:val="21"/>
                      <w:szCs w:val="21"/>
                    </w:rPr>
                  </w:pPr>
                  <w:r>
                    <w:rPr>
                      <w:rFonts w:hint="eastAsia"/>
                      <w:bCs/>
                      <w:color w:val="auto"/>
                      <w:sz w:val="21"/>
                      <w:szCs w:val="21"/>
                    </w:rPr>
                    <w:t>人工</w:t>
                  </w:r>
                </w:p>
              </w:tc>
            </w:tr>
          </w:tbl>
          <w:p>
            <w:pPr>
              <w:spacing w:line="360" w:lineRule="auto"/>
              <w:ind w:firstLine="472" w:firstLineChars="200"/>
              <w:rPr>
                <w:color w:val="auto"/>
                <w:sz w:val="24"/>
                <w:szCs w:val="24"/>
              </w:rPr>
            </w:pPr>
            <w:r>
              <w:rPr>
                <w:rFonts w:hint="eastAsia"/>
                <w:color w:val="auto"/>
                <w:sz w:val="24"/>
                <w:szCs w:val="24"/>
              </w:rPr>
              <w:t>①水洗1：手工将工件悬挂于前处理生产线</w:t>
            </w:r>
            <w:r>
              <w:rPr>
                <w:rFonts w:hint="eastAsia"/>
                <w:color w:val="auto"/>
                <w:sz w:val="24"/>
                <w:szCs w:val="24"/>
                <w:highlight w:val="none"/>
              </w:rPr>
              <w:t>，用常温的自来水喷淋，除去工</w:t>
            </w:r>
            <w:r>
              <w:rPr>
                <w:rFonts w:hint="eastAsia"/>
                <w:color w:val="auto"/>
                <w:sz w:val="24"/>
                <w:szCs w:val="24"/>
              </w:rPr>
              <w:t>件表面的杂质，对工件表面的油脂也有一定的去除作用，水洗用水循环使用，</w:t>
            </w:r>
            <w:r>
              <w:rPr>
                <w:rFonts w:hint="eastAsia"/>
                <w:color w:val="auto"/>
                <w:sz w:val="24"/>
                <w:szCs w:val="24"/>
                <w:lang w:val="en-US" w:eastAsia="zh-CN"/>
              </w:rPr>
              <w:t>定期</w:t>
            </w:r>
            <w:r>
              <w:rPr>
                <w:rFonts w:hint="eastAsia"/>
                <w:color w:val="auto"/>
                <w:sz w:val="24"/>
                <w:szCs w:val="24"/>
              </w:rPr>
              <w:t>更换。</w:t>
            </w:r>
          </w:p>
          <w:p>
            <w:pPr>
              <w:spacing w:line="360" w:lineRule="auto"/>
              <w:ind w:firstLine="472" w:firstLineChars="200"/>
              <w:rPr>
                <w:b/>
                <w:bCs/>
                <w:color w:val="auto"/>
                <w:sz w:val="24"/>
                <w:szCs w:val="24"/>
              </w:rPr>
            </w:pPr>
            <w:r>
              <w:rPr>
                <w:rFonts w:hint="eastAsia"/>
                <w:b/>
                <w:bCs/>
                <w:color w:val="auto"/>
                <w:sz w:val="24"/>
                <w:szCs w:val="24"/>
              </w:rPr>
              <w:t>该工序产生冲洗废水W1和喷淋泵的噪声N，废水中主要污染物有pH、COD、SS、石油类等。</w:t>
            </w:r>
          </w:p>
          <w:p>
            <w:pPr>
              <w:spacing w:line="360" w:lineRule="auto"/>
              <w:ind w:firstLine="472" w:firstLineChars="200"/>
              <w:rPr>
                <w:color w:val="auto"/>
                <w:sz w:val="24"/>
                <w:szCs w:val="24"/>
              </w:rPr>
            </w:pPr>
            <w:r>
              <w:rPr>
                <w:rFonts w:hint="eastAsia" w:eastAsiaTheme="minorEastAsia"/>
                <w:color w:val="auto"/>
                <w:sz w:val="24"/>
                <w:szCs w:val="24"/>
              </w:rPr>
              <w:t>②脱脂：该工序脱脂采用</w:t>
            </w:r>
            <w:r>
              <w:rPr>
                <w:rFonts w:hint="eastAsia" w:eastAsiaTheme="minorEastAsia"/>
                <w:color w:val="auto"/>
                <w:sz w:val="24"/>
                <w:szCs w:val="24"/>
                <w:lang w:val="en-US" w:eastAsia="zh-CN"/>
              </w:rPr>
              <w:t>脱脂剂</w:t>
            </w:r>
            <w:r>
              <w:rPr>
                <w:rFonts w:hint="eastAsia" w:eastAsiaTheme="minorEastAsia"/>
                <w:color w:val="auto"/>
                <w:sz w:val="24"/>
                <w:szCs w:val="24"/>
              </w:rPr>
              <w:t xml:space="preserve">脱脂， </w:t>
            </w:r>
            <w:r>
              <w:rPr>
                <w:rFonts w:hint="eastAsia" w:eastAsiaTheme="minorEastAsia"/>
                <w:color w:val="auto"/>
                <w:sz w:val="24"/>
                <w:szCs w:val="24"/>
                <w:lang w:val="en-US" w:eastAsia="zh-CN"/>
              </w:rPr>
              <w:t>脱脂剂</w:t>
            </w:r>
            <w:r>
              <w:rPr>
                <w:rFonts w:hint="eastAsia" w:eastAsiaTheme="minorEastAsia"/>
                <w:color w:val="auto"/>
                <w:sz w:val="24"/>
                <w:szCs w:val="24"/>
              </w:rPr>
              <w:t>由氧化剂、络合剂、缓蚀剂等复配而成，在一个槽内即可完成预脱脂和脱脂全过程。自来水冲洗过的工件，送入脱脂槽，用脱脂</w:t>
            </w:r>
            <w:r>
              <w:rPr>
                <w:rFonts w:hint="eastAsia"/>
                <w:color w:val="auto"/>
                <w:sz w:val="24"/>
                <w:szCs w:val="24"/>
              </w:rPr>
              <w:t>剂槽液喷淋，除去工件表面的油污。脱脂液重复使用，当脱脂槽表面漂有较多油污时，则排放槽液，补充新槽液。</w:t>
            </w:r>
          </w:p>
          <w:p>
            <w:pPr>
              <w:spacing w:line="360" w:lineRule="auto"/>
              <w:ind w:firstLine="472" w:firstLineChars="200"/>
              <w:rPr>
                <w:color w:val="auto"/>
                <w:sz w:val="24"/>
                <w:szCs w:val="24"/>
              </w:rPr>
            </w:pPr>
            <w:r>
              <w:rPr>
                <w:rFonts w:hint="eastAsia"/>
                <w:color w:val="auto"/>
                <w:sz w:val="24"/>
                <w:szCs w:val="24"/>
              </w:rPr>
              <w:t>本项目以冷轧钢板为原料，采用脱脂剂，脱脂率高，</w:t>
            </w:r>
            <w:r>
              <w:rPr>
                <w:rFonts w:hint="eastAsia"/>
                <w:color w:val="auto"/>
                <w:sz w:val="24"/>
                <w:szCs w:val="24"/>
                <w:lang w:val="en-US" w:eastAsia="zh-CN"/>
              </w:rPr>
              <w:t>定期更换</w:t>
            </w:r>
            <w:r>
              <w:rPr>
                <w:rFonts w:hint="eastAsia"/>
                <w:color w:val="auto"/>
                <w:sz w:val="24"/>
                <w:szCs w:val="24"/>
              </w:rPr>
              <w:t>，废槽液排入废水处理站专用废液池。</w:t>
            </w:r>
          </w:p>
          <w:p>
            <w:pPr>
              <w:spacing w:line="360" w:lineRule="auto"/>
              <w:ind w:firstLine="472" w:firstLineChars="200"/>
              <w:rPr>
                <w:b/>
                <w:bCs/>
                <w:color w:val="auto"/>
                <w:sz w:val="24"/>
                <w:szCs w:val="24"/>
              </w:rPr>
            </w:pPr>
            <w:r>
              <w:rPr>
                <w:rFonts w:hint="eastAsia"/>
                <w:b/>
                <w:bCs/>
                <w:color w:val="auto"/>
                <w:sz w:val="24"/>
                <w:szCs w:val="24"/>
              </w:rPr>
              <w:t>该工序产生脱脂槽液W2和喷淋泵噪声N，废水中主要污染物有pH、COD、SS、石油类、氨氮、阴离子表面活性剂、总磷等，固体废物主要为槽内残渣S5、</w:t>
            </w:r>
            <w:r>
              <w:rPr>
                <w:rFonts w:hint="eastAsia"/>
                <w:b/>
                <w:bCs/>
                <w:color w:val="auto"/>
                <w:sz w:val="24"/>
                <w:szCs w:val="24"/>
                <w:lang w:val="en-US" w:eastAsia="zh-CN"/>
              </w:rPr>
              <w:t>脱脂剂</w:t>
            </w:r>
            <w:r>
              <w:rPr>
                <w:rFonts w:hint="eastAsia"/>
                <w:b/>
                <w:bCs/>
                <w:color w:val="auto"/>
                <w:sz w:val="24"/>
                <w:szCs w:val="24"/>
              </w:rPr>
              <w:t>的废包装桶S6。</w:t>
            </w:r>
          </w:p>
          <w:p>
            <w:pPr>
              <w:spacing w:line="360" w:lineRule="auto"/>
              <w:ind w:firstLine="472" w:firstLineChars="200"/>
              <w:rPr>
                <w:color w:val="auto"/>
                <w:sz w:val="24"/>
                <w:szCs w:val="24"/>
              </w:rPr>
            </w:pPr>
            <w:r>
              <w:rPr>
                <w:rFonts w:hint="eastAsia"/>
                <w:color w:val="auto"/>
                <w:sz w:val="24"/>
                <w:szCs w:val="24"/>
              </w:rPr>
              <w:t>③水洗2：脱脂处理后的工件依次进入2#水洗槽用新鲜自来水喷淋洗去工件表面的残留脱脂液,水洗用水循环使用，</w:t>
            </w:r>
            <w:r>
              <w:rPr>
                <w:rFonts w:hint="eastAsia"/>
                <w:color w:val="auto"/>
                <w:sz w:val="24"/>
                <w:szCs w:val="24"/>
                <w:lang w:val="en-US" w:eastAsia="zh-CN"/>
              </w:rPr>
              <w:t>定期</w:t>
            </w:r>
            <w:r>
              <w:rPr>
                <w:rFonts w:hint="eastAsia"/>
                <w:color w:val="auto"/>
                <w:sz w:val="24"/>
                <w:szCs w:val="24"/>
              </w:rPr>
              <w:t>更换。</w:t>
            </w:r>
          </w:p>
          <w:p>
            <w:pPr>
              <w:spacing w:line="360" w:lineRule="auto"/>
              <w:ind w:firstLine="472" w:firstLineChars="200"/>
              <w:rPr>
                <w:b/>
                <w:bCs/>
                <w:color w:val="auto"/>
                <w:sz w:val="24"/>
                <w:szCs w:val="24"/>
              </w:rPr>
            </w:pPr>
            <w:r>
              <w:rPr>
                <w:rFonts w:hint="eastAsia"/>
                <w:b/>
                <w:bCs/>
                <w:color w:val="auto"/>
                <w:sz w:val="24"/>
                <w:szCs w:val="24"/>
              </w:rPr>
              <w:t>该工序产生冲洗废水W3和喷淋泵噪声N，废水中主要污染物有pH、COD、SS、石油类、氨氮、阴离子表面活性剂、总磷等。</w:t>
            </w:r>
          </w:p>
          <w:p>
            <w:pPr>
              <w:spacing w:line="360" w:lineRule="auto"/>
              <w:ind w:firstLine="472" w:firstLineChars="200"/>
              <w:rPr>
                <w:color w:val="auto"/>
                <w:sz w:val="24"/>
                <w:szCs w:val="24"/>
              </w:rPr>
            </w:pPr>
            <w:r>
              <w:rPr>
                <w:rFonts w:hint="eastAsia"/>
                <w:color w:val="auto"/>
                <w:sz w:val="24"/>
                <w:szCs w:val="24"/>
              </w:rPr>
              <w:t>⑥烘干：自来水冲洗后的工件静置5min，除去工件上较大的水滴后进入桥式隧道水分烘干炉，在温度为180℃（可调）的条件下连续烘干8~10min，然后使工件自然冷却。</w:t>
            </w:r>
          </w:p>
          <w:p>
            <w:pPr>
              <w:spacing w:line="360" w:lineRule="auto"/>
              <w:ind w:firstLine="472" w:firstLineChars="200"/>
              <w:rPr>
                <w:color w:val="auto"/>
                <w:sz w:val="24"/>
                <w:szCs w:val="24"/>
              </w:rPr>
            </w:pPr>
            <w:r>
              <w:rPr>
                <w:rFonts w:hint="eastAsia"/>
                <w:color w:val="auto"/>
                <w:sz w:val="24"/>
                <w:szCs w:val="24"/>
              </w:rPr>
              <w:t>水分烘干炉加热装置采用一台40万大卡天然气燃烧机，采用下送风上回风热风循环系统，送、回风管道、热交换器和炉膛以及废气排放管均采用不锈钢板制作，</w:t>
            </w:r>
            <w:r>
              <w:rPr>
                <w:rFonts w:hint="eastAsia"/>
                <w:color w:val="auto"/>
                <w:sz w:val="24"/>
                <w:szCs w:val="24"/>
                <w:lang w:val="en-US" w:eastAsia="zh-CN"/>
              </w:rPr>
              <w:t>排气筒</w:t>
            </w:r>
            <w:r>
              <w:rPr>
                <w:rFonts w:hint="eastAsia"/>
                <w:color w:val="auto"/>
                <w:sz w:val="24"/>
                <w:szCs w:val="24"/>
              </w:rPr>
              <w:t>高出厂房屋顶</w:t>
            </w:r>
            <w:r>
              <w:rPr>
                <w:rFonts w:hint="eastAsia"/>
                <w:color w:val="auto"/>
                <w:sz w:val="24"/>
                <w:szCs w:val="24"/>
                <w:lang w:val="en-US" w:eastAsia="zh-CN"/>
              </w:rPr>
              <w:t>3</w:t>
            </w:r>
            <w:r>
              <w:rPr>
                <w:rFonts w:hint="eastAsia"/>
                <w:color w:val="auto"/>
                <w:sz w:val="24"/>
                <w:szCs w:val="24"/>
              </w:rPr>
              <w:t>米（总高度不低于15米）。</w:t>
            </w:r>
          </w:p>
          <w:p>
            <w:pPr>
              <w:spacing w:line="360" w:lineRule="auto"/>
              <w:ind w:firstLine="472" w:firstLineChars="200"/>
              <w:rPr>
                <w:b/>
                <w:bCs/>
                <w:color w:val="auto"/>
                <w:sz w:val="24"/>
                <w:szCs w:val="24"/>
              </w:rPr>
            </w:pPr>
            <w:r>
              <w:rPr>
                <w:rFonts w:hint="eastAsia"/>
                <w:b/>
                <w:bCs/>
                <w:color w:val="auto"/>
                <w:sz w:val="24"/>
                <w:szCs w:val="24"/>
              </w:rPr>
              <w:t>本工序产生天然气燃烧废气G4，主要污染因子为颗粒物、SO</w:t>
            </w:r>
            <w:r>
              <w:rPr>
                <w:rFonts w:hint="eastAsia"/>
                <w:b/>
                <w:bCs/>
                <w:color w:val="auto"/>
                <w:sz w:val="24"/>
                <w:szCs w:val="24"/>
                <w:vertAlign w:val="subscript"/>
              </w:rPr>
              <w:t>2</w:t>
            </w:r>
            <w:r>
              <w:rPr>
                <w:rFonts w:hint="eastAsia"/>
                <w:b/>
                <w:bCs/>
                <w:color w:val="auto"/>
                <w:sz w:val="24"/>
                <w:szCs w:val="24"/>
              </w:rPr>
              <w:t>、NO</w:t>
            </w:r>
            <w:r>
              <w:rPr>
                <w:rFonts w:hint="eastAsia"/>
                <w:b/>
                <w:bCs/>
                <w:color w:val="auto"/>
                <w:sz w:val="24"/>
                <w:szCs w:val="24"/>
                <w:vertAlign w:val="subscript"/>
              </w:rPr>
              <w:t>X，</w:t>
            </w:r>
            <w:r>
              <w:rPr>
                <w:rFonts w:hint="eastAsia"/>
                <w:b/>
                <w:bCs/>
                <w:color w:val="auto"/>
                <w:sz w:val="24"/>
                <w:szCs w:val="24"/>
              </w:rPr>
              <w:t>天然气燃烧机废气通过1根15m高排气筒排放；噪声源主要为风机机械噪声N。</w:t>
            </w:r>
          </w:p>
          <w:p>
            <w:pPr>
              <w:spacing w:line="360" w:lineRule="auto"/>
              <w:ind w:firstLine="472" w:firstLineChars="200"/>
              <w:rPr>
                <w:color w:val="auto"/>
                <w:sz w:val="24"/>
                <w:szCs w:val="24"/>
              </w:rPr>
            </w:pPr>
            <w:r>
              <w:rPr>
                <w:rFonts w:hint="eastAsia"/>
                <w:color w:val="auto"/>
                <w:sz w:val="24"/>
                <w:szCs w:val="24"/>
              </w:rPr>
              <w:t>（2）涂装</w:t>
            </w:r>
          </w:p>
          <w:p>
            <w:pPr>
              <w:spacing w:line="360" w:lineRule="auto"/>
              <w:ind w:firstLine="472" w:firstLineChars="200"/>
              <w:rPr>
                <w:color w:val="auto"/>
                <w:sz w:val="24"/>
                <w:szCs w:val="24"/>
              </w:rPr>
            </w:pPr>
            <w:r>
              <w:rPr>
                <w:rFonts w:hint="eastAsia"/>
                <w:color w:val="auto"/>
                <w:sz w:val="24"/>
                <w:szCs w:val="24"/>
              </w:rPr>
              <w:t>工件的涂装包括静电粉末喷涂、粉末固化、冷却、下件工序。本项目采用吊装静电粉末喷涂，吊装方式为空中悬挂连续运转。涂装工艺参数如表2-6所示。</w:t>
            </w:r>
          </w:p>
          <w:p>
            <w:pPr>
              <w:spacing w:line="360" w:lineRule="auto"/>
              <w:jc w:val="center"/>
              <w:rPr>
                <w:b/>
                <w:color w:val="auto"/>
                <w:sz w:val="24"/>
                <w:szCs w:val="24"/>
              </w:rPr>
            </w:pPr>
            <w:r>
              <w:rPr>
                <w:rFonts w:hint="eastAsia"/>
                <w:b/>
                <w:color w:val="auto"/>
                <w:sz w:val="24"/>
                <w:szCs w:val="24"/>
              </w:rPr>
              <w:t>表2-6  涂装工艺及参数</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889"/>
              <w:gridCol w:w="1846"/>
              <w:gridCol w:w="16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序号</w:t>
                  </w:r>
                </w:p>
              </w:tc>
              <w:tc>
                <w:tcPr>
                  <w:tcW w:w="1889" w:type="dxa"/>
                  <w:vAlign w:val="center"/>
                </w:tcPr>
                <w:p>
                  <w:pPr>
                    <w:pStyle w:val="24"/>
                    <w:jc w:val="center"/>
                    <w:rPr>
                      <w:bCs/>
                      <w:color w:val="auto"/>
                      <w:sz w:val="21"/>
                      <w:szCs w:val="21"/>
                    </w:rPr>
                  </w:pPr>
                  <w:r>
                    <w:rPr>
                      <w:rFonts w:hint="eastAsia"/>
                      <w:bCs/>
                      <w:color w:val="auto"/>
                      <w:sz w:val="21"/>
                      <w:szCs w:val="21"/>
                    </w:rPr>
                    <w:t>工艺名称</w:t>
                  </w:r>
                </w:p>
              </w:tc>
              <w:tc>
                <w:tcPr>
                  <w:tcW w:w="1846" w:type="dxa"/>
                  <w:vAlign w:val="center"/>
                </w:tcPr>
                <w:p>
                  <w:pPr>
                    <w:pStyle w:val="24"/>
                    <w:jc w:val="center"/>
                    <w:rPr>
                      <w:bCs/>
                      <w:color w:val="auto"/>
                      <w:sz w:val="21"/>
                      <w:szCs w:val="21"/>
                    </w:rPr>
                  </w:pPr>
                  <w:r>
                    <w:rPr>
                      <w:rFonts w:hint="eastAsia"/>
                      <w:bCs/>
                      <w:color w:val="auto"/>
                      <w:sz w:val="21"/>
                      <w:szCs w:val="21"/>
                    </w:rPr>
                    <w:t>工艺时间</w:t>
                  </w:r>
                </w:p>
              </w:tc>
              <w:tc>
                <w:tcPr>
                  <w:tcW w:w="1620" w:type="dxa"/>
                  <w:vAlign w:val="center"/>
                </w:tcPr>
                <w:p>
                  <w:pPr>
                    <w:pStyle w:val="24"/>
                    <w:jc w:val="center"/>
                    <w:rPr>
                      <w:bCs/>
                      <w:color w:val="auto"/>
                      <w:sz w:val="21"/>
                      <w:szCs w:val="21"/>
                    </w:rPr>
                  </w:pPr>
                  <w:r>
                    <w:rPr>
                      <w:rFonts w:hint="eastAsia"/>
                      <w:bCs/>
                      <w:color w:val="auto"/>
                      <w:sz w:val="21"/>
                      <w:szCs w:val="21"/>
                    </w:rPr>
                    <w:t>工艺温度（℃）</w:t>
                  </w:r>
                </w:p>
              </w:tc>
              <w:tc>
                <w:tcPr>
                  <w:tcW w:w="1790" w:type="dxa"/>
                  <w:vAlign w:val="center"/>
                </w:tcPr>
                <w:p>
                  <w:pPr>
                    <w:pStyle w:val="24"/>
                    <w:jc w:val="center"/>
                    <w:rPr>
                      <w:bCs/>
                      <w:color w:val="auto"/>
                      <w:sz w:val="21"/>
                      <w:szCs w:val="21"/>
                    </w:rPr>
                  </w:pPr>
                  <w:r>
                    <w:rPr>
                      <w:rFonts w:hint="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1</w:t>
                  </w:r>
                </w:p>
              </w:tc>
              <w:tc>
                <w:tcPr>
                  <w:tcW w:w="1889" w:type="dxa"/>
                  <w:vAlign w:val="center"/>
                </w:tcPr>
                <w:p>
                  <w:pPr>
                    <w:pStyle w:val="24"/>
                    <w:jc w:val="center"/>
                    <w:rPr>
                      <w:bCs/>
                      <w:color w:val="auto"/>
                      <w:sz w:val="21"/>
                      <w:szCs w:val="21"/>
                    </w:rPr>
                  </w:pPr>
                  <w:r>
                    <w:rPr>
                      <w:rFonts w:hint="eastAsia"/>
                      <w:bCs/>
                      <w:color w:val="auto"/>
                      <w:sz w:val="21"/>
                      <w:szCs w:val="21"/>
                    </w:rPr>
                    <w:t>上件</w:t>
                  </w:r>
                </w:p>
              </w:tc>
              <w:tc>
                <w:tcPr>
                  <w:tcW w:w="1846" w:type="dxa"/>
                  <w:vAlign w:val="center"/>
                </w:tcPr>
                <w:p>
                  <w:pPr>
                    <w:pStyle w:val="24"/>
                    <w:jc w:val="center"/>
                    <w:rPr>
                      <w:bCs/>
                      <w:color w:val="auto"/>
                      <w:sz w:val="21"/>
                      <w:szCs w:val="21"/>
                    </w:rPr>
                  </w:pPr>
                  <w:r>
                    <w:rPr>
                      <w:rFonts w:hint="eastAsia"/>
                      <w:bCs/>
                      <w:color w:val="auto"/>
                      <w:sz w:val="21"/>
                      <w:szCs w:val="21"/>
                    </w:rPr>
                    <w:t>3-5min</w:t>
                  </w:r>
                </w:p>
              </w:tc>
              <w:tc>
                <w:tcPr>
                  <w:tcW w:w="1620" w:type="dxa"/>
                  <w:vAlign w:val="center"/>
                </w:tcPr>
                <w:p>
                  <w:pPr>
                    <w:pStyle w:val="24"/>
                    <w:jc w:val="center"/>
                    <w:rPr>
                      <w:bCs/>
                      <w:color w:val="auto"/>
                      <w:sz w:val="21"/>
                      <w:szCs w:val="21"/>
                    </w:rPr>
                  </w:pPr>
                  <w:r>
                    <w:rPr>
                      <w:rFonts w:hint="eastAsia"/>
                      <w:bCs/>
                      <w:color w:val="auto"/>
                      <w:sz w:val="21"/>
                      <w:szCs w:val="21"/>
                    </w:rPr>
                    <w:t>R .T</w:t>
                  </w:r>
                </w:p>
              </w:tc>
              <w:tc>
                <w:tcPr>
                  <w:tcW w:w="1790" w:type="dxa"/>
                  <w:vAlign w:val="center"/>
                </w:tcPr>
                <w:p>
                  <w:pPr>
                    <w:pStyle w:val="24"/>
                    <w:jc w:val="center"/>
                    <w:rPr>
                      <w:bCs/>
                      <w:color w:val="auto"/>
                      <w:sz w:val="21"/>
                      <w:szCs w:val="21"/>
                    </w:rPr>
                  </w:pPr>
                  <w:r>
                    <w:rPr>
                      <w:rFonts w:hint="eastAsia"/>
                      <w:bCs/>
                      <w:color w:val="auto"/>
                      <w:sz w:val="21"/>
                      <w:szCs w:val="21"/>
                    </w:rPr>
                    <w:t>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2</w:t>
                  </w:r>
                </w:p>
              </w:tc>
              <w:tc>
                <w:tcPr>
                  <w:tcW w:w="1889" w:type="dxa"/>
                  <w:vAlign w:val="center"/>
                </w:tcPr>
                <w:p>
                  <w:pPr>
                    <w:pStyle w:val="24"/>
                    <w:jc w:val="center"/>
                    <w:rPr>
                      <w:bCs/>
                      <w:color w:val="auto"/>
                      <w:kern w:val="0"/>
                      <w:sz w:val="21"/>
                      <w:szCs w:val="21"/>
                    </w:rPr>
                  </w:pPr>
                  <w:r>
                    <w:rPr>
                      <w:rFonts w:hint="eastAsia"/>
                      <w:bCs/>
                      <w:color w:val="auto"/>
                      <w:sz w:val="21"/>
                      <w:szCs w:val="21"/>
                    </w:rPr>
                    <w:t>静电粉末喷涂</w:t>
                  </w:r>
                </w:p>
              </w:tc>
              <w:tc>
                <w:tcPr>
                  <w:tcW w:w="1846" w:type="dxa"/>
                  <w:vAlign w:val="center"/>
                </w:tcPr>
                <w:p>
                  <w:pPr>
                    <w:pStyle w:val="24"/>
                    <w:jc w:val="center"/>
                    <w:rPr>
                      <w:bCs/>
                      <w:color w:val="auto"/>
                      <w:kern w:val="0"/>
                      <w:sz w:val="21"/>
                      <w:szCs w:val="21"/>
                    </w:rPr>
                  </w:pPr>
                  <w:r>
                    <w:rPr>
                      <w:rFonts w:hint="eastAsia"/>
                      <w:bCs/>
                      <w:color w:val="auto"/>
                      <w:kern w:val="0"/>
                      <w:sz w:val="21"/>
                      <w:szCs w:val="21"/>
                    </w:rPr>
                    <w:t>5-10min</w:t>
                  </w:r>
                </w:p>
              </w:tc>
              <w:tc>
                <w:tcPr>
                  <w:tcW w:w="1620" w:type="dxa"/>
                  <w:vAlign w:val="center"/>
                </w:tcPr>
                <w:p>
                  <w:pPr>
                    <w:pStyle w:val="24"/>
                    <w:jc w:val="center"/>
                    <w:rPr>
                      <w:bCs/>
                      <w:color w:val="auto"/>
                      <w:kern w:val="0"/>
                      <w:sz w:val="21"/>
                      <w:szCs w:val="21"/>
                    </w:rPr>
                  </w:pPr>
                  <w:r>
                    <w:rPr>
                      <w:rFonts w:hint="eastAsia"/>
                      <w:bCs/>
                      <w:color w:val="auto"/>
                      <w:sz w:val="21"/>
                      <w:szCs w:val="21"/>
                    </w:rPr>
                    <w:t>R .T</w:t>
                  </w:r>
                </w:p>
              </w:tc>
              <w:tc>
                <w:tcPr>
                  <w:tcW w:w="1790" w:type="dxa"/>
                  <w:vAlign w:val="center"/>
                </w:tcPr>
                <w:p>
                  <w:pPr>
                    <w:pStyle w:val="24"/>
                    <w:rPr>
                      <w:bCs/>
                      <w:color w:val="auto"/>
                      <w:kern w:val="0"/>
                      <w:sz w:val="21"/>
                      <w:szCs w:val="21"/>
                    </w:rPr>
                  </w:pPr>
                  <w:r>
                    <w:rPr>
                      <w:bCs/>
                      <w:color w:val="auto"/>
                      <w:kern w:val="0"/>
                      <w:sz w:val="21"/>
                      <w:szCs w:val="21"/>
                    </w:rPr>
                    <w:t>人工+自动往复机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3</w:t>
                  </w:r>
                </w:p>
              </w:tc>
              <w:tc>
                <w:tcPr>
                  <w:tcW w:w="1889" w:type="dxa"/>
                  <w:vAlign w:val="center"/>
                </w:tcPr>
                <w:p>
                  <w:pPr>
                    <w:pStyle w:val="24"/>
                    <w:jc w:val="center"/>
                    <w:rPr>
                      <w:bCs/>
                      <w:color w:val="auto"/>
                      <w:kern w:val="0"/>
                      <w:sz w:val="21"/>
                      <w:szCs w:val="21"/>
                    </w:rPr>
                  </w:pPr>
                  <w:r>
                    <w:rPr>
                      <w:rFonts w:hint="eastAsia"/>
                      <w:bCs/>
                      <w:color w:val="auto"/>
                      <w:sz w:val="21"/>
                      <w:szCs w:val="21"/>
                    </w:rPr>
                    <w:t>粉末固化</w:t>
                  </w:r>
                </w:p>
              </w:tc>
              <w:tc>
                <w:tcPr>
                  <w:tcW w:w="1846" w:type="dxa"/>
                  <w:vAlign w:val="center"/>
                </w:tcPr>
                <w:p>
                  <w:pPr>
                    <w:pStyle w:val="24"/>
                    <w:jc w:val="center"/>
                    <w:rPr>
                      <w:bCs/>
                      <w:color w:val="auto"/>
                      <w:kern w:val="0"/>
                      <w:sz w:val="21"/>
                      <w:szCs w:val="21"/>
                    </w:rPr>
                  </w:pPr>
                  <w:r>
                    <w:rPr>
                      <w:rFonts w:hint="eastAsia"/>
                      <w:bCs/>
                      <w:color w:val="auto"/>
                      <w:sz w:val="21"/>
                      <w:szCs w:val="21"/>
                    </w:rPr>
                    <w:t>15~30min</w:t>
                  </w:r>
                </w:p>
              </w:tc>
              <w:tc>
                <w:tcPr>
                  <w:tcW w:w="1620" w:type="dxa"/>
                  <w:vAlign w:val="center"/>
                </w:tcPr>
                <w:p>
                  <w:pPr>
                    <w:pStyle w:val="24"/>
                    <w:jc w:val="center"/>
                    <w:rPr>
                      <w:bCs/>
                      <w:color w:val="auto"/>
                      <w:kern w:val="0"/>
                      <w:sz w:val="21"/>
                      <w:szCs w:val="21"/>
                    </w:rPr>
                  </w:pPr>
                  <w:r>
                    <w:rPr>
                      <w:rFonts w:hint="eastAsia"/>
                      <w:bCs/>
                      <w:color w:val="auto"/>
                      <w:sz w:val="21"/>
                      <w:szCs w:val="21"/>
                    </w:rPr>
                    <w:t>180~220</w:t>
                  </w:r>
                </w:p>
              </w:tc>
              <w:tc>
                <w:tcPr>
                  <w:tcW w:w="1790" w:type="dxa"/>
                  <w:vAlign w:val="center"/>
                </w:tcPr>
                <w:p>
                  <w:pPr>
                    <w:pStyle w:val="24"/>
                    <w:jc w:val="center"/>
                    <w:rPr>
                      <w:bCs/>
                      <w:color w:val="auto"/>
                      <w:kern w:val="0"/>
                      <w:sz w:val="21"/>
                      <w:szCs w:val="21"/>
                    </w:rPr>
                  </w:pPr>
                  <w:r>
                    <w:rPr>
                      <w:rFonts w:hint="eastAsia"/>
                      <w:bCs/>
                      <w:color w:val="auto"/>
                      <w:sz w:val="21"/>
                      <w:szCs w:val="21"/>
                    </w:rPr>
                    <w:t>温度可调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7" w:type="dxa"/>
                  <w:vAlign w:val="center"/>
                </w:tcPr>
                <w:p>
                  <w:pPr>
                    <w:pStyle w:val="24"/>
                    <w:jc w:val="center"/>
                    <w:rPr>
                      <w:bCs/>
                      <w:color w:val="auto"/>
                      <w:sz w:val="21"/>
                      <w:szCs w:val="21"/>
                    </w:rPr>
                  </w:pPr>
                  <w:r>
                    <w:rPr>
                      <w:rFonts w:hint="eastAsia"/>
                      <w:bCs/>
                      <w:color w:val="auto"/>
                      <w:sz w:val="21"/>
                      <w:szCs w:val="21"/>
                    </w:rPr>
                    <w:t>4</w:t>
                  </w:r>
                </w:p>
              </w:tc>
              <w:tc>
                <w:tcPr>
                  <w:tcW w:w="1889" w:type="dxa"/>
                  <w:vAlign w:val="center"/>
                </w:tcPr>
                <w:p>
                  <w:pPr>
                    <w:pStyle w:val="24"/>
                    <w:jc w:val="center"/>
                    <w:rPr>
                      <w:bCs/>
                      <w:color w:val="auto"/>
                      <w:kern w:val="0"/>
                      <w:sz w:val="21"/>
                      <w:szCs w:val="21"/>
                    </w:rPr>
                  </w:pPr>
                  <w:r>
                    <w:rPr>
                      <w:rFonts w:hint="eastAsia"/>
                      <w:bCs/>
                      <w:color w:val="auto"/>
                      <w:sz w:val="21"/>
                      <w:szCs w:val="21"/>
                    </w:rPr>
                    <w:t>下件</w:t>
                  </w:r>
                </w:p>
              </w:tc>
              <w:tc>
                <w:tcPr>
                  <w:tcW w:w="1846" w:type="dxa"/>
                  <w:vAlign w:val="center"/>
                </w:tcPr>
                <w:p>
                  <w:pPr>
                    <w:pStyle w:val="24"/>
                    <w:jc w:val="center"/>
                    <w:rPr>
                      <w:bCs/>
                      <w:color w:val="auto"/>
                      <w:kern w:val="0"/>
                      <w:sz w:val="21"/>
                      <w:szCs w:val="21"/>
                    </w:rPr>
                  </w:pPr>
                  <w:r>
                    <w:rPr>
                      <w:rFonts w:hint="eastAsia"/>
                      <w:bCs/>
                      <w:color w:val="auto"/>
                      <w:sz w:val="21"/>
                      <w:szCs w:val="21"/>
                    </w:rPr>
                    <w:t>3min</w:t>
                  </w:r>
                </w:p>
              </w:tc>
              <w:tc>
                <w:tcPr>
                  <w:tcW w:w="1620" w:type="dxa"/>
                  <w:vAlign w:val="center"/>
                </w:tcPr>
                <w:p>
                  <w:pPr>
                    <w:pStyle w:val="24"/>
                    <w:jc w:val="center"/>
                    <w:rPr>
                      <w:bCs/>
                      <w:color w:val="auto"/>
                      <w:kern w:val="0"/>
                      <w:sz w:val="21"/>
                      <w:szCs w:val="21"/>
                    </w:rPr>
                  </w:pPr>
                  <w:r>
                    <w:rPr>
                      <w:rFonts w:hint="eastAsia"/>
                      <w:bCs/>
                      <w:color w:val="auto"/>
                      <w:sz w:val="21"/>
                      <w:szCs w:val="21"/>
                    </w:rPr>
                    <w:t>R .T</w:t>
                  </w:r>
                </w:p>
              </w:tc>
              <w:tc>
                <w:tcPr>
                  <w:tcW w:w="1790" w:type="dxa"/>
                  <w:vAlign w:val="center"/>
                </w:tcPr>
                <w:p>
                  <w:pPr>
                    <w:pStyle w:val="24"/>
                    <w:jc w:val="center"/>
                    <w:rPr>
                      <w:bCs/>
                      <w:color w:val="auto"/>
                      <w:kern w:val="0"/>
                      <w:sz w:val="21"/>
                      <w:szCs w:val="21"/>
                    </w:rPr>
                  </w:pPr>
                  <w:r>
                    <w:rPr>
                      <w:rFonts w:hint="eastAsia"/>
                      <w:bCs/>
                      <w:color w:val="auto"/>
                      <w:sz w:val="21"/>
                      <w:szCs w:val="21"/>
                    </w:rPr>
                    <w:t>人工</w:t>
                  </w:r>
                </w:p>
              </w:tc>
            </w:tr>
          </w:tbl>
          <w:p>
            <w:pPr>
              <w:spacing w:line="360" w:lineRule="auto"/>
              <w:ind w:firstLine="472" w:firstLineChars="200"/>
              <w:rPr>
                <w:color w:val="auto"/>
                <w:sz w:val="24"/>
                <w:szCs w:val="24"/>
              </w:rPr>
            </w:pPr>
            <w:r>
              <w:rPr>
                <w:rFonts w:hint="eastAsia"/>
                <w:color w:val="auto"/>
                <w:sz w:val="24"/>
                <w:szCs w:val="24"/>
              </w:rPr>
              <w:t>①静电粉末喷涂：静电粉末喷涂是利用静电吸附的原理，用静电喷粉设备（静电喷塑机）把粉末涂料喷涂到工件的表面，在工件的表面均匀地喷上一层粉末涂料。通常工件为正极并接地，喷枪在枪口接高压负电极，在高压静电场下，二者之间产生电晕放电，形成高速运动的密集电子流，粉末借助净化的压缩空气由喷枪喷出，粉末涂料因捕获了大量的电子，带负电荷的微粒在静电引力下，被吸附到带正电的工件上。少部分粉末未能附着到工件表面，则通过粉末回收装置回收再利用。</w:t>
            </w:r>
          </w:p>
          <w:p>
            <w:pPr>
              <w:spacing w:line="360" w:lineRule="auto"/>
              <w:ind w:firstLine="472" w:firstLineChars="200"/>
              <w:rPr>
                <w:color w:val="auto"/>
                <w:sz w:val="24"/>
                <w:szCs w:val="24"/>
              </w:rPr>
            </w:pPr>
            <w:r>
              <w:rPr>
                <w:rFonts w:hint="eastAsia"/>
                <w:color w:val="auto"/>
                <w:sz w:val="24"/>
                <w:szCs w:val="24"/>
              </w:rPr>
              <w:t>本项目的静电粉末喷涂系统包括喷粉房，滤芯回收系统，中央控制柜，喷粉枪，粉泵，供粉桶，集粉桶，自动往复机，工件自动识别（光眼），自动喷枪控制系统，接地系统，电缆、配气系统、粉末输送管道系统等。其喷涂作业过程为：工件吊挂在挂具上，悬链输送工件进入喷粉房，工件自动识别系统（光眼）对工件的性状进行扫描识别，当工件达到自动喷粉位时，自动喷枪根据识别到的工件高度和工件之间的间隙自动开启或关闭，进行或停止静电喷涂作业；当工件行进到手动喷粉工位时，手补操作人员对自动喷枪未喷到的或露青、露底的工件部位进行手工补喷作业，工件表面全部被粉末良好的覆盖后喷涂过程结束，然后进入固化炉固化。</w:t>
            </w:r>
          </w:p>
          <w:p>
            <w:pPr>
              <w:spacing w:line="360" w:lineRule="auto"/>
              <w:ind w:firstLine="472" w:firstLineChars="200"/>
              <w:rPr>
                <w:color w:val="auto"/>
                <w:sz w:val="24"/>
                <w:szCs w:val="24"/>
              </w:rPr>
            </w:pPr>
            <w:r>
              <w:rPr>
                <w:rFonts w:hint="eastAsia"/>
                <w:color w:val="auto"/>
                <w:sz w:val="24"/>
                <w:szCs w:val="24"/>
              </w:rPr>
              <w:t>喷粉房采用密闭结构并安装在喷粉屏蔽间内，喷粉房底部设置有流化槽收集过喷粉末，用大粉泵将流化槽内的粉末输送至粉筛，经过旋转粉筛筛后的粉末回收到供粉桶内核新粉均匀混合重新循环使用。</w:t>
            </w:r>
          </w:p>
          <w:p>
            <w:pPr>
              <w:spacing w:line="360" w:lineRule="auto"/>
              <w:ind w:firstLine="472" w:firstLineChars="200"/>
              <w:rPr>
                <w:color w:val="auto"/>
                <w:sz w:val="24"/>
                <w:szCs w:val="24"/>
              </w:rPr>
            </w:pPr>
            <w:r>
              <w:rPr>
                <w:rFonts w:hint="eastAsia"/>
                <w:b/>
                <w:bCs/>
                <w:color w:val="auto"/>
                <w:sz w:val="24"/>
                <w:szCs w:val="24"/>
              </w:rPr>
              <w:t>本工序产生喷涂废气G5，主要污染因子为颗粒物，喷粉房内含粉气体经二级滤芯回收系统过滤后+</w:t>
            </w:r>
            <w:r>
              <w:rPr>
                <w:rFonts w:hint="eastAsia"/>
                <w:b/>
                <w:bCs/>
                <w:color w:val="auto"/>
                <w:sz w:val="24"/>
                <w:szCs w:val="24"/>
                <w:lang w:val="en-US" w:eastAsia="zh-CN"/>
              </w:rPr>
              <w:t>布袋除尘器+</w:t>
            </w:r>
            <w:r>
              <w:rPr>
                <w:rFonts w:hint="eastAsia"/>
                <w:b/>
                <w:bCs/>
                <w:color w:val="auto"/>
                <w:sz w:val="24"/>
                <w:szCs w:val="24"/>
              </w:rPr>
              <w:t>15m排气筒排放到室外，滤芯配置原装进口全聚酯材料，滤芯及布袋除尘器过滤效率不低于99%。噪声源主要为风机机械噪声N，固废主要为喷塑过程中产生的塑粉的废包装袋S7、滤芯回收系统产生的</w:t>
            </w:r>
            <w:r>
              <w:rPr>
                <w:rFonts w:hint="eastAsia"/>
                <w:b/>
                <w:bCs/>
                <w:color w:val="auto"/>
                <w:sz w:val="24"/>
                <w:szCs w:val="24"/>
                <w:lang w:val="en-US" w:eastAsia="zh-CN"/>
              </w:rPr>
              <w:t>废塑粉</w:t>
            </w:r>
            <w:r>
              <w:rPr>
                <w:rFonts w:hint="eastAsia"/>
                <w:b/>
                <w:bCs/>
                <w:color w:val="auto"/>
                <w:sz w:val="24"/>
                <w:szCs w:val="24"/>
              </w:rPr>
              <w:t>S8、定期更换的废滤芯S9</w:t>
            </w:r>
            <w:r>
              <w:rPr>
                <w:rFonts w:hint="eastAsia"/>
                <w:b/>
                <w:bCs/>
                <w:color w:val="auto"/>
                <w:sz w:val="24"/>
                <w:szCs w:val="24"/>
                <w:lang w:eastAsia="zh-CN"/>
              </w:rPr>
              <w:t>，</w:t>
            </w:r>
            <w:r>
              <w:rPr>
                <w:rFonts w:hint="eastAsia"/>
                <w:b/>
                <w:bCs/>
                <w:color w:val="auto"/>
                <w:sz w:val="24"/>
                <w:szCs w:val="24"/>
                <w:lang w:val="en-US" w:eastAsia="zh-CN"/>
              </w:rPr>
              <w:t>布袋除尘器产生的除尘灰S13</w:t>
            </w:r>
            <w:r>
              <w:rPr>
                <w:rFonts w:hint="eastAsia"/>
                <w:b/>
                <w:bCs/>
                <w:color w:val="auto"/>
                <w:sz w:val="24"/>
                <w:szCs w:val="24"/>
              </w:rPr>
              <w:t>。</w:t>
            </w:r>
          </w:p>
          <w:p>
            <w:pPr>
              <w:spacing w:line="360" w:lineRule="auto"/>
              <w:ind w:firstLine="472" w:firstLineChars="200"/>
              <w:rPr>
                <w:color w:val="auto"/>
                <w:sz w:val="24"/>
                <w:szCs w:val="24"/>
              </w:rPr>
            </w:pPr>
            <w:r>
              <w:rPr>
                <w:rFonts w:hint="eastAsia"/>
                <w:color w:val="auto"/>
                <w:sz w:val="24"/>
                <w:szCs w:val="24"/>
              </w:rPr>
              <w:t>②固化：将喷涂好的工件推入固化炉，加热到220℃，并保温30min，使工件表面的粉末涂料熔化、流平、固化、从而得到最终涂层。</w:t>
            </w:r>
          </w:p>
          <w:p>
            <w:pPr>
              <w:spacing w:line="360" w:lineRule="auto"/>
              <w:ind w:firstLine="472" w:firstLineChars="200"/>
              <w:rPr>
                <w:color w:val="auto"/>
                <w:sz w:val="24"/>
                <w:szCs w:val="24"/>
              </w:rPr>
            </w:pPr>
            <w:r>
              <w:rPr>
                <w:rFonts w:hint="eastAsia"/>
                <w:color w:val="auto"/>
                <w:sz w:val="24"/>
                <w:szCs w:val="24"/>
              </w:rPr>
              <w:t>粉末固化炉采用桥式隧道炉，四行程结构，加热装置采用1台70万大卡天然气燃烧机，采用下送风上回风热风循环系统，送、回风管道、热交换器和炉膛以及废气排放管均采用不锈钢板制作，排气</w:t>
            </w:r>
            <w:r>
              <w:rPr>
                <w:rFonts w:hint="eastAsia"/>
                <w:color w:val="auto"/>
                <w:sz w:val="24"/>
                <w:szCs w:val="24"/>
                <w:lang w:val="en-US" w:eastAsia="zh-CN"/>
              </w:rPr>
              <w:t>筒</w:t>
            </w:r>
            <w:r>
              <w:rPr>
                <w:rFonts w:hint="eastAsia"/>
                <w:color w:val="auto"/>
                <w:sz w:val="24"/>
                <w:szCs w:val="24"/>
              </w:rPr>
              <w:t>高出房屋顶</w:t>
            </w:r>
            <w:r>
              <w:rPr>
                <w:rFonts w:hint="eastAsia"/>
                <w:color w:val="auto"/>
                <w:sz w:val="24"/>
                <w:szCs w:val="24"/>
                <w:lang w:val="en-US" w:eastAsia="zh-CN"/>
              </w:rPr>
              <w:t>3</w:t>
            </w:r>
            <w:r>
              <w:rPr>
                <w:rFonts w:hint="eastAsia"/>
                <w:color w:val="auto"/>
                <w:sz w:val="24"/>
                <w:szCs w:val="24"/>
              </w:rPr>
              <w:t>米（总高不低于15米）。</w:t>
            </w:r>
          </w:p>
          <w:p>
            <w:pPr>
              <w:spacing w:line="360" w:lineRule="auto"/>
              <w:ind w:firstLine="472" w:firstLineChars="200"/>
              <w:rPr>
                <w:color w:val="auto"/>
                <w:sz w:val="24"/>
                <w:szCs w:val="24"/>
              </w:rPr>
            </w:pPr>
            <w:r>
              <w:rPr>
                <w:rFonts w:hint="eastAsia"/>
                <w:color w:val="auto"/>
                <w:sz w:val="24"/>
                <w:szCs w:val="24"/>
              </w:rPr>
              <w:t>本项目使用的粉末涂料由聚酯树脂、TGIC、钛白粉、硫酸钡组成，聚酯树脂为基料，TGIC为固化剂，在固化条件下二者发生固化反应而交联成膜，在此过程中不稳定的塑粉（聚酯树脂）将受热裂解产生有机废气（以非甲烷总烃计），聚酯树脂的热分解温度在300℃以上。因此从固化条件及树脂的热分解温度可知，固化过程产生的废气中不会含有树脂的挥发物或分解物。粉末涂料烘烤固化过程是不发生树脂的挥发或分解的，只有塑粉中极少量游离的单体是会挥发的，以非甲烷总烃计。</w:t>
            </w:r>
          </w:p>
          <w:p>
            <w:pPr>
              <w:spacing w:line="360" w:lineRule="auto"/>
              <w:ind w:firstLine="472" w:firstLineChars="200"/>
              <w:rPr>
                <w:color w:val="auto"/>
                <w:sz w:val="24"/>
                <w:szCs w:val="24"/>
              </w:rPr>
            </w:pPr>
            <w:r>
              <w:rPr>
                <w:rFonts w:hint="eastAsia"/>
                <w:b/>
                <w:bCs/>
                <w:color w:val="auto"/>
                <w:sz w:val="24"/>
                <w:szCs w:val="24"/>
              </w:rPr>
              <w:t>本工序产生天然气燃烧废气G6，主要污染因子为颗粒物、SO</w:t>
            </w:r>
            <w:r>
              <w:rPr>
                <w:rFonts w:hint="eastAsia"/>
                <w:b/>
                <w:bCs/>
                <w:color w:val="auto"/>
                <w:sz w:val="24"/>
                <w:szCs w:val="24"/>
                <w:vertAlign w:val="subscript"/>
              </w:rPr>
              <w:t>2</w:t>
            </w:r>
            <w:r>
              <w:rPr>
                <w:rFonts w:hint="eastAsia"/>
                <w:b/>
                <w:bCs/>
                <w:color w:val="auto"/>
                <w:sz w:val="24"/>
                <w:szCs w:val="24"/>
              </w:rPr>
              <w:t>、NO</w:t>
            </w:r>
            <w:r>
              <w:rPr>
                <w:rFonts w:hint="eastAsia"/>
                <w:b/>
                <w:bCs/>
                <w:color w:val="auto"/>
                <w:sz w:val="24"/>
                <w:szCs w:val="24"/>
                <w:vertAlign w:val="subscript"/>
              </w:rPr>
              <w:t>X，</w:t>
            </w:r>
            <w:r>
              <w:rPr>
                <w:rFonts w:hint="eastAsia"/>
                <w:b/>
                <w:bCs/>
                <w:color w:val="auto"/>
                <w:sz w:val="24"/>
                <w:szCs w:val="24"/>
              </w:rPr>
              <w:t>天然气燃烧机废气通过1根15m高排气筒排放（与脱水烘干炉共用1根），产生固化废气G7，主要污染因子为非甲烷总烃，固化炉窑头和窑尾设置集气罩收集后送1套旋流塔+干湿过滤箱+活性炭吸附浓缩+催化燃烧装置处理+15m高空排放。噪声源主要为风机机械噪声N，固废主要为废活性炭S10、废催化剂S11、废过滤棉S12。</w:t>
            </w:r>
          </w:p>
          <w:p>
            <w:pPr>
              <w:spacing w:line="360" w:lineRule="auto"/>
              <w:ind w:firstLine="472" w:firstLineChars="200"/>
              <w:rPr>
                <w:color w:val="auto"/>
                <w:sz w:val="24"/>
                <w:szCs w:val="24"/>
              </w:rPr>
            </w:pPr>
            <w:r>
              <w:rPr>
                <w:rFonts w:hint="eastAsia"/>
                <w:color w:val="auto"/>
                <w:sz w:val="24"/>
                <w:szCs w:val="24"/>
              </w:rPr>
              <w:t>③冷却、下件：固化后的工件自然冷却8~10min，人工取下工件得到成品。</w:t>
            </w:r>
          </w:p>
          <w:p>
            <w:pPr>
              <w:numPr>
                <w:ilvl w:val="0"/>
                <w:numId w:val="4"/>
              </w:numPr>
              <w:spacing w:line="360" w:lineRule="auto"/>
              <w:ind w:firstLine="472" w:firstLineChars="200"/>
              <w:rPr>
                <w:color w:val="auto"/>
                <w:sz w:val="24"/>
                <w:szCs w:val="24"/>
              </w:rPr>
            </w:pPr>
            <w:r>
              <w:rPr>
                <w:rFonts w:hint="eastAsia"/>
                <w:color w:val="auto"/>
                <w:sz w:val="24"/>
                <w:szCs w:val="24"/>
              </w:rPr>
              <w:t>手动补喷</w:t>
            </w:r>
          </w:p>
          <w:p>
            <w:pPr>
              <w:spacing w:line="360" w:lineRule="auto"/>
              <w:ind w:firstLine="472" w:firstLineChars="200"/>
              <w:rPr>
                <w:color w:val="auto"/>
                <w:sz w:val="24"/>
                <w:szCs w:val="24"/>
              </w:rPr>
            </w:pPr>
            <w:r>
              <w:rPr>
                <w:rFonts w:hint="eastAsia"/>
                <w:b/>
                <w:bCs/>
                <w:color w:val="auto"/>
                <w:sz w:val="24"/>
                <w:szCs w:val="24"/>
              </w:rPr>
              <w:t xml:space="preserve"> </w:t>
            </w:r>
            <w:r>
              <w:rPr>
                <w:rFonts w:hint="eastAsia"/>
                <w:color w:val="auto"/>
                <w:sz w:val="24"/>
                <w:szCs w:val="24"/>
              </w:rPr>
              <w:t xml:space="preserve"> 本项目在2号厂房南侧布设1套手动喷粉室和1套手喷件固化烘箱（采用电加热）用于喷塑件的补喷，其污染物产生和排放节点类似静电粉末喷涂和固化工序，不再赘述。</w:t>
            </w:r>
          </w:p>
          <w:p>
            <w:pPr>
              <w:spacing w:line="360" w:lineRule="auto"/>
              <w:ind w:firstLine="472" w:firstLineChars="200"/>
              <w:rPr>
                <w:color w:val="auto"/>
                <w:sz w:val="24"/>
                <w:szCs w:val="24"/>
              </w:rPr>
            </w:pPr>
            <w:r>
              <w:rPr>
                <w:rFonts w:hint="eastAsia"/>
                <w:b/>
                <w:bCs/>
                <w:color w:val="auto"/>
                <w:sz w:val="24"/>
                <w:szCs w:val="24"/>
              </w:rPr>
              <w:t xml:space="preserve"> 本工序手动喷粉室产生喷涂废气G8，主要污染因子为颗粒物，喷粉房内含粉气体经1套布袋除尘器处理后通过15m排气筒排放到室外，手喷件固化烘箱会产生固化废气G9，通过1套二级活性炭吸附后通过15m排气筒排放到室外。噪声源主要为风机机械噪声N，固废主要为</w:t>
            </w:r>
            <w:r>
              <w:rPr>
                <w:rFonts w:hint="eastAsia"/>
                <w:b/>
                <w:bCs/>
                <w:color w:val="auto"/>
                <w:sz w:val="24"/>
                <w:szCs w:val="24"/>
                <w:lang w:val="en-US" w:eastAsia="zh-CN"/>
              </w:rPr>
              <w:t>喷塑过程中产生的塑粉的废包装袋S7，VOCs废气治理设备产生的</w:t>
            </w:r>
            <w:r>
              <w:rPr>
                <w:rFonts w:hint="eastAsia"/>
                <w:b/>
                <w:bCs/>
                <w:color w:val="auto"/>
                <w:sz w:val="24"/>
                <w:szCs w:val="24"/>
              </w:rPr>
              <w:t>废活性炭S10、布袋除尘器收集的除尘灰S</w:t>
            </w:r>
            <w:r>
              <w:rPr>
                <w:rFonts w:hint="eastAsia"/>
                <w:b/>
                <w:bCs/>
                <w:color w:val="auto"/>
                <w:sz w:val="24"/>
                <w:szCs w:val="24"/>
                <w:lang w:val="en-US" w:eastAsia="zh-CN"/>
              </w:rPr>
              <w:t>13。</w:t>
            </w:r>
          </w:p>
          <w:p>
            <w:pPr>
              <w:spacing w:line="360" w:lineRule="auto"/>
              <w:ind w:firstLine="472" w:firstLineChars="200"/>
              <w:rPr>
                <w:b/>
                <w:bCs/>
                <w:color w:val="auto"/>
                <w:sz w:val="24"/>
                <w:szCs w:val="24"/>
              </w:rPr>
            </w:pPr>
            <w:r>
              <w:rPr>
                <w:rFonts w:hint="eastAsia"/>
                <w:color w:val="auto"/>
                <w:sz w:val="24"/>
                <w:szCs w:val="24"/>
              </w:rPr>
              <w:t>本项目的产排污节点汇总一览表见表2-7。</w:t>
            </w:r>
          </w:p>
          <w:p>
            <w:pPr>
              <w:spacing w:line="360" w:lineRule="auto"/>
              <w:jc w:val="center"/>
              <w:rPr>
                <w:rFonts w:eastAsia="黑体"/>
                <w:color w:val="auto"/>
                <w:sz w:val="24"/>
              </w:rPr>
            </w:pPr>
            <w:r>
              <w:rPr>
                <w:rFonts w:eastAsia="黑体"/>
                <w:color w:val="auto"/>
                <w:sz w:val="24"/>
              </w:rPr>
              <w:t>表</w:t>
            </w:r>
            <w:r>
              <w:rPr>
                <w:rFonts w:hint="eastAsia" w:eastAsia="黑体"/>
                <w:color w:val="auto"/>
                <w:sz w:val="24"/>
              </w:rPr>
              <w:t>2-7</w:t>
            </w:r>
            <w:r>
              <w:rPr>
                <w:rFonts w:eastAsia="黑体"/>
                <w:color w:val="auto"/>
                <w:sz w:val="24"/>
              </w:rPr>
              <w:t xml:space="preserve">  </w:t>
            </w:r>
            <w:r>
              <w:rPr>
                <w:rFonts w:hint="eastAsia" w:eastAsia="黑体"/>
                <w:color w:val="auto"/>
                <w:sz w:val="24"/>
              </w:rPr>
              <w:t>本</w:t>
            </w:r>
            <w:r>
              <w:rPr>
                <w:rFonts w:eastAsia="黑体"/>
                <w:color w:val="auto"/>
                <w:sz w:val="24"/>
              </w:rPr>
              <w:t>项目主要排污节点汇总情况一览表</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54"/>
              <w:gridCol w:w="1694"/>
              <w:gridCol w:w="1740"/>
              <w:gridCol w:w="3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Align w:val="center"/>
                </w:tcPr>
                <w:p>
                  <w:pPr>
                    <w:spacing w:line="300" w:lineRule="exact"/>
                    <w:jc w:val="center"/>
                    <w:rPr>
                      <w:b/>
                      <w:bCs/>
                      <w:color w:val="auto"/>
                      <w:szCs w:val="21"/>
                    </w:rPr>
                  </w:pPr>
                  <w:r>
                    <w:rPr>
                      <w:rFonts w:hint="eastAsia"/>
                      <w:b/>
                      <w:bCs/>
                      <w:color w:val="auto"/>
                      <w:szCs w:val="21"/>
                    </w:rPr>
                    <w:t>污染类型</w:t>
                  </w:r>
                </w:p>
              </w:tc>
              <w:tc>
                <w:tcPr>
                  <w:tcW w:w="483" w:type="pct"/>
                  <w:vAlign w:val="center"/>
                </w:tcPr>
                <w:p>
                  <w:pPr>
                    <w:spacing w:line="300" w:lineRule="exact"/>
                    <w:jc w:val="center"/>
                    <w:rPr>
                      <w:b/>
                      <w:bCs/>
                      <w:color w:val="auto"/>
                      <w:szCs w:val="21"/>
                    </w:rPr>
                  </w:pPr>
                  <w:r>
                    <w:rPr>
                      <w:b/>
                      <w:bCs/>
                      <w:color w:val="auto"/>
                      <w:szCs w:val="21"/>
                    </w:rPr>
                    <w:t>污染源</w:t>
                  </w:r>
                </w:p>
              </w:tc>
              <w:tc>
                <w:tcPr>
                  <w:tcW w:w="959" w:type="pct"/>
                  <w:vAlign w:val="center"/>
                </w:tcPr>
                <w:p>
                  <w:pPr>
                    <w:spacing w:line="300" w:lineRule="exact"/>
                    <w:jc w:val="center"/>
                    <w:rPr>
                      <w:b/>
                      <w:bCs/>
                      <w:color w:val="auto"/>
                      <w:szCs w:val="21"/>
                    </w:rPr>
                  </w:pPr>
                  <w:r>
                    <w:rPr>
                      <w:b/>
                      <w:bCs/>
                      <w:color w:val="auto"/>
                      <w:szCs w:val="21"/>
                    </w:rPr>
                    <w:t>污染源名称</w:t>
                  </w:r>
                </w:p>
              </w:tc>
              <w:tc>
                <w:tcPr>
                  <w:tcW w:w="986" w:type="pct"/>
                  <w:vAlign w:val="center"/>
                </w:tcPr>
                <w:p>
                  <w:pPr>
                    <w:spacing w:line="300" w:lineRule="exact"/>
                    <w:jc w:val="center"/>
                    <w:rPr>
                      <w:b/>
                      <w:bCs/>
                      <w:color w:val="auto"/>
                      <w:szCs w:val="21"/>
                    </w:rPr>
                  </w:pPr>
                  <w:r>
                    <w:rPr>
                      <w:b/>
                      <w:bCs/>
                      <w:color w:val="auto"/>
                      <w:szCs w:val="21"/>
                    </w:rPr>
                    <w:t>主要污染物</w:t>
                  </w:r>
                </w:p>
              </w:tc>
              <w:tc>
                <w:tcPr>
                  <w:tcW w:w="2177" w:type="pct"/>
                  <w:vAlign w:val="center"/>
                </w:tcPr>
                <w:p>
                  <w:pPr>
                    <w:spacing w:line="300" w:lineRule="exact"/>
                    <w:jc w:val="center"/>
                    <w:rPr>
                      <w:b/>
                      <w:bCs/>
                      <w:color w:val="auto"/>
                      <w:szCs w:val="21"/>
                    </w:rPr>
                  </w:pPr>
                  <w:r>
                    <w:rPr>
                      <w:b/>
                      <w:bCs/>
                      <w:color w:val="auto"/>
                      <w:szCs w:val="21"/>
                    </w:rPr>
                    <w:t>处理设施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rFonts w:hint="eastAsia"/>
                      <w:color w:val="auto"/>
                      <w:szCs w:val="21"/>
                    </w:rPr>
                    <w:t>废气</w:t>
                  </w:r>
                </w:p>
              </w:tc>
              <w:tc>
                <w:tcPr>
                  <w:tcW w:w="483" w:type="pct"/>
                  <w:vAlign w:val="center"/>
                </w:tcPr>
                <w:p>
                  <w:pPr>
                    <w:spacing w:line="300" w:lineRule="exact"/>
                    <w:jc w:val="center"/>
                    <w:rPr>
                      <w:color w:val="auto"/>
                      <w:szCs w:val="21"/>
                    </w:rPr>
                  </w:pPr>
                  <w:r>
                    <w:rPr>
                      <w:rFonts w:hint="eastAsia"/>
                      <w:color w:val="auto"/>
                      <w:szCs w:val="21"/>
                    </w:rPr>
                    <w:t>G1</w:t>
                  </w:r>
                </w:p>
              </w:tc>
              <w:tc>
                <w:tcPr>
                  <w:tcW w:w="959" w:type="pct"/>
                  <w:vAlign w:val="center"/>
                </w:tcPr>
                <w:p>
                  <w:pPr>
                    <w:spacing w:line="300" w:lineRule="exact"/>
                    <w:jc w:val="center"/>
                    <w:rPr>
                      <w:color w:val="auto"/>
                      <w:szCs w:val="21"/>
                    </w:rPr>
                  </w:pPr>
                  <w:r>
                    <w:rPr>
                      <w:rFonts w:hint="eastAsia"/>
                      <w:color w:val="auto"/>
                      <w:szCs w:val="21"/>
                    </w:rPr>
                    <w:t>切割工序</w:t>
                  </w:r>
                </w:p>
              </w:tc>
              <w:tc>
                <w:tcPr>
                  <w:tcW w:w="986" w:type="pct"/>
                  <w:vMerge w:val="restart"/>
                  <w:vAlign w:val="center"/>
                </w:tcPr>
                <w:p>
                  <w:pPr>
                    <w:spacing w:line="300" w:lineRule="exact"/>
                    <w:jc w:val="center"/>
                    <w:rPr>
                      <w:color w:val="auto"/>
                      <w:szCs w:val="21"/>
                    </w:rPr>
                  </w:pPr>
                  <w:r>
                    <w:rPr>
                      <w:rFonts w:hint="eastAsia"/>
                      <w:color w:val="auto"/>
                      <w:szCs w:val="21"/>
                    </w:rPr>
                    <w:t>颗粒物</w:t>
                  </w:r>
                </w:p>
              </w:tc>
              <w:tc>
                <w:tcPr>
                  <w:tcW w:w="2177" w:type="pct"/>
                  <w:vMerge w:val="restart"/>
                  <w:vAlign w:val="center"/>
                </w:tcPr>
                <w:p>
                  <w:pPr>
                    <w:spacing w:line="300" w:lineRule="exact"/>
                    <w:jc w:val="center"/>
                    <w:rPr>
                      <w:color w:val="auto"/>
                      <w:szCs w:val="21"/>
                    </w:rPr>
                  </w:pPr>
                  <w:r>
                    <w:rPr>
                      <w:rFonts w:hint="eastAsia"/>
                      <w:color w:val="auto"/>
                      <w:szCs w:val="21"/>
                    </w:rPr>
                    <w:t>集气罩+布袋除尘器+15m排气筒（DA001)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G2</w:t>
                  </w:r>
                </w:p>
              </w:tc>
              <w:tc>
                <w:tcPr>
                  <w:tcW w:w="959" w:type="pct"/>
                  <w:vAlign w:val="center"/>
                </w:tcPr>
                <w:p>
                  <w:pPr>
                    <w:spacing w:line="300" w:lineRule="exact"/>
                    <w:jc w:val="center"/>
                    <w:rPr>
                      <w:color w:val="auto"/>
                      <w:szCs w:val="21"/>
                    </w:rPr>
                  </w:pPr>
                  <w:r>
                    <w:rPr>
                      <w:rFonts w:hint="eastAsia"/>
                      <w:color w:val="auto"/>
                      <w:szCs w:val="21"/>
                    </w:rPr>
                    <w:t>打孔工序</w:t>
                  </w:r>
                </w:p>
              </w:tc>
              <w:tc>
                <w:tcPr>
                  <w:tcW w:w="986" w:type="pct"/>
                  <w:vMerge w:val="continue"/>
                  <w:vAlign w:val="center"/>
                </w:tcPr>
                <w:p>
                  <w:pPr>
                    <w:spacing w:line="300" w:lineRule="exact"/>
                    <w:jc w:val="center"/>
                    <w:rPr>
                      <w:color w:val="auto"/>
                      <w:szCs w:val="21"/>
                    </w:rPr>
                  </w:pPr>
                </w:p>
              </w:tc>
              <w:tc>
                <w:tcPr>
                  <w:tcW w:w="2177" w:type="pct"/>
                  <w:vMerge w:val="continue"/>
                  <w:vAlign w:val="center"/>
                </w:tcPr>
                <w:p>
                  <w:pPr>
                    <w:spacing w:line="30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G3</w:t>
                  </w:r>
                </w:p>
              </w:tc>
              <w:tc>
                <w:tcPr>
                  <w:tcW w:w="959" w:type="pct"/>
                  <w:vAlign w:val="center"/>
                </w:tcPr>
                <w:p>
                  <w:pPr>
                    <w:spacing w:line="300" w:lineRule="exact"/>
                    <w:jc w:val="center"/>
                    <w:rPr>
                      <w:color w:val="auto"/>
                      <w:szCs w:val="21"/>
                    </w:rPr>
                  </w:pPr>
                  <w:r>
                    <w:rPr>
                      <w:rFonts w:hint="eastAsia"/>
                      <w:color w:val="auto"/>
                      <w:szCs w:val="21"/>
                    </w:rPr>
                    <w:t>焊接工序</w:t>
                  </w:r>
                </w:p>
              </w:tc>
              <w:tc>
                <w:tcPr>
                  <w:tcW w:w="986" w:type="pct"/>
                  <w:vMerge w:val="continue"/>
                  <w:vAlign w:val="center"/>
                </w:tcPr>
                <w:p>
                  <w:pPr>
                    <w:spacing w:line="300" w:lineRule="exact"/>
                    <w:jc w:val="center"/>
                    <w:rPr>
                      <w:color w:val="auto"/>
                      <w:szCs w:val="21"/>
                    </w:rPr>
                  </w:pPr>
                </w:p>
              </w:tc>
              <w:tc>
                <w:tcPr>
                  <w:tcW w:w="2177" w:type="pct"/>
                  <w:vMerge w:val="continue"/>
                  <w:vAlign w:val="center"/>
                </w:tcPr>
                <w:p>
                  <w:pPr>
                    <w:spacing w:line="30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G4、G6</w:t>
                  </w:r>
                </w:p>
              </w:tc>
              <w:tc>
                <w:tcPr>
                  <w:tcW w:w="959" w:type="pct"/>
                  <w:vAlign w:val="center"/>
                </w:tcPr>
                <w:p>
                  <w:pPr>
                    <w:spacing w:line="300" w:lineRule="exact"/>
                    <w:jc w:val="center"/>
                    <w:rPr>
                      <w:color w:val="auto"/>
                      <w:szCs w:val="21"/>
                    </w:rPr>
                  </w:pPr>
                  <w:r>
                    <w:rPr>
                      <w:rFonts w:hint="eastAsia"/>
                      <w:color w:val="auto"/>
                      <w:szCs w:val="21"/>
                    </w:rPr>
                    <w:t>天然气燃烧机</w:t>
                  </w:r>
                </w:p>
              </w:tc>
              <w:tc>
                <w:tcPr>
                  <w:tcW w:w="986" w:type="pct"/>
                  <w:vAlign w:val="center"/>
                </w:tcPr>
                <w:p>
                  <w:pPr>
                    <w:spacing w:line="300" w:lineRule="exact"/>
                    <w:jc w:val="center"/>
                    <w:rPr>
                      <w:color w:val="auto"/>
                      <w:szCs w:val="21"/>
                    </w:rPr>
                  </w:pPr>
                  <w:r>
                    <w:rPr>
                      <w:rFonts w:hint="eastAsia"/>
                      <w:color w:val="auto"/>
                      <w:szCs w:val="21"/>
                    </w:rPr>
                    <w:t>颗粒物、二氧化硫、氮氧化物</w:t>
                  </w:r>
                </w:p>
              </w:tc>
              <w:tc>
                <w:tcPr>
                  <w:tcW w:w="2177" w:type="pct"/>
                  <w:vAlign w:val="center"/>
                </w:tcPr>
                <w:p>
                  <w:pPr>
                    <w:spacing w:line="300" w:lineRule="exact"/>
                    <w:jc w:val="center"/>
                    <w:rPr>
                      <w:color w:val="auto"/>
                      <w:szCs w:val="21"/>
                    </w:rPr>
                  </w:pPr>
                  <w:r>
                    <w:rPr>
                      <w:rFonts w:hint="eastAsia"/>
                      <w:color w:val="auto"/>
                      <w:szCs w:val="21"/>
                    </w:rPr>
                    <w:t>脱水炉和固化炉天然气燃烧机共用1根15m排气筒（DA002)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G5</w:t>
                  </w:r>
                </w:p>
              </w:tc>
              <w:tc>
                <w:tcPr>
                  <w:tcW w:w="959" w:type="pct"/>
                  <w:vAlign w:val="center"/>
                </w:tcPr>
                <w:p>
                  <w:pPr>
                    <w:spacing w:line="300" w:lineRule="exact"/>
                    <w:jc w:val="center"/>
                    <w:rPr>
                      <w:color w:val="auto"/>
                      <w:szCs w:val="21"/>
                    </w:rPr>
                  </w:pPr>
                  <w:r>
                    <w:rPr>
                      <w:rFonts w:hint="eastAsia"/>
                      <w:color w:val="auto"/>
                      <w:szCs w:val="21"/>
                    </w:rPr>
                    <w:t>喷涂工序</w:t>
                  </w:r>
                </w:p>
              </w:tc>
              <w:tc>
                <w:tcPr>
                  <w:tcW w:w="986" w:type="pct"/>
                  <w:vAlign w:val="center"/>
                </w:tcPr>
                <w:p>
                  <w:pPr>
                    <w:spacing w:line="300" w:lineRule="exact"/>
                    <w:jc w:val="center"/>
                    <w:rPr>
                      <w:color w:val="auto"/>
                      <w:szCs w:val="21"/>
                    </w:rPr>
                  </w:pPr>
                  <w:r>
                    <w:rPr>
                      <w:rFonts w:hint="eastAsia"/>
                      <w:color w:val="auto"/>
                      <w:szCs w:val="21"/>
                    </w:rPr>
                    <w:t>颗粒物</w:t>
                  </w:r>
                </w:p>
              </w:tc>
              <w:tc>
                <w:tcPr>
                  <w:tcW w:w="2177" w:type="pct"/>
                  <w:vAlign w:val="center"/>
                </w:tcPr>
                <w:p>
                  <w:pPr>
                    <w:spacing w:line="300" w:lineRule="exact"/>
                    <w:jc w:val="center"/>
                    <w:rPr>
                      <w:color w:val="auto"/>
                      <w:szCs w:val="21"/>
                    </w:rPr>
                  </w:pPr>
                  <w:r>
                    <w:rPr>
                      <w:rFonts w:hint="eastAsia"/>
                      <w:color w:val="auto"/>
                      <w:szCs w:val="21"/>
                    </w:rPr>
                    <w:t>密闭负压粉房+二级滤芯回收系统+</w:t>
                  </w:r>
                  <w:r>
                    <w:rPr>
                      <w:rFonts w:hint="eastAsia"/>
                      <w:color w:val="auto"/>
                      <w:szCs w:val="21"/>
                      <w:lang w:val="en-US" w:eastAsia="zh-CN"/>
                    </w:rPr>
                    <w:t>布袋除尘器+</w:t>
                  </w:r>
                  <w:r>
                    <w:rPr>
                      <w:rFonts w:hint="eastAsia"/>
                      <w:color w:val="auto"/>
                      <w:szCs w:val="21"/>
                    </w:rPr>
                    <w:t>15m排气筒（DA003)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G7</w:t>
                  </w:r>
                </w:p>
              </w:tc>
              <w:tc>
                <w:tcPr>
                  <w:tcW w:w="959" w:type="pct"/>
                  <w:vAlign w:val="center"/>
                </w:tcPr>
                <w:p>
                  <w:pPr>
                    <w:spacing w:line="300" w:lineRule="exact"/>
                    <w:jc w:val="center"/>
                    <w:rPr>
                      <w:color w:val="auto"/>
                      <w:szCs w:val="21"/>
                    </w:rPr>
                  </w:pPr>
                  <w:r>
                    <w:rPr>
                      <w:rFonts w:hint="eastAsia"/>
                      <w:color w:val="auto"/>
                      <w:szCs w:val="21"/>
                    </w:rPr>
                    <w:t>固化工序</w:t>
                  </w:r>
                </w:p>
              </w:tc>
              <w:tc>
                <w:tcPr>
                  <w:tcW w:w="986" w:type="pct"/>
                  <w:vAlign w:val="center"/>
                </w:tcPr>
                <w:p>
                  <w:pPr>
                    <w:spacing w:line="300" w:lineRule="exact"/>
                    <w:jc w:val="center"/>
                    <w:rPr>
                      <w:color w:val="auto"/>
                      <w:szCs w:val="21"/>
                    </w:rPr>
                  </w:pPr>
                  <w:r>
                    <w:rPr>
                      <w:rFonts w:hint="eastAsia"/>
                      <w:color w:val="auto"/>
                      <w:szCs w:val="21"/>
                    </w:rPr>
                    <w:t>非甲烷总烃</w:t>
                  </w:r>
                </w:p>
              </w:tc>
              <w:tc>
                <w:tcPr>
                  <w:tcW w:w="2177" w:type="pct"/>
                  <w:vAlign w:val="center"/>
                </w:tcPr>
                <w:p>
                  <w:pPr>
                    <w:spacing w:line="300" w:lineRule="exact"/>
                    <w:jc w:val="center"/>
                    <w:rPr>
                      <w:color w:val="auto"/>
                      <w:szCs w:val="21"/>
                    </w:rPr>
                  </w:pPr>
                  <w:r>
                    <w:rPr>
                      <w:rFonts w:hint="eastAsia"/>
                      <w:color w:val="auto"/>
                      <w:szCs w:val="21"/>
                    </w:rPr>
                    <w:t>烘干窑头窑尾集气罩+旋流塔+干湿过滤箱+活性炭吸附浓缩+催化燃烧装置+15m排气（DA004）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G8</w:t>
                  </w:r>
                </w:p>
              </w:tc>
              <w:tc>
                <w:tcPr>
                  <w:tcW w:w="959" w:type="pct"/>
                  <w:vAlign w:val="center"/>
                </w:tcPr>
                <w:p>
                  <w:pPr>
                    <w:spacing w:line="300" w:lineRule="exact"/>
                    <w:jc w:val="center"/>
                    <w:rPr>
                      <w:color w:val="auto"/>
                      <w:szCs w:val="21"/>
                    </w:rPr>
                  </w:pPr>
                  <w:r>
                    <w:rPr>
                      <w:rFonts w:hint="eastAsia"/>
                      <w:color w:val="auto"/>
                      <w:szCs w:val="21"/>
                    </w:rPr>
                    <w:t>手动喷粉室</w:t>
                  </w:r>
                </w:p>
              </w:tc>
              <w:tc>
                <w:tcPr>
                  <w:tcW w:w="986" w:type="pct"/>
                  <w:vAlign w:val="center"/>
                </w:tcPr>
                <w:p>
                  <w:pPr>
                    <w:spacing w:line="300" w:lineRule="exact"/>
                    <w:jc w:val="center"/>
                    <w:rPr>
                      <w:color w:val="auto"/>
                      <w:szCs w:val="21"/>
                    </w:rPr>
                  </w:pPr>
                  <w:r>
                    <w:rPr>
                      <w:rFonts w:hint="eastAsia"/>
                      <w:color w:val="auto"/>
                      <w:szCs w:val="21"/>
                    </w:rPr>
                    <w:t>颗粒物</w:t>
                  </w:r>
                </w:p>
              </w:tc>
              <w:tc>
                <w:tcPr>
                  <w:tcW w:w="2177" w:type="pct"/>
                  <w:vAlign w:val="center"/>
                </w:tcPr>
                <w:p>
                  <w:pPr>
                    <w:spacing w:line="300" w:lineRule="exact"/>
                    <w:jc w:val="center"/>
                    <w:rPr>
                      <w:color w:val="auto"/>
                      <w:szCs w:val="21"/>
                    </w:rPr>
                  </w:pPr>
                  <w:r>
                    <w:rPr>
                      <w:rFonts w:hint="eastAsia"/>
                      <w:color w:val="auto"/>
                      <w:szCs w:val="21"/>
                    </w:rPr>
                    <w:t>密闭负压粉房+布袋除尘器+15m排气筒（DA005)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G9</w:t>
                  </w:r>
                </w:p>
              </w:tc>
              <w:tc>
                <w:tcPr>
                  <w:tcW w:w="959" w:type="pct"/>
                  <w:vAlign w:val="center"/>
                </w:tcPr>
                <w:p>
                  <w:pPr>
                    <w:spacing w:line="300" w:lineRule="exact"/>
                    <w:jc w:val="center"/>
                    <w:rPr>
                      <w:color w:val="auto"/>
                      <w:szCs w:val="21"/>
                    </w:rPr>
                  </w:pPr>
                  <w:r>
                    <w:rPr>
                      <w:rFonts w:hint="eastAsia"/>
                      <w:color w:val="auto"/>
                      <w:szCs w:val="21"/>
                    </w:rPr>
                    <w:t>手喷件固化烘箱</w:t>
                  </w:r>
                </w:p>
              </w:tc>
              <w:tc>
                <w:tcPr>
                  <w:tcW w:w="986" w:type="pct"/>
                  <w:vAlign w:val="center"/>
                </w:tcPr>
                <w:p>
                  <w:pPr>
                    <w:spacing w:line="300" w:lineRule="exact"/>
                    <w:jc w:val="center"/>
                    <w:rPr>
                      <w:color w:val="auto"/>
                      <w:szCs w:val="21"/>
                    </w:rPr>
                  </w:pPr>
                  <w:r>
                    <w:rPr>
                      <w:rFonts w:hint="eastAsia"/>
                      <w:color w:val="auto"/>
                      <w:szCs w:val="21"/>
                    </w:rPr>
                    <w:t>非甲烷总烃</w:t>
                  </w:r>
                </w:p>
              </w:tc>
              <w:tc>
                <w:tcPr>
                  <w:tcW w:w="2177" w:type="pct"/>
                  <w:vAlign w:val="center"/>
                </w:tcPr>
                <w:p>
                  <w:pPr>
                    <w:spacing w:line="300" w:lineRule="exact"/>
                    <w:jc w:val="center"/>
                    <w:rPr>
                      <w:color w:val="auto"/>
                      <w:szCs w:val="21"/>
                    </w:rPr>
                  </w:pPr>
                  <w:r>
                    <w:rPr>
                      <w:rFonts w:hint="eastAsia"/>
                      <w:color w:val="auto"/>
                      <w:szCs w:val="21"/>
                      <w:highlight w:val="none"/>
                    </w:rPr>
                    <w:t>集气罩+二级活性炭吸附+15m排气筒（DA006)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color w:val="auto"/>
                      <w:szCs w:val="21"/>
                      <w:highlight w:val="none"/>
                    </w:rPr>
                    <w:t>噪声</w:t>
                  </w:r>
                </w:p>
              </w:tc>
              <w:tc>
                <w:tcPr>
                  <w:tcW w:w="483" w:type="pct"/>
                  <w:vAlign w:val="center"/>
                </w:tcPr>
                <w:p>
                  <w:pPr>
                    <w:spacing w:line="300" w:lineRule="exact"/>
                    <w:jc w:val="center"/>
                    <w:rPr>
                      <w:color w:val="auto"/>
                      <w:szCs w:val="21"/>
                    </w:rPr>
                  </w:pPr>
                  <w:r>
                    <w:rPr>
                      <w:color w:val="auto"/>
                      <w:szCs w:val="21"/>
                    </w:rPr>
                    <w:t>N1</w:t>
                  </w:r>
                </w:p>
              </w:tc>
              <w:tc>
                <w:tcPr>
                  <w:tcW w:w="959" w:type="pct"/>
                  <w:vAlign w:val="center"/>
                </w:tcPr>
                <w:p>
                  <w:pPr>
                    <w:spacing w:line="300" w:lineRule="exact"/>
                    <w:jc w:val="center"/>
                    <w:rPr>
                      <w:color w:val="auto"/>
                      <w:szCs w:val="21"/>
                    </w:rPr>
                  </w:pPr>
                  <w:r>
                    <w:rPr>
                      <w:rFonts w:hint="eastAsia"/>
                      <w:color w:val="auto"/>
                      <w:szCs w:val="21"/>
                    </w:rPr>
                    <w:t>激光切割机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color w:val="auto"/>
                      <w:szCs w:val="21"/>
                    </w:rPr>
                    <w:t>N2</w:t>
                  </w:r>
                </w:p>
              </w:tc>
              <w:tc>
                <w:tcPr>
                  <w:tcW w:w="959" w:type="pct"/>
                  <w:vAlign w:val="center"/>
                </w:tcPr>
                <w:p>
                  <w:pPr>
                    <w:spacing w:line="300" w:lineRule="exact"/>
                    <w:jc w:val="center"/>
                    <w:rPr>
                      <w:color w:val="auto"/>
                      <w:szCs w:val="21"/>
                    </w:rPr>
                  </w:pPr>
                  <w:r>
                    <w:rPr>
                      <w:rFonts w:hint="eastAsia"/>
                      <w:color w:val="auto"/>
                      <w:szCs w:val="21"/>
                    </w:rPr>
                    <w:t>砖塔冲床</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N3</w:t>
                  </w:r>
                </w:p>
              </w:tc>
              <w:tc>
                <w:tcPr>
                  <w:tcW w:w="959" w:type="pct"/>
                  <w:vAlign w:val="center"/>
                </w:tcPr>
                <w:p>
                  <w:pPr>
                    <w:spacing w:line="300" w:lineRule="exact"/>
                    <w:jc w:val="center"/>
                    <w:rPr>
                      <w:color w:val="auto"/>
                      <w:szCs w:val="21"/>
                    </w:rPr>
                  </w:pPr>
                  <w:r>
                    <w:rPr>
                      <w:rFonts w:hint="eastAsia"/>
                      <w:color w:val="auto"/>
                      <w:szCs w:val="21"/>
                    </w:rPr>
                    <w:t>数控板料折弯机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N4</w:t>
                  </w:r>
                </w:p>
              </w:tc>
              <w:tc>
                <w:tcPr>
                  <w:tcW w:w="959" w:type="pct"/>
                  <w:vAlign w:val="center"/>
                </w:tcPr>
                <w:p>
                  <w:pPr>
                    <w:spacing w:line="300" w:lineRule="exact"/>
                    <w:jc w:val="center"/>
                    <w:rPr>
                      <w:color w:val="auto"/>
                      <w:szCs w:val="21"/>
                    </w:rPr>
                  </w:pPr>
                  <w:r>
                    <w:rPr>
                      <w:rFonts w:hint="eastAsia"/>
                      <w:color w:val="auto"/>
                      <w:szCs w:val="21"/>
                    </w:rPr>
                    <w:t>二保焊机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N5</w:t>
                  </w:r>
                </w:p>
              </w:tc>
              <w:tc>
                <w:tcPr>
                  <w:tcW w:w="959" w:type="pct"/>
                  <w:vAlign w:val="center"/>
                </w:tcPr>
                <w:p>
                  <w:pPr>
                    <w:spacing w:line="300" w:lineRule="exact"/>
                    <w:jc w:val="center"/>
                    <w:rPr>
                      <w:color w:val="auto"/>
                      <w:szCs w:val="21"/>
                    </w:rPr>
                  </w:pPr>
                  <w:r>
                    <w:rPr>
                      <w:rFonts w:hint="eastAsia"/>
                      <w:color w:val="auto"/>
                      <w:szCs w:val="21"/>
                    </w:rPr>
                    <w:t>氩弧焊机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N6</w:t>
                  </w:r>
                </w:p>
              </w:tc>
              <w:tc>
                <w:tcPr>
                  <w:tcW w:w="959" w:type="pct"/>
                  <w:vAlign w:val="center"/>
                </w:tcPr>
                <w:p>
                  <w:pPr>
                    <w:spacing w:line="300" w:lineRule="exact"/>
                    <w:jc w:val="center"/>
                    <w:rPr>
                      <w:color w:val="auto"/>
                      <w:szCs w:val="21"/>
                    </w:rPr>
                  </w:pPr>
                  <w:r>
                    <w:rPr>
                      <w:rFonts w:hint="eastAsia"/>
                      <w:color w:val="auto"/>
                      <w:szCs w:val="21"/>
                    </w:rPr>
                    <w:t>激光焊机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N7</w:t>
                  </w:r>
                </w:p>
              </w:tc>
              <w:tc>
                <w:tcPr>
                  <w:tcW w:w="959" w:type="pct"/>
                  <w:vAlign w:val="center"/>
                </w:tcPr>
                <w:p>
                  <w:pPr>
                    <w:spacing w:line="300" w:lineRule="exact"/>
                    <w:jc w:val="center"/>
                    <w:rPr>
                      <w:color w:val="auto"/>
                      <w:szCs w:val="21"/>
                    </w:rPr>
                  </w:pPr>
                  <w:r>
                    <w:rPr>
                      <w:rFonts w:hint="eastAsia"/>
                      <w:color w:val="auto"/>
                      <w:szCs w:val="21"/>
                    </w:rPr>
                    <w:t>数控母线冲剪机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N8</w:t>
                  </w:r>
                </w:p>
              </w:tc>
              <w:tc>
                <w:tcPr>
                  <w:tcW w:w="959" w:type="pct"/>
                  <w:vAlign w:val="center"/>
                </w:tcPr>
                <w:p>
                  <w:pPr>
                    <w:spacing w:line="300" w:lineRule="exact"/>
                    <w:jc w:val="center"/>
                    <w:rPr>
                      <w:color w:val="auto"/>
                      <w:szCs w:val="21"/>
                    </w:rPr>
                  </w:pPr>
                  <w:r>
                    <w:rPr>
                      <w:rFonts w:hint="eastAsia"/>
                      <w:color w:val="auto"/>
                      <w:szCs w:val="21"/>
                    </w:rPr>
                    <w:t>数控母线折弯机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N9</w:t>
                  </w:r>
                </w:p>
              </w:tc>
              <w:tc>
                <w:tcPr>
                  <w:tcW w:w="959" w:type="pct"/>
                  <w:vAlign w:val="center"/>
                </w:tcPr>
                <w:p>
                  <w:pPr>
                    <w:spacing w:line="300" w:lineRule="exact"/>
                    <w:jc w:val="center"/>
                    <w:rPr>
                      <w:color w:val="auto"/>
                      <w:szCs w:val="21"/>
                    </w:rPr>
                  </w:pPr>
                  <w:r>
                    <w:rPr>
                      <w:rFonts w:hint="eastAsia"/>
                      <w:color w:val="auto"/>
                      <w:szCs w:val="21"/>
                    </w:rPr>
                    <w:t>喷淋泵</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N10</w:t>
                  </w:r>
                </w:p>
              </w:tc>
              <w:tc>
                <w:tcPr>
                  <w:tcW w:w="959" w:type="pct"/>
                  <w:vAlign w:val="center"/>
                </w:tcPr>
                <w:p>
                  <w:pPr>
                    <w:spacing w:line="300" w:lineRule="exact"/>
                    <w:jc w:val="center"/>
                    <w:rPr>
                      <w:color w:val="auto"/>
                      <w:szCs w:val="21"/>
                    </w:rPr>
                  </w:pPr>
                  <w:r>
                    <w:rPr>
                      <w:rFonts w:hint="eastAsia"/>
                      <w:color w:val="auto"/>
                      <w:szCs w:val="21"/>
                    </w:rPr>
                    <w:t>风机</w:t>
                  </w:r>
                </w:p>
              </w:tc>
              <w:tc>
                <w:tcPr>
                  <w:tcW w:w="986" w:type="pct"/>
                  <w:vAlign w:val="center"/>
                </w:tcPr>
                <w:p>
                  <w:pPr>
                    <w:spacing w:line="300" w:lineRule="exact"/>
                    <w:jc w:val="center"/>
                    <w:rPr>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N11</w:t>
                  </w:r>
                </w:p>
              </w:tc>
              <w:tc>
                <w:tcPr>
                  <w:tcW w:w="959" w:type="pct"/>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空压机</w:t>
                  </w:r>
                </w:p>
              </w:tc>
              <w:tc>
                <w:tcPr>
                  <w:tcW w:w="986" w:type="pct"/>
                  <w:vAlign w:val="center"/>
                </w:tcPr>
                <w:p>
                  <w:pPr>
                    <w:spacing w:line="300" w:lineRule="exact"/>
                    <w:jc w:val="center"/>
                    <w:rPr>
                      <w:rFonts w:hint="eastAsia"/>
                      <w:color w:val="auto"/>
                      <w:szCs w:val="21"/>
                    </w:rPr>
                  </w:pPr>
                  <w:r>
                    <w:rPr>
                      <w:rFonts w:hint="eastAsia"/>
                      <w:color w:val="auto"/>
                      <w:szCs w:val="21"/>
                    </w:rPr>
                    <w:t>Leq（A）</w:t>
                  </w:r>
                </w:p>
              </w:tc>
              <w:tc>
                <w:tcPr>
                  <w:tcW w:w="2177" w:type="pct"/>
                  <w:vAlign w:val="center"/>
                </w:tcPr>
                <w:p>
                  <w:pPr>
                    <w:spacing w:line="300" w:lineRule="exact"/>
                    <w:jc w:val="center"/>
                    <w:rPr>
                      <w:color w:val="auto"/>
                      <w:szCs w:val="21"/>
                    </w:rPr>
                  </w:pPr>
                  <w:r>
                    <w:rPr>
                      <w:color w:val="auto"/>
                      <w:szCs w:val="21"/>
                    </w:rPr>
                    <w:t>减振、降噪、隔声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color w:val="auto"/>
                      <w:szCs w:val="21"/>
                    </w:rPr>
                    <w:t>固废</w:t>
                  </w:r>
                </w:p>
              </w:tc>
              <w:tc>
                <w:tcPr>
                  <w:tcW w:w="483" w:type="pct"/>
                  <w:vAlign w:val="center"/>
                </w:tcPr>
                <w:p>
                  <w:pPr>
                    <w:spacing w:line="300" w:lineRule="exact"/>
                    <w:jc w:val="center"/>
                    <w:rPr>
                      <w:color w:val="auto"/>
                      <w:szCs w:val="21"/>
                    </w:rPr>
                  </w:pPr>
                  <w:r>
                    <w:rPr>
                      <w:color w:val="auto"/>
                      <w:szCs w:val="21"/>
                    </w:rPr>
                    <w:t>S1</w:t>
                  </w:r>
                </w:p>
              </w:tc>
              <w:tc>
                <w:tcPr>
                  <w:tcW w:w="959" w:type="pct"/>
                  <w:vAlign w:val="center"/>
                </w:tcPr>
                <w:p>
                  <w:pPr>
                    <w:spacing w:line="300" w:lineRule="exact"/>
                    <w:jc w:val="center"/>
                    <w:rPr>
                      <w:color w:val="auto"/>
                      <w:szCs w:val="21"/>
                    </w:rPr>
                  </w:pPr>
                  <w:r>
                    <w:rPr>
                      <w:rFonts w:hint="eastAsia"/>
                      <w:color w:val="auto"/>
                      <w:szCs w:val="21"/>
                    </w:rPr>
                    <w:t>下料、打孔、折弯</w:t>
                  </w:r>
                </w:p>
              </w:tc>
              <w:tc>
                <w:tcPr>
                  <w:tcW w:w="986" w:type="pct"/>
                  <w:vAlign w:val="center"/>
                </w:tcPr>
                <w:p>
                  <w:pPr>
                    <w:spacing w:line="300" w:lineRule="exact"/>
                    <w:jc w:val="center"/>
                    <w:rPr>
                      <w:color w:val="auto"/>
                      <w:szCs w:val="21"/>
                    </w:rPr>
                  </w:pPr>
                  <w:r>
                    <w:rPr>
                      <w:rFonts w:hint="eastAsia"/>
                      <w:color w:val="auto"/>
                      <w:szCs w:val="21"/>
                    </w:rPr>
                    <w:t>废边角料</w:t>
                  </w:r>
                </w:p>
              </w:tc>
              <w:tc>
                <w:tcPr>
                  <w:tcW w:w="2177" w:type="pct"/>
                  <w:vAlign w:val="center"/>
                </w:tcPr>
                <w:p>
                  <w:pPr>
                    <w:spacing w:line="300" w:lineRule="exact"/>
                    <w:jc w:val="center"/>
                    <w:rPr>
                      <w:color w:val="auto"/>
                      <w:szCs w:val="21"/>
                    </w:rPr>
                  </w:pPr>
                  <w:r>
                    <w:rPr>
                      <w:rFonts w:hint="eastAsia"/>
                      <w:color w:val="auto"/>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S2</w:t>
                  </w:r>
                </w:p>
              </w:tc>
              <w:tc>
                <w:tcPr>
                  <w:tcW w:w="959" w:type="pct"/>
                  <w:vAlign w:val="center"/>
                </w:tcPr>
                <w:p>
                  <w:pPr>
                    <w:spacing w:line="300" w:lineRule="exact"/>
                    <w:jc w:val="center"/>
                    <w:rPr>
                      <w:color w:val="auto"/>
                      <w:szCs w:val="21"/>
                    </w:rPr>
                  </w:pPr>
                  <w:r>
                    <w:rPr>
                      <w:rFonts w:hint="eastAsia"/>
                      <w:color w:val="auto"/>
                      <w:szCs w:val="21"/>
                    </w:rPr>
                    <w:t>设备液压</w:t>
                  </w:r>
                </w:p>
              </w:tc>
              <w:tc>
                <w:tcPr>
                  <w:tcW w:w="986" w:type="pct"/>
                  <w:vAlign w:val="center"/>
                </w:tcPr>
                <w:p>
                  <w:pPr>
                    <w:spacing w:line="300" w:lineRule="exact"/>
                    <w:jc w:val="center"/>
                    <w:rPr>
                      <w:color w:val="auto"/>
                      <w:szCs w:val="21"/>
                    </w:rPr>
                  </w:pPr>
                  <w:r>
                    <w:rPr>
                      <w:rFonts w:hint="eastAsia"/>
                      <w:color w:val="auto"/>
                      <w:szCs w:val="21"/>
                    </w:rPr>
                    <w:t>废液压油</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S3</w:t>
                  </w:r>
                </w:p>
              </w:tc>
              <w:tc>
                <w:tcPr>
                  <w:tcW w:w="959" w:type="pct"/>
                  <w:vAlign w:val="center"/>
                </w:tcPr>
                <w:p>
                  <w:pPr>
                    <w:spacing w:line="300" w:lineRule="exact"/>
                    <w:jc w:val="center"/>
                    <w:rPr>
                      <w:color w:val="auto"/>
                      <w:szCs w:val="21"/>
                    </w:rPr>
                  </w:pPr>
                  <w:r>
                    <w:rPr>
                      <w:rFonts w:hint="eastAsia"/>
                      <w:color w:val="auto"/>
                      <w:szCs w:val="21"/>
                    </w:rPr>
                    <w:t>焊接工序</w:t>
                  </w:r>
                </w:p>
              </w:tc>
              <w:tc>
                <w:tcPr>
                  <w:tcW w:w="986" w:type="pct"/>
                  <w:vAlign w:val="center"/>
                </w:tcPr>
                <w:p>
                  <w:pPr>
                    <w:spacing w:line="300" w:lineRule="exact"/>
                    <w:jc w:val="center"/>
                    <w:rPr>
                      <w:color w:val="auto"/>
                      <w:szCs w:val="21"/>
                    </w:rPr>
                  </w:pPr>
                  <w:r>
                    <w:rPr>
                      <w:rFonts w:hint="eastAsia"/>
                      <w:color w:val="auto"/>
                      <w:szCs w:val="21"/>
                    </w:rPr>
                    <w:t>焊渣</w:t>
                  </w:r>
                </w:p>
              </w:tc>
              <w:tc>
                <w:tcPr>
                  <w:tcW w:w="2177" w:type="pct"/>
                  <w:vAlign w:val="center"/>
                </w:tcPr>
                <w:p>
                  <w:pPr>
                    <w:spacing w:line="300" w:lineRule="exact"/>
                    <w:jc w:val="center"/>
                    <w:rPr>
                      <w:color w:val="auto"/>
                      <w:szCs w:val="21"/>
                    </w:rPr>
                  </w:pPr>
                  <w:r>
                    <w:rPr>
                      <w:rFonts w:hint="eastAsia"/>
                      <w:color w:val="auto"/>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S4</w:t>
                  </w:r>
                </w:p>
              </w:tc>
              <w:tc>
                <w:tcPr>
                  <w:tcW w:w="959" w:type="pct"/>
                  <w:vAlign w:val="center"/>
                </w:tcPr>
                <w:p>
                  <w:pPr>
                    <w:spacing w:line="300" w:lineRule="exact"/>
                    <w:jc w:val="center"/>
                    <w:rPr>
                      <w:color w:val="auto"/>
                      <w:szCs w:val="21"/>
                    </w:rPr>
                  </w:pPr>
                  <w:r>
                    <w:rPr>
                      <w:rFonts w:hint="eastAsia"/>
                      <w:color w:val="auto"/>
                      <w:szCs w:val="21"/>
                    </w:rPr>
                    <w:t>铜排母线冲剪、折弯</w:t>
                  </w:r>
                </w:p>
              </w:tc>
              <w:tc>
                <w:tcPr>
                  <w:tcW w:w="986" w:type="pct"/>
                  <w:vAlign w:val="center"/>
                </w:tcPr>
                <w:p>
                  <w:pPr>
                    <w:spacing w:line="300" w:lineRule="exact"/>
                    <w:jc w:val="center"/>
                    <w:rPr>
                      <w:color w:val="auto"/>
                      <w:szCs w:val="21"/>
                    </w:rPr>
                  </w:pPr>
                  <w:r>
                    <w:rPr>
                      <w:rFonts w:hint="eastAsia"/>
                      <w:color w:val="auto"/>
                      <w:szCs w:val="21"/>
                    </w:rPr>
                    <w:t>废铜线</w:t>
                  </w:r>
                </w:p>
              </w:tc>
              <w:tc>
                <w:tcPr>
                  <w:tcW w:w="2177" w:type="pct"/>
                  <w:vAlign w:val="center"/>
                </w:tcPr>
                <w:p>
                  <w:pPr>
                    <w:spacing w:line="300" w:lineRule="exact"/>
                    <w:jc w:val="center"/>
                    <w:rPr>
                      <w:color w:val="auto"/>
                      <w:szCs w:val="21"/>
                    </w:rPr>
                  </w:pPr>
                  <w:r>
                    <w:rPr>
                      <w:rFonts w:hint="eastAsia"/>
                      <w:color w:val="auto"/>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S5</w:t>
                  </w:r>
                </w:p>
              </w:tc>
              <w:tc>
                <w:tcPr>
                  <w:tcW w:w="959" w:type="pct"/>
                  <w:vAlign w:val="center"/>
                </w:tcPr>
                <w:p>
                  <w:pPr>
                    <w:spacing w:line="300" w:lineRule="exact"/>
                    <w:jc w:val="center"/>
                    <w:rPr>
                      <w:color w:val="auto"/>
                      <w:szCs w:val="21"/>
                    </w:rPr>
                  </w:pPr>
                  <w:r>
                    <w:rPr>
                      <w:rFonts w:hint="eastAsia"/>
                      <w:color w:val="auto"/>
                      <w:szCs w:val="21"/>
                    </w:rPr>
                    <w:t>脱脂槽</w:t>
                  </w:r>
                </w:p>
              </w:tc>
              <w:tc>
                <w:tcPr>
                  <w:tcW w:w="986" w:type="pct"/>
                  <w:vAlign w:val="center"/>
                </w:tcPr>
                <w:p>
                  <w:pPr>
                    <w:spacing w:line="300" w:lineRule="exact"/>
                    <w:jc w:val="center"/>
                    <w:rPr>
                      <w:color w:val="auto"/>
                      <w:szCs w:val="21"/>
                    </w:rPr>
                  </w:pPr>
                  <w:r>
                    <w:rPr>
                      <w:rFonts w:hint="eastAsia"/>
                      <w:color w:val="auto"/>
                      <w:szCs w:val="21"/>
                    </w:rPr>
                    <w:t>脱脂槽残渣</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S6</w:t>
                  </w:r>
                </w:p>
              </w:tc>
              <w:tc>
                <w:tcPr>
                  <w:tcW w:w="959" w:type="pct"/>
                  <w:vAlign w:val="center"/>
                </w:tcPr>
                <w:p>
                  <w:pPr>
                    <w:spacing w:line="300" w:lineRule="exact"/>
                    <w:jc w:val="center"/>
                    <w:rPr>
                      <w:color w:val="auto"/>
                      <w:szCs w:val="21"/>
                    </w:rPr>
                  </w:pPr>
                  <w:r>
                    <w:rPr>
                      <w:rFonts w:hint="eastAsia"/>
                      <w:color w:val="auto"/>
                      <w:szCs w:val="21"/>
                    </w:rPr>
                    <w:t>脱脂剂包装</w:t>
                  </w:r>
                </w:p>
              </w:tc>
              <w:tc>
                <w:tcPr>
                  <w:tcW w:w="986" w:type="pct"/>
                  <w:vAlign w:val="center"/>
                </w:tcPr>
                <w:p>
                  <w:pPr>
                    <w:spacing w:line="300" w:lineRule="exact"/>
                    <w:jc w:val="center"/>
                    <w:rPr>
                      <w:color w:val="auto"/>
                      <w:szCs w:val="21"/>
                    </w:rPr>
                  </w:pPr>
                  <w:r>
                    <w:rPr>
                      <w:rFonts w:hint="eastAsia"/>
                      <w:color w:val="auto"/>
                      <w:szCs w:val="21"/>
                    </w:rPr>
                    <w:t>废脱脂剂包装桶</w:t>
                  </w:r>
                </w:p>
              </w:tc>
              <w:tc>
                <w:tcPr>
                  <w:tcW w:w="2177" w:type="pct"/>
                  <w:vAlign w:val="center"/>
                </w:tcPr>
                <w:p>
                  <w:pPr>
                    <w:spacing w:line="300" w:lineRule="exact"/>
                    <w:jc w:val="center"/>
                    <w:rPr>
                      <w:color w:val="auto"/>
                      <w:szCs w:val="21"/>
                    </w:rPr>
                  </w:pPr>
                  <w:r>
                    <w:rPr>
                      <w:rFonts w:hint="eastAsia"/>
                      <w:color w:val="auto"/>
                      <w:szCs w:val="21"/>
                    </w:rPr>
                    <w:t>厂家回收综合利用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S7</w:t>
                  </w:r>
                </w:p>
              </w:tc>
              <w:tc>
                <w:tcPr>
                  <w:tcW w:w="959" w:type="pct"/>
                  <w:vAlign w:val="center"/>
                </w:tcPr>
                <w:p>
                  <w:pPr>
                    <w:spacing w:line="300" w:lineRule="exact"/>
                    <w:jc w:val="center"/>
                    <w:rPr>
                      <w:color w:val="auto"/>
                      <w:szCs w:val="21"/>
                    </w:rPr>
                  </w:pPr>
                  <w:r>
                    <w:rPr>
                      <w:rFonts w:hint="eastAsia"/>
                      <w:color w:val="auto"/>
                      <w:szCs w:val="21"/>
                    </w:rPr>
                    <w:t>塑粉包装</w:t>
                  </w:r>
                </w:p>
              </w:tc>
              <w:tc>
                <w:tcPr>
                  <w:tcW w:w="986" w:type="pct"/>
                  <w:vAlign w:val="center"/>
                </w:tcPr>
                <w:p>
                  <w:pPr>
                    <w:spacing w:line="300" w:lineRule="exact"/>
                    <w:jc w:val="center"/>
                    <w:rPr>
                      <w:color w:val="auto"/>
                      <w:szCs w:val="21"/>
                    </w:rPr>
                  </w:pPr>
                  <w:r>
                    <w:rPr>
                      <w:rFonts w:hint="eastAsia"/>
                      <w:color w:val="auto"/>
                      <w:szCs w:val="21"/>
                    </w:rPr>
                    <w:t>废塑粉袋</w:t>
                  </w:r>
                </w:p>
              </w:tc>
              <w:tc>
                <w:tcPr>
                  <w:tcW w:w="2177" w:type="pct"/>
                  <w:vAlign w:val="center"/>
                </w:tcPr>
                <w:p>
                  <w:pPr>
                    <w:spacing w:line="300" w:lineRule="exact"/>
                    <w:jc w:val="center"/>
                    <w:rPr>
                      <w:color w:val="auto"/>
                      <w:szCs w:val="21"/>
                    </w:rPr>
                  </w:pPr>
                  <w:r>
                    <w:rPr>
                      <w:rFonts w:hint="eastAsia"/>
                      <w:color w:val="auto"/>
                      <w:szCs w:val="21"/>
                    </w:rPr>
                    <w:t>厂家回收综合利用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S8</w:t>
                  </w:r>
                </w:p>
              </w:tc>
              <w:tc>
                <w:tcPr>
                  <w:tcW w:w="959" w:type="pct"/>
                  <w:vMerge w:val="restart"/>
                  <w:vAlign w:val="center"/>
                </w:tcPr>
                <w:p>
                  <w:pPr>
                    <w:spacing w:line="300" w:lineRule="exact"/>
                    <w:jc w:val="center"/>
                    <w:rPr>
                      <w:color w:val="auto"/>
                      <w:szCs w:val="21"/>
                    </w:rPr>
                  </w:pPr>
                  <w:r>
                    <w:rPr>
                      <w:rFonts w:hint="eastAsia"/>
                      <w:color w:val="auto"/>
                      <w:szCs w:val="21"/>
                    </w:rPr>
                    <w:t>滤芯回收系统</w:t>
                  </w:r>
                </w:p>
              </w:tc>
              <w:tc>
                <w:tcPr>
                  <w:tcW w:w="986"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废塑粉</w:t>
                  </w:r>
                </w:p>
              </w:tc>
              <w:tc>
                <w:tcPr>
                  <w:tcW w:w="2177" w:type="pct"/>
                  <w:vAlign w:val="center"/>
                </w:tcPr>
                <w:p>
                  <w:pPr>
                    <w:spacing w:line="300" w:lineRule="exact"/>
                    <w:jc w:val="center"/>
                    <w:rPr>
                      <w:color w:val="auto"/>
                      <w:szCs w:val="21"/>
                    </w:rPr>
                  </w:pPr>
                  <w:r>
                    <w:rPr>
                      <w:rFonts w:hint="eastAsia"/>
                      <w:color w:val="auto"/>
                      <w:szCs w:val="21"/>
                    </w:rPr>
                    <w:t>回用于喷塑工序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S9</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废滤芯</w:t>
                  </w:r>
                </w:p>
              </w:tc>
              <w:tc>
                <w:tcPr>
                  <w:tcW w:w="2177" w:type="pct"/>
                  <w:vAlign w:val="center"/>
                </w:tcPr>
                <w:p>
                  <w:pPr>
                    <w:spacing w:line="300" w:lineRule="exact"/>
                    <w:jc w:val="center"/>
                    <w:rPr>
                      <w:color w:val="auto"/>
                      <w:szCs w:val="21"/>
                    </w:rPr>
                  </w:pPr>
                  <w:r>
                    <w:rPr>
                      <w:rFonts w:hint="eastAsia"/>
                      <w:color w:val="auto"/>
                      <w:szCs w:val="21"/>
                    </w:rPr>
                    <w:t>厂家回收综合利用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S10</w:t>
                  </w:r>
                </w:p>
              </w:tc>
              <w:tc>
                <w:tcPr>
                  <w:tcW w:w="959" w:type="pct"/>
                  <w:vMerge w:val="restart"/>
                  <w:vAlign w:val="center"/>
                </w:tcPr>
                <w:p>
                  <w:pPr>
                    <w:spacing w:line="300" w:lineRule="exact"/>
                    <w:jc w:val="center"/>
                    <w:rPr>
                      <w:color w:val="auto"/>
                      <w:szCs w:val="21"/>
                    </w:rPr>
                  </w:pPr>
                  <w:r>
                    <w:rPr>
                      <w:rFonts w:hint="eastAsia"/>
                      <w:color w:val="auto"/>
                      <w:szCs w:val="21"/>
                    </w:rPr>
                    <w:t>VOCs废气治理设备</w:t>
                  </w:r>
                </w:p>
              </w:tc>
              <w:tc>
                <w:tcPr>
                  <w:tcW w:w="986" w:type="pct"/>
                  <w:vAlign w:val="center"/>
                </w:tcPr>
                <w:p>
                  <w:pPr>
                    <w:spacing w:line="300" w:lineRule="exact"/>
                    <w:jc w:val="center"/>
                    <w:rPr>
                      <w:color w:val="auto"/>
                      <w:szCs w:val="21"/>
                    </w:rPr>
                  </w:pPr>
                  <w:r>
                    <w:rPr>
                      <w:rFonts w:hint="eastAsia"/>
                      <w:color w:val="auto"/>
                      <w:szCs w:val="21"/>
                    </w:rPr>
                    <w:t>废活性炭</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S11</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废过滤棉</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S12</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废催化剂</w:t>
                  </w:r>
                </w:p>
              </w:tc>
              <w:tc>
                <w:tcPr>
                  <w:tcW w:w="2177" w:type="pct"/>
                  <w:vAlign w:val="center"/>
                </w:tcPr>
                <w:p>
                  <w:pPr>
                    <w:spacing w:line="300" w:lineRule="exact"/>
                    <w:jc w:val="center"/>
                    <w:rPr>
                      <w:color w:val="auto"/>
                      <w:szCs w:val="21"/>
                    </w:rPr>
                  </w:pPr>
                  <w:r>
                    <w:rPr>
                      <w:rFonts w:hint="eastAsia"/>
                      <w:color w:val="auto"/>
                      <w:szCs w:val="21"/>
                    </w:rPr>
                    <w:t>由厂家回收利用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S13</w:t>
                  </w:r>
                </w:p>
              </w:tc>
              <w:tc>
                <w:tcPr>
                  <w:tcW w:w="959"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布袋除尘器</w:t>
                  </w:r>
                </w:p>
              </w:tc>
              <w:tc>
                <w:tcPr>
                  <w:tcW w:w="986"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除尘灰</w:t>
                  </w:r>
                </w:p>
              </w:tc>
              <w:tc>
                <w:tcPr>
                  <w:tcW w:w="2177" w:type="pct"/>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eastAsia" w:eastAsia="宋体"/>
                      <w:color w:val="auto"/>
                      <w:szCs w:val="21"/>
                      <w:lang w:eastAsia="zh-CN"/>
                    </w:rPr>
                  </w:pPr>
                  <w:r>
                    <w:rPr>
                      <w:rFonts w:hint="eastAsia"/>
                      <w:color w:val="auto"/>
                      <w:szCs w:val="21"/>
                    </w:rPr>
                    <w:t>S1</w:t>
                  </w:r>
                  <w:r>
                    <w:rPr>
                      <w:rFonts w:hint="eastAsia"/>
                      <w:color w:val="auto"/>
                      <w:szCs w:val="21"/>
                      <w:lang w:val="en-US" w:eastAsia="zh-CN"/>
                    </w:rPr>
                    <w:t>4</w:t>
                  </w:r>
                </w:p>
              </w:tc>
              <w:tc>
                <w:tcPr>
                  <w:tcW w:w="959" w:type="pct"/>
                  <w:vMerge w:val="restart"/>
                  <w:vAlign w:val="center"/>
                </w:tcPr>
                <w:p>
                  <w:pPr>
                    <w:spacing w:line="300" w:lineRule="exact"/>
                    <w:jc w:val="center"/>
                    <w:rPr>
                      <w:color w:val="auto"/>
                      <w:szCs w:val="21"/>
                    </w:rPr>
                  </w:pPr>
                  <w:r>
                    <w:rPr>
                      <w:rFonts w:hint="eastAsia"/>
                      <w:color w:val="auto"/>
                      <w:szCs w:val="21"/>
                    </w:rPr>
                    <w:t>污水处理站</w:t>
                  </w:r>
                </w:p>
              </w:tc>
              <w:tc>
                <w:tcPr>
                  <w:tcW w:w="986" w:type="pct"/>
                  <w:vAlign w:val="center"/>
                </w:tcPr>
                <w:p>
                  <w:pPr>
                    <w:spacing w:line="300" w:lineRule="exact"/>
                    <w:jc w:val="center"/>
                    <w:rPr>
                      <w:color w:val="auto"/>
                      <w:szCs w:val="21"/>
                    </w:rPr>
                  </w:pPr>
                  <w:r>
                    <w:rPr>
                      <w:rFonts w:hint="eastAsia"/>
                      <w:color w:val="auto"/>
                      <w:szCs w:val="21"/>
                    </w:rPr>
                    <w:t>污泥</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eastAsia" w:eastAsia="宋体"/>
                      <w:color w:val="auto"/>
                      <w:szCs w:val="21"/>
                      <w:lang w:eastAsia="zh-CN"/>
                    </w:rPr>
                  </w:pPr>
                  <w:r>
                    <w:rPr>
                      <w:rFonts w:hint="eastAsia"/>
                      <w:color w:val="auto"/>
                      <w:szCs w:val="21"/>
                    </w:rPr>
                    <w:t>S1</w:t>
                  </w:r>
                  <w:r>
                    <w:rPr>
                      <w:rFonts w:hint="eastAsia"/>
                      <w:color w:val="auto"/>
                      <w:szCs w:val="21"/>
                      <w:lang w:val="en-US" w:eastAsia="zh-CN"/>
                    </w:rPr>
                    <w:t>5</w:t>
                  </w:r>
                </w:p>
              </w:tc>
              <w:tc>
                <w:tcPr>
                  <w:tcW w:w="959" w:type="pct"/>
                  <w:vMerge w:val="continue"/>
                  <w:vAlign w:val="center"/>
                </w:tcPr>
                <w:p>
                  <w:pPr>
                    <w:spacing w:line="300" w:lineRule="exact"/>
                    <w:jc w:val="center"/>
                    <w:rPr>
                      <w:color w:val="auto"/>
                      <w:szCs w:val="21"/>
                    </w:rPr>
                  </w:pPr>
                </w:p>
              </w:tc>
              <w:tc>
                <w:tcPr>
                  <w:tcW w:w="986" w:type="pct"/>
                  <w:vAlign w:val="center"/>
                </w:tcPr>
                <w:p>
                  <w:pPr>
                    <w:spacing w:line="300" w:lineRule="exact"/>
                    <w:jc w:val="center"/>
                    <w:rPr>
                      <w:color w:val="auto"/>
                      <w:szCs w:val="21"/>
                    </w:rPr>
                  </w:pPr>
                  <w:r>
                    <w:rPr>
                      <w:rFonts w:hint="eastAsia"/>
                      <w:color w:val="auto"/>
                      <w:szCs w:val="21"/>
                    </w:rPr>
                    <w:t>气浮机废油</w:t>
                  </w:r>
                </w:p>
              </w:tc>
              <w:tc>
                <w:tcPr>
                  <w:tcW w:w="2177" w:type="pct"/>
                  <w:vAlign w:val="center"/>
                </w:tcPr>
                <w:p>
                  <w:pPr>
                    <w:spacing w:line="300" w:lineRule="exact"/>
                    <w:jc w:val="center"/>
                    <w:rPr>
                      <w:color w:val="auto"/>
                      <w:szCs w:val="21"/>
                    </w:rPr>
                  </w:pPr>
                  <w:r>
                    <w:rPr>
                      <w:rFonts w:hint="eastAsia"/>
                      <w:color w:val="auto"/>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rFonts w:hint="eastAsia" w:eastAsia="宋体"/>
                      <w:color w:val="auto"/>
                      <w:szCs w:val="21"/>
                      <w:lang w:eastAsia="zh-CN"/>
                    </w:rPr>
                  </w:pPr>
                  <w:r>
                    <w:rPr>
                      <w:rFonts w:hint="eastAsia"/>
                      <w:color w:val="auto"/>
                      <w:szCs w:val="21"/>
                    </w:rPr>
                    <w:t>S1</w:t>
                  </w:r>
                  <w:r>
                    <w:rPr>
                      <w:rFonts w:hint="eastAsia"/>
                      <w:color w:val="auto"/>
                      <w:szCs w:val="21"/>
                      <w:lang w:val="en-US" w:eastAsia="zh-CN"/>
                    </w:rPr>
                    <w:t>6</w:t>
                  </w:r>
                </w:p>
              </w:tc>
              <w:tc>
                <w:tcPr>
                  <w:tcW w:w="959" w:type="pct"/>
                  <w:vAlign w:val="center"/>
                </w:tcPr>
                <w:p>
                  <w:pPr>
                    <w:spacing w:line="300" w:lineRule="exact"/>
                    <w:jc w:val="center"/>
                    <w:rPr>
                      <w:color w:val="auto"/>
                      <w:szCs w:val="21"/>
                    </w:rPr>
                  </w:pPr>
                  <w:r>
                    <w:rPr>
                      <w:rFonts w:hint="eastAsia"/>
                      <w:color w:val="auto"/>
                      <w:szCs w:val="21"/>
                    </w:rPr>
                    <w:t>职工生活</w:t>
                  </w:r>
                </w:p>
              </w:tc>
              <w:tc>
                <w:tcPr>
                  <w:tcW w:w="986" w:type="pct"/>
                  <w:vAlign w:val="center"/>
                </w:tcPr>
                <w:p>
                  <w:pPr>
                    <w:spacing w:line="300" w:lineRule="exact"/>
                    <w:jc w:val="center"/>
                    <w:rPr>
                      <w:color w:val="auto"/>
                      <w:szCs w:val="21"/>
                    </w:rPr>
                  </w:pPr>
                  <w:r>
                    <w:rPr>
                      <w:rFonts w:hint="eastAsia"/>
                      <w:color w:val="auto"/>
                      <w:szCs w:val="21"/>
                    </w:rPr>
                    <w:t>生活垃圾</w:t>
                  </w:r>
                </w:p>
              </w:tc>
              <w:tc>
                <w:tcPr>
                  <w:tcW w:w="2177" w:type="pct"/>
                  <w:vAlign w:val="center"/>
                </w:tcPr>
                <w:p>
                  <w:pPr>
                    <w:spacing w:line="300" w:lineRule="exact"/>
                    <w:jc w:val="center"/>
                    <w:rPr>
                      <w:color w:val="auto"/>
                      <w:szCs w:val="21"/>
                    </w:rPr>
                  </w:pPr>
                  <w:r>
                    <w:rPr>
                      <w:rFonts w:hint="eastAsia"/>
                      <w:color w:val="auto"/>
                      <w:szCs w:val="21"/>
                    </w:rPr>
                    <w:t>送环卫部门统一清运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restart"/>
                  <w:vAlign w:val="center"/>
                </w:tcPr>
                <w:p>
                  <w:pPr>
                    <w:spacing w:line="300" w:lineRule="exact"/>
                    <w:jc w:val="center"/>
                    <w:rPr>
                      <w:color w:val="auto"/>
                      <w:szCs w:val="21"/>
                    </w:rPr>
                  </w:pPr>
                  <w:r>
                    <w:rPr>
                      <w:rFonts w:hint="eastAsia"/>
                      <w:color w:val="auto"/>
                      <w:szCs w:val="21"/>
                    </w:rPr>
                    <w:t>废水</w:t>
                  </w:r>
                </w:p>
              </w:tc>
              <w:tc>
                <w:tcPr>
                  <w:tcW w:w="483" w:type="pct"/>
                  <w:vAlign w:val="center"/>
                </w:tcPr>
                <w:p>
                  <w:pPr>
                    <w:spacing w:line="300" w:lineRule="exact"/>
                    <w:jc w:val="center"/>
                    <w:rPr>
                      <w:color w:val="auto"/>
                      <w:szCs w:val="21"/>
                    </w:rPr>
                  </w:pPr>
                  <w:r>
                    <w:rPr>
                      <w:rFonts w:hint="eastAsia"/>
                      <w:color w:val="auto"/>
                      <w:szCs w:val="21"/>
                    </w:rPr>
                    <w:t>W1</w:t>
                  </w:r>
                </w:p>
              </w:tc>
              <w:tc>
                <w:tcPr>
                  <w:tcW w:w="959" w:type="pct"/>
                  <w:vAlign w:val="center"/>
                </w:tcPr>
                <w:p>
                  <w:pPr>
                    <w:spacing w:line="300" w:lineRule="exact"/>
                    <w:jc w:val="center"/>
                    <w:rPr>
                      <w:color w:val="auto"/>
                      <w:szCs w:val="21"/>
                    </w:rPr>
                  </w:pPr>
                  <w:r>
                    <w:rPr>
                      <w:rFonts w:hint="eastAsia"/>
                      <w:color w:val="auto"/>
                      <w:szCs w:val="21"/>
                    </w:rPr>
                    <w:t>冲洗废水</w:t>
                  </w:r>
                </w:p>
              </w:tc>
              <w:tc>
                <w:tcPr>
                  <w:tcW w:w="986" w:type="pct"/>
                  <w:vAlign w:val="center"/>
                </w:tcPr>
                <w:p>
                  <w:pPr>
                    <w:spacing w:line="300" w:lineRule="exact"/>
                    <w:jc w:val="center"/>
                    <w:rPr>
                      <w:color w:val="auto"/>
                      <w:szCs w:val="21"/>
                    </w:rPr>
                  </w:pPr>
                  <w:r>
                    <w:rPr>
                      <w:rFonts w:hint="eastAsia"/>
                      <w:color w:val="auto"/>
                      <w:szCs w:val="21"/>
                    </w:rPr>
                    <w:t>pH、COD、SS、石油类</w:t>
                  </w:r>
                </w:p>
              </w:tc>
              <w:tc>
                <w:tcPr>
                  <w:tcW w:w="2177" w:type="pct"/>
                  <w:vAlign w:val="center"/>
                </w:tcPr>
                <w:p>
                  <w:pPr>
                    <w:spacing w:line="300" w:lineRule="exact"/>
                    <w:jc w:val="center"/>
                    <w:rPr>
                      <w:color w:val="auto"/>
                      <w:szCs w:val="21"/>
                    </w:rPr>
                  </w:pPr>
                  <w:r>
                    <w:rPr>
                      <w:rFonts w:hint="eastAsia"/>
                      <w:color w:val="auto"/>
                      <w:szCs w:val="21"/>
                    </w:rPr>
                    <w:t>排入一体化污水处理设施处理后进入园区污水管网，最终排入魏县开发区污水处理厂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W2</w:t>
                  </w:r>
                </w:p>
              </w:tc>
              <w:tc>
                <w:tcPr>
                  <w:tcW w:w="959" w:type="pct"/>
                  <w:vAlign w:val="center"/>
                </w:tcPr>
                <w:p>
                  <w:pPr>
                    <w:spacing w:line="300" w:lineRule="exact"/>
                    <w:jc w:val="center"/>
                    <w:rPr>
                      <w:color w:val="auto"/>
                      <w:szCs w:val="21"/>
                    </w:rPr>
                  </w:pPr>
                  <w:r>
                    <w:rPr>
                      <w:rFonts w:hint="eastAsia"/>
                      <w:color w:val="auto"/>
                      <w:szCs w:val="21"/>
                    </w:rPr>
                    <w:t>脱脂槽液</w:t>
                  </w:r>
                </w:p>
              </w:tc>
              <w:tc>
                <w:tcPr>
                  <w:tcW w:w="986" w:type="pct"/>
                  <w:vAlign w:val="center"/>
                </w:tcPr>
                <w:p>
                  <w:pPr>
                    <w:spacing w:line="300" w:lineRule="exact"/>
                    <w:jc w:val="center"/>
                    <w:rPr>
                      <w:color w:val="auto"/>
                      <w:szCs w:val="21"/>
                    </w:rPr>
                  </w:pPr>
                  <w:r>
                    <w:rPr>
                      <w:rFonts w:hint="eastAsia"/>
                      <w:color w:val="auto"/>
                      <w:szCs w:val="21"/>
                    </w:rPr>
                    <w:t>pH、COD、SS、石油类、氨氮、阴离子表面活性剂、总磷</w:t>
                  </w:r>
                </w:p>
              </w:tc>
              <w:tc>
                <w:tcPr>
                  <w:tcW w:w="2177" w:type="pct"/>
                  <w:vAlign w:val="center"/>
                </w:tcPr>
                <w:p>
                  <w:pPr>
                    <w:spacing w:line="300" w:lineRule="exact"/>
                    <w:jc w:val="center"/>
                    <w:rPr>
                      <w:color w:val="auto"/>
                      <w:szCs w:val="21"/>
                    </w:rPr>
                  </w:pPr>
                  <w:r>
                    <w:rPr>
                      <w:rFonts w:hint="eastAsia"/>
                      <w:color w:val="auto"/>
                      <w:szCs w:val="21"/>
                    </w:rPr>
                    <w:t>排入一体化污水处理设施处理后进入园区污水管网，最终排入魏县开发区污水处理厂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W3</w:t>
                  </w:r>
                </w:p>
              </w:tc>
              <w:tc>
                <w:tcPr>
                  <w:tcW w:w="959" w:type="pct"/>
                  <w:vAlign w:val="center"/>
                </w:tcPr>
                <w:p>
                  <w:pPr>
                    <w:spacing w:line="300" w:lineRule="exact"/>
                    <w:jc w:val="center"/>
                    <w:rPr>
                      <w:color w:val="auto"/>
                      <w:szCs w:val="21"/>
                    </w:rPr>
                  </w:pPr>
                  <w:r>
                    <w:rPr>
                      <w:rFonts w:hint="eastAsia"/>
                      <w:color w:val="auto"/>
                      <w:szCs w:val="21"/>
                    </w:rPr>
                    <w:t>冲洗废水</w:t>
                  </w:r>
                </w:p>
              </w:tc>
              <w:tc>
                <w:tcPr>
                  <w:tcW w:w="986" w:type="pct"/>
                  <w:vAlign w:val="center"/>
                </w:tcPr>
                <w:p>
                  <w:pPr>
                    <w:spacing w:line="300" w:lineRule="exact"/>
                    <w:jc w:val="center"/>
                    <w:rPr>
                      <w:color w:val="auto"/>
                      <w:szCs w:val="21"/>
                    </w:rPr>
                  </w:pPr>
                  <w:r>
                    <w:rPr>
                      <w:rFonts w:hint="eastAsia"/>
                      <w:color w:val="auto"/>
                      <w:szCs w:val="21"/>
                    </w:rPr>
                    <w:t>pH、COD、SS、石油类、氨氮、阴离子表面活性剂、总磷</w:t>
                  </w:r>
                </w:p>
              </w:tc>
              <w:tc>
                <w:tcPr>
                  <w:tcW w:w="2177" w:type="pct"/>
                  <w:vAlign w:val="center"/>
                </w:tcPr>
                <w:p>
                  <w:pPr>
                    <w:spacing w:line="300" w:lineRule="exact"/>
                    <w:jc w:val="center"/>
                    <w:rPr>
                      <w:color w:val="auto"/>
                      <w:szCs w:val="21"/>
                    </w:rPr>
                  </w:pPr>
                  <w:r>
                    <w:rPr>
                      <w:rFonts w:hint="eastAsia"/>
                      <w:color w:val="auto"/>
                      <w:szCs w:val="21"/>
                    </w:rPr>
                    <w:t>排入一体化污水处理设施处理后进入园区污水管网，最终排入魏县开发区污水处理厂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pct"/>
                  <w:vMerge w:val="continue"/>
                  <w:vAlign w:val="center"/>
                </w:tcPr>
                <w:p>
                  <w:pPr>
                    <w:spacing w:line="300" w:lineRule="exact"/>
                    <w:jc w:val="center"/>
                    <w:rPr>
                      <w:color w:val="auto"/>
                      <w:szCs w:val="21"/>
                    </w:rPr>
                  </w:pPr>
                </w:p>
              </w:tc>
              <w:tc>
                <w:tcPr>
                  <w:tcW w:w="483" w:type="pct"/>
                  <w:vAlign w:val="center"/>
                </w:tcPr>
                <w:p>
                  <w:pPr>
                    <w:spacing w:line="300" w:lineRule="exact"/>
                    <w:jc w:val="center"/>
                    <w:rPr>
                      <w:color w:val="auto"/>
                      <w:szCs w:val="21"/>
                    </w:rPr>
                  </w:pPr>
                  <w:r>
                    <w:rPr>
                      <w:rFonts w:hint="eastAsia"/>
                      <w:color w:val="auto"/>
                      <w:szCs w:val="21"/>
                    </w:rPr>
                    <w:t>W4</w:t>
                  </w:r>
                </w:p>
              </w:tc>
              <w:tc>
                <w:tcPr>
                  <w:tcW w:w="959" w:type="pct"/>
                  <w:vAlign w:val="center"/>
                </w:tcPr>
                <w:p>
                  <w:pPr>
                    <w:spacing w:line="300" w:lineRule="exact"/>
                    <w:jc w:val="center"/>
                    <w:rPr>
                      <w:color w:val="auto"/>
                      <w:szCs w:val="21"/>
                    </w:rPr>
                  </w:pPr>
                  <w:r>
                    <w:rPr>
                      <w:rFonts w:hint="eastAsia"/>
                      <w:color w:val="auto"/>
                      <w:szCs w:val="21"/>
                    </w:rPr>
                    <w:t>生活废水</w:t>
                  </w:r>
                </w:p>
              </w:tc>
              <w:tc>
                <w:tcPr>
                  <w:tcW w:w="986" w:type="pct"/>
                  <w:vAlign w:val="center"/>
                </w:tcPr>
                <w:p>
                  <w:pPr>
                    <w:spacing w:line="300" w:lineRule="exact"/>
                    <w:jc w:val="center"/>
                    <w:rPr>
                      <w:color w:val="auto"/>
                      <w:szCs w:val="21"/>
                    </w:rPr>
                  </w:pPr>
                  <w:r>
                    <w:rPr>
                      <w:rFonts w:hint="eastAsia"/>
                      <w:color w:val="auto"/>
                      <w:szCs w:val="21"/>
                    </w:rPr>
                    <w:t>pH、COD、SS、BOD5、氨氮</w:t>
                  </w:r>
                </w:p>
              </w:tc>
              <w:tc>
                <w:tcPr>
                  <w:tcW w:w="2177" w:type="pct"/>
                  <w:vAlign w:val="center"/>
                </w:tcPr>
                <w:p>
                  <w:pPr>
                    <w:spacing w:line="300" w:lineRule="exact"/>
                    <w:jc w:val="center"/>
                    <w:rPr>
                      <w:color w:val="auto"/>
                      <w:szCs w:val="21"/>
                    </w:rPr>
                  </w:pPr>
                  <w:r>
                    <w:rPr>
                      <w:rFonts w:hint="eastAsia"/>
                      <w:color w:val="auto"/>
                      <w:szCs w:val="21"/>
                    </w:rPr>
                    <w:t>化粪池处理后进入园区污水管网，最终排入魏县开发区污水处理厂</w:t>
                  </w:r>
                </w:p>
              </w:tc>
            </w:tr>
          </w:tbl>
          <w:p>
            <w:pPr>
              <w:pStyle w:val="31"/>
              <w:adjustRightInd w:val="0"/>
              <w:snapToGrid w:val="0"/>
              <w:spacing w:line="600" w:lineRule="exact"/>
              <w:ind w:firstLine="0"/>
              <w:jc w:val="left"/>
              <w:rPr>
                <w:rFonts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1" w:type="dxa"/>
            <w:vAlign w:val="center"/>
          </w:tcPr>
          <w:p>
            <w:pPr>
              <w:pStyle w:val="24"/>
              <w:jc w:val="center"/>
              <w:rPr>
                <w:color w:val="auto"/>
              </w:rPr>
            </w:pPr>
            <w:r>
              <w:rPr>
                <w:rFonts w:hint="eastAsia"/>
                <w:color w:val="auto"/>
              </w:rPr>
              <w:t>与项目有关的原有环境污染问题</w:t>
            </w:r>
          </w:p>
        </w:tc>
        <w:tc>
          <w:tcPr>
            <w:tcW w:w="9044" w:type="dxa"/>
            <w:vAlign w:val="center"/>
          </w:tcPr>
          <w:p>
            <w:pPr>
              <w:spacing w:line="360" w:lineRule="auto"/>
              <w:ind w:firstLine="472" w:firstLineChars="200"/>
              <w:rPr>
                <w:color w:val="auto"/>
                <w:sz w:val="24"/>
                <w:szCs w:val="24"/>
              </w:rPr>
            </w:pPr>
            <w:r>
              <w:rPr>
                <w:rFonts w:hint="eastAsia"/>
                <w:color w:val="auto"/>
                <w:sz w:val="24"/>
                <w:szCs w:val="24"/>
              </w:rPr>
              <w:t>本项目为新建项目，</w:t>
            </w:r>
            <w:r>
              <w:rPr>
                <w:rFonts w:hint="eastAsia" w:ascii="宋体" w:hAnsi="宋体" w:cs="宋体"/>
                <w:color w:val="auto"/>
                <w:sz w:val="24"/>
                <w:szCs w:val="24"/>
              </w:rPr>
              <w:t>租赁河北聚银企业管理服务有限公司设备制造区C厂区</w:t>
            </w:r>
            <w:r>
              <w:rPr>
                <w:rFonts w:hint="eastAsia"/>
                <w:color w:val="auto"/>
                <w:sz w:val="24"/>
                <w:szCs w:val="24"/>
              </w:rPr>
              <w:t>，经现场踏勘，C厂区内建有生产厂房2座，地面硬化完整，无明显破损，建有办公楼1座和研发楼一座。目前没有与本项目有关的原有污染情况及主要环境问题。</w:t>
            </w:r>
          </w:p>
          <w:p>
            <w:pPr>
              <w:spacing w:line="360" w:lineRule="auto"/>
              <w:ind w:firstLine="472" w:firstLineChars="200"/>
              <w:rPr>
                <w:color w:val="auto"/>
                <w:sz w:val="24"/>
                <w:szCs w:val="24"/>
              </w:rPr>
            </w:pPr>
          </w:p>
          <w:p>
            <w:pPr>
              <w:pStyle w:val="24"/>
              <w:rPr>
                <w:color w:val="auto"/>
                <w:szCs w:val="24"/>
              </w:rPr>
            </w:pPr>
          </w:p>
        </w:tc>
      </w:tr>
    </w:tbl>
    <w:p>
      <w:pPr>
        <w:pStyle w:val="14"/>
        <w:sectPr>
          <w:pgSz w:w="11906" w:h="16838"/>
          <w:pgMar w:top="1304" w:right="1701" w:bottom="1418" w:left="1701" w:header="851" w:footer="851" w:gutter="0"/>
          <w:pgBorders>
            <w:top w:val="none" w:sz="0" w:space="0"/>
            <w:left w:val="none" w:sz="0" w:space="0"/>
            <w:bottom w:val="none" w:sz="0" w:space="0"/>
            <w:right w:val="none" w:sz="0" w:space="0"/>
          </w:pgBorders>
          <w:cols w:space="720" w:num="1"/>
          <w:docGrid w:type="linesAndChars" w:linePitch="380" w:charSpace="-948"/>
        </w:sectPr>
      </w:pPr>
    </w:p>
    <w:p>
      <w:pPr>
        <w:pStyle w:val="14"/>
        <w:tabs>
          <w:tab w:val="left" w:pos="1230"/>
        </w:tabs>
        <w:jc w:val="center"/>
        <w:rPr>
          <w:rFonts w:eastAsia="黑体"/>
          <w:b/>
          <w:sz w:val="32"/>
          <w:szCs w:val="32"/>
        </w:rPr>
      </w:pPr>
      <w:r>
        <w:rPr>
          <w:rFonts w:hint="eastAsia" w:eastAsia="黑体"/>
          <w:b/>
          <w:sz w:val="32"/>
          <w:szCs w:val="32"/>
        </w:rPr>
        <w:t>三、区域</w:t>
      </w:r>
      <w:r>
        <w:rPr>
          <w:rFonts w:eastAsia="黑体"/>
          <w:b/>
          <w:sz w:val="32"/>
          <w:szCs w:val="32"/>
        </w:rPr>
        <w:t>环境质量</w:t>
      </w:r>
      <w:r>
        <w:rPr>
          <w:rFonts w:hint="eastAsia" w:eastAsia="黑体"/>
          <w:b/>
          <w:sz w:val="32"/>
          <w:szCs w:val="32"/>
        </w:rPr>
        <w:t>现</w:t>
      </w:r>
      <w:r>
        <w:rPr>
          <w:rFonts w:eastAsia="黑体"/>
          <w:b/>
          <w:sz w:val="32"/>
          <w:szCs w:val="32"/>
        </w:rPr>
        <w:t>状</w:t>
      </w:r>
      <w:r>
        <w:rPr>
          <w:rFonts w:hint="eastAsia" w:eastAsia="黑体"/>
          <w:b/>
          <w:sz w:val="32"/>
          <w:szCs w:val="32"/>
        </w:rPr>
        <w:t>、环境保护目标及评价标准</w:t>
      </w:r>
    </w:p>
    <w:tbl>
      <w:tblPr>
        <w:tblStyle w:val="1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4" w:type="dxa"/>
            <w:vAlign w:val="center"/>
          </w:tcPr>
          <w:p>
            <w:pPr>
              <w:shd w:val="clear" w:color="auto" w:fill="FFFFFF"/>
              <w:spacing w:line="480" w:lineRule="exact"/>
              <w:ind w:firstLine="480"/>
              <w:jc w:val="center"/>
              <w:rPr>
                <w:color w:val="auto"/>
                <w:sz w:val="24"/>
                <w:szCs w:val="24"/>
              </w:rPr>
            </w:pPr>
          </w:p>
          <w:p>
            <w:pPr>
              <w:shd w:val="clear" w:color="auto" w:fill="FFFFFF"/>
              <w:spacing w:line="480" w:lineRule="exact"/>
              <w:ind w:firstLine="480"/>
              <w:jc w:val="center"/>
              <w:rPr>
                <w:rFonts w:ascii="Arial" w:hAnsi="Arial" w:cs="Arial"/>
                <w:color w:val="auto"/>
                <w:sz w:val="24"/>
                <w:szCs w:val="24"/>
              </w:rPr>
            </w:pPr>
          </w:p>
          <w:p>
            <w:pPr>
              <w:pStyle w:val="24"/>
              <w:spacing w:line="440" w:lineRule="exact"/>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spacing w:line="480" w:lineRule="exact"/>
              <w:jc w:val="center"/>
              <w:rPr>
                <w:color w:val="auto"/>
              </w:rPr>
            </w:pPr>
            <w:r>
              <w:rPr>
                <w:rFonts w:hint="eastAsia"/>
                <w:color w:val="auto"/>
              </w:rPr>
              <w:t>区域</w:t>
            </w:r>
            <w:r>
              <w:rPr>
                <w:color w:val="auto"/>
              </w:rPr>
              <w:t>环境质量</w:t>
            </w:r>
            <w:r>
              <w:rPr>
                <w:rFonts w:hint="eastAsia"/>
                <w:color w:val="auto"/>
              </w:rPr>
              <w:t>现</w:t>
            </w:r>
            <w:r>
              <w:rPr>
                <w:color w:val="auto"/>
              </w:rPr>
              <w:t>状</w:t>
            </w: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p>
            <w:pPr>
              <w:pStyle w:val="24"/>
              <w:jc w:val="center"/>
              <w:rPr>
                <w:color w:val="auto"/>
              </w:rPr>
            </w:pPr>
          </w:p>
        </w:tc>
        <w:tc>
          <w:tcPr>
            <w:tcW w:w="8248" w:type="dxa"/>
          </w:tcPr>
          <w:p>
            <w:pPr>
              <w:spacing w:line="360" w:lineRule="auto"/>
              <w:ind w:firstLine="472" w:firstLineChars="200"/>
              <w:rPr>
                <w:b/>
                <w:bCs/>
                <w:color w:val="auto"/>
                <w:sz w:val="24"/>
              </w:rPr>
            </w:pPr>
            <w:r>
              <w:rPr>
                <w:b/>
                <w:bCs/>
                <w:color w:val="auto"/>
                <w:sz w:val="24"/>
              </w:rPr>
              <w:t>1、环境空气</w:t>
            </w:r>
          </w:p>
          <w:p>
            <w:pPr>
              <w:spacing w:line="360" w:lineRule="auto"/>
              <w:ind w:firstLine="472" w:firstLineChars="200"/>
              <w:rPr>
                <w:bCs/>
                <w:color w:val="auto"/>
                <w:sz w:val="24"/>
              </w:rPr>
            </w:pPr>
            <w:r>
              <w:rPr>
                <w:rFonts w:hint="eastAsia"/>
                <w:bCs/>
                <w:color w:val="auto"/>
                <w:sz w:val="24"/>
              </w:rPr>
              <w:t>（1）基本污染物</w:t>
            </w:r>
          </w:p>
          <w:p>
            <w:pPr>
              <w:spacing w:line="360" w:lineRule="auto"/>
              <w:ind w:firstLine="472" w:firstLineChars="200"/>
              <w:rPr>
                <w:color w:val="auto"/>
                <w:sz w:val="24"/>
                <w:szCs w:val="32"/>
              </w:rPr>
            </w:pPr>
            <w:r>
              <w:rPr>
                <w:color w:val="auto"/>
                <w:sz w:val="24"/>
                <w:szCs w:val="32"/>
              </w:rPr>
              <w:t>根据《建设项目环境影响报告表编制技术指南（污染影响类）（试行）》相关规定，本评价选用邯郸市生态环境局2022年7月13日公布的《2021年度邯郸市环境质量公报》作为基本污染物环境空气质量现状数据，并对各污染物的年评价指标进行环境质量现状评价。</w:t>
            </w:r>
          </w:p>
          <w:p>
            <w:pPr>
              <w:spacing w:line="360" w:lineRule="auto"/>
              <w:ind w:firstLine="472" w:firstLineChars="200"/>
              <w:rPr>
                <w:snapToGrid w:val="0"/>
                <w:color w:val="auto"/>
                <w:kern w:val="0"/>
                <w:sz w:val="24"/>
                <w:szCs w:val="24"/>
              </w:rPr>
            </w:pPr>
            <w:r>
              <w:rPr>
                <w:color w:val="auto"/>
                <w:sz w:val="24"/>
                <w:szCs w:val="32"/>
              </w:rPr>
              <w:t>根据年报中数据可知，</w:t>
            </w:r>
            <w:r>
              <w:rPr>
                <w:snapToGrid w:val="0"/>
                <w:color w:val="auto"/>
                <w:kern w:val="0"/>
                <w:sz w:val="24"/>
                <w:szCs w:val="24"/>
              </w:rPr>
              <w:t>主城区空气质量达标天数为245天，占全年总天数的67.1%（全年有效天数365天）；其中一级天数为46天，占12.60%，二级天数为199天，占54.52%，三级天数为85天，占23.29%，四级天数为20天，占5.48%，五级天数为10天，占2.74%。六级天数为5天，占1.37%。</w:t>
            </w:r>
          </w:p>
          <w:p>
            <w:pPr>
              <w:spacing w:line="360" w:lineRule="auto"/>
              <w:ind w:firstLine="472" w:firstLineChars="200"/>
              <w:rPr>
                <w:snapToGrid w:val="0"/>
                <w:color w:val="auto"/>
                <w:kern w:val="0"/>
                <w:sz w:val="24"/>
                <w:szCs w:val="24"/>
              </w:rPr>
            </w:pPr>
            <w:r>
              <w:rPr>
                <w:snapToGrid w:val="0"/>
                <w:color w:val="auto"/>
                <w:kern w:val="0"/>
                <w:sz w:val="24"/>
                <w:szCs w:val="24"/>
              </w:rPr>
              <w:t>空气质量综合指数为4.81，省内排名第9。二氧化硫（SO</w:t>
            </w:r>
            <w:r>
              <w:rPr>
                <w:snapToGrid w:val="0"/>
                <w:color w:val="auto"/>
                <w:kern w:val="0"/>
                <w:sz w:val="24"/>
                <w:szCs w:val="24"/>
                <w:vertAlign w:val="subscript"/>
              </w:rPr>
              <w:t>2</w:t>
            </w:r>
            <w:r>
              <w:rPr>
                <w:snapToGrid w:val="0"/>
                <w:color w:val="auto"/>
                <w:kern w:val="0"/>
                <w:sz w:val="24"/>
                <w:szCs w:val="24"/>
              </w:rPr>
              <w:t>）年平均浓度12微克/立方米、二氧化氮（NO</w:t>
            </w:r>
            <w:r>
              <w:rPr>
                <w:snapToGrid w:val="0"/>
                <w:color w:val="auto"/>
                <w:kern w:val="0"/>
                <w:sz w:val="24"/>
                <w:szCs w:val="24"/>
                <w:vertAlign w:val="subscript"/>
              </w:rPr>
              <w:t>2</w:t>
            </w:r>
            <w:r>
              <w:rPr>
                <w:snapToGrid w:val="0"/>
                <w:color w:val="auto"/>
                <w:kern w:val="0"/>
                <w:sz w:val="24"/>
                <w:szCs w:val="24"/>
              </w:rPr>
              <w:t>）年平均浓度28微克/立方米、一氧化碳（CO）24小时平均浓度第95百分位数1.6毫克/立方米，达到国家二级标准。臭氧（O</w:t>
            </w:r>
            <w:r>
              <w:rPr>
                <w:snapToGrid w:val="0"/>
                <w:color w:val="auto"/>
                <w:kern w:val="0"/>
                <w:sz w:val="24"/>
                <w:szCs w:val="24"/>
                <w:vertAlign w:val="subscript"/>
              </w:rPr>
              <w:t>3</w:t>
            </w:r>
            <w:r>
              <w:rPr>
                <w:snapToGrid w:val="0"/>
                <w:color w:val="auto"/>
                <w:kern w:val="0"/>
                <w:sz w:val="24"/>
                <w:szCs w:val="24"/>
              </w:rPr>
              <w:t>）日最大8小时平均浓度第90百分位数174微克/立方米、可吸入颗粒物（PM</w:t>
            </w:r>
            <w:r>
              <w:rPr>
                <w:snapToGrid w:val="0"/>
                <w:color w:val="auto"/>
                <w:kern w:val="0"/>
                <w:sz w:val="24"/>
                <w:szCs w:val="24"/>
                <w:vertAlign w:val="subscript"/>
              </w:rPr>
              <w:t>10</w:t>
            </w:r>
            <w:r>
              <w:rPr>
                <w:snapToGrid w:val="0"/>
                <w:color w:val="auto"/>
                <w:kern w:val="0"/>
                <w:sz w:val="24"/>
                <w:szCs w:val="24"/>
              </w:rPr>
              <w:t>）年平均浓度78微克/立方米、细颗粒物（PM</w:t>
            </w:r>
            <w:r>
              <w:rPr>
                <w:snapToGrid w:val="0"/>
                <w:color w:val="auto"/>
                <w:kern w:val="0"/>
                <w:sz w:val="24"/>
                <w:szCs w:val="24"/>
                <w:vertAlign w:val="subscript"/>
              </w:rPr>
              <w:t>2.5</w:t>
            </w:r>
            <w:r>
              <w:rPr>
                <w:snapToGrid w:val="0"/>
                <w:color w:val="auto"/>
                <w:kern w:val="0"/>
                <w:sz w:val="24"/>
                <w:szCs w:val="24"/>
              </w:rPr>
              <w:t>）年平均浓度46微克/立方米，分别超标0.088倍、0.114倍、0.314倍。PM</w:t>
            </w:r>
            <w:r>
              <w:rPr>
                <w:snapToGrid w:val="0"/>
                <w:color w:val="auto"/>
                <w:kern w:val="0"/>
                <w:sz w:val="24"/>
                <w:szCs w:val="24"/>
                <w:vertAlign w:val="subscript"/>
              </w:rPr>
              <w:t>2.5</w:t>
            </w:r>
            <w:r>
              <w:rPr>
                <w:snapToGrid w:val="0"/>
                <w:color w:val="auto"/>
                <w:kern w:val="0"/>
                <w:sz w:val="24"/>
                <w:szCs w:val="24"/>
              </w:rPr>
              <w:t>和PM</w:t>
            </w:r>
            <w:r>
              <w:rPr>
                <w:snapToGrid w:val="0"/>
                <w:color w:val="auto"/>
                <w:kern w:val="0"/>
                <w:sz w:val="24"/>
                <w:szCs w:val="24"/>
                <w:vertAlign w:val="subscript"/>
              </w:rPr>
              <w:t>10</w:t>
            </w:r>
            <w:r>
              <w:rPr>
                <w:snapToGrid w:val="0"/>
                <w:color w:val="auto"/>
                <w:kern w:val="0"/>
                <w:sz w:val="24"/>
                <w:szCs w:val="24"/>
              </w:rPr>
              <w:t>是主要污染物。详见下表。</w:t>
            </w:r>
          </w:p>
          <w:p>
            <w:pPr>
              <w:pStyle w:val="2"/>
              <w:tabs>
                <w:tab w:val="right" w:leader="dot" w:pos="8300"/>
                <w:tab w:val="clear" w:pos="8460"/>
              </w:tabs>
              <w:spacing w:line="360" w:lineRule="auto"/>
              <w:ind w:left="0"/>
              <w:jc w:val="center"/>
              <w:rPr>
                <w:b/>
                <w:bCs/>
                <w:smallCaps w:val="0"/>
                <w:color w:val="auto"/>
                <w:kern w:val="0"/>
                <w:sz w:val="24"/>
                <w:szCs w:val="24"/>
              </w:rPr>
            </w:pPr>
            <w:r>
              <w:rPr>
                <w:b/>
                <w:bCs/>
                <w:smallCaps w:val="0"/>
                <w:color w:val="auto"/>
                <w:kern w:val="0"/>
                <w:sz w:val="24"/>
                <w:szCs w:val="24"/>
              </w:rPr>
              <w:t>表3-1    邯郸市2021年环境空气质量现状</w:t>
            </w:r>
          </w:p>
          <w:tbl>
            <w:tblPr>
              <w:tblStyle w:val="19"/>
              <w:tblW w:w="499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Layout w:type="autofit"/>
              <w:tblCellMar>
                <w:top w:w="0" w:type="dxa"/>
                <w:left w:w="30" w:type="dxa"/>
                <w:bottom w:w="0" w:type="dxa"/>
                <w:right w:w="30" w:type="dxa"/>
              </w:tblCellMar>
            </w:tblPr>
            <w:tblGrid>
              <w:gridCol w:w="1294"/>
              <w:gridCol w:w="962"/>
              <w:gridCol w:w="986"/>
              <w:gridCol w:w="1043"/>
              <w:gridCol w:w="1045"/>
              <w:gridCol w:w="1263"/>
              <w:gridCol w:w="1422"/>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指标</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SO</w:t>
                  </w:r>
                  <w:r>
                    <w:rPr>
                      <w:color w:val="auto"/>
                      <w:kern w:val="2"/>
                      <w:sz w:val="21"/>
                      <w:vertAlign w:val="subscript"/>
                    </w:rPr>
                    <w:t>2</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NO</w:t>
                  </w:r>
                  <w:r>
                    <w:rPr>
                      <w:color w:val="auto"/>
                      <w:kern w:val="2"/>
                      <w:sz w:val="21"/>
                      <w:vertAlign w:val="subscript"/>
                    </w:rPr>
                    <w:t>2</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PM</w:t>
                  </w:r>
                  <w:r>
                    <w:rPr>
                      <w:color w:val="auto"/>
                      <w:kern w:val="2"/>
                      <w:sz w:val="21"/>
                      <w:vertAlign w:val="subscript"/>
                    </w:rPr>
                    <w:t>10</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PM</w:t>
                  </w:r>
                  <w:r>
                    <w:rPr>
                      <w:color w:val="auto"/>
                      <w:kern w:val="2"/>
                      <w:sz w:val="21"/>
                      <w:vertAlign w:val="subscript"/>
                    </w:rPr>
                    <w:t>2.5</w:t>
                  </w:r>
                </w:p>
                <w:p>
                  <w:pPr>
                    <w:pStyle w:val="17"/>
                    <w:spacing w:line="340" w:lineRule="exact"/>
                    <w:rPr>
                      <w:color w:val="auto"/>
                      <w:kern w:val="2"/>
                      <w:sz w:val="21"/>
                    </w:rPr>
                  </w:pPr>
                  <w:r>
                    <w:rPr>
                      <w:color w:val="auto"/>
                      <w:kern w:val="2"/>
                      <w:sz w:val="21"/>
                    </w:rPr>
                    <w:t>（μg/m³）</w:t>
                  </w:r>
                  <w:r>
                    <w:rPr>
                      <w:rFonts w:hint="eastAsia"/>
                      <w:color w:val="auto"/>
                      <w:kern w:val="2"/>
                      <w:sz w:val="21"/>
                    </w:rPr>
                    <w:t>（年均值）</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CO</w:t>
                  </w:r>
                </w:p>
                <w:p>
                  <w:pPr>
                    <w:pStyle w:val="17"/>
                    <w:spacing w:line="340" w:lineRule="exact"/>
                    <w:rPr>
                      <w:color w:val="auto"/>
                      <w:kern w:val="2"/>
                      <w:sz w:val="21"/>
                    </w:rPr>
                  </w:pPr>
                  <w:r>
                    <w:rPr>
                      <w:color w:val="auto"/>
                      <w:kern w:val="2"/>
                      <w:sz w:val="21"/>
                    </w:rPr>
                    <w:t>（mg/m³）（24小时平均）</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O</w:t>
                  </w:r>
                  <w:r>
                    <w:rPr>
                      <w:color w:val="auto"/>
                      <w:kern w:val="2"/>
                      <w:sz w:val="21"/>
                      <w:vertAlign w:val="subscript"/>
                    </w:rPr>
                    <w:t>3</w:t>
                  </w:r>
                  <w:r>
                    <w:rPr>
                      <w:color w:val="auto"/>
                      <w:kern w:val="2"/>
                      <w:sz w:val="21"/>
                    </w:rPr>
                    <w:t>（μg/m³）</w:t>
                  </w:r>
                </w:p>
                <w:p>
                  <w:pPr>
                    <w:pStyle w:val="17"/>
                    <w:spacing w:line="340" w:lineRule="exact"/>
                    <w:rPr>
                      <w:color w:val="auto"/>
                      <w:kern w:val="2"/>
                      <w:sz w:val="21"/>
                    </w:rPr>
                  </w:pPr>
                  <w:r>
                    <w:rPr>
                      <w:color w:val="auto"/>
                      <w:kern w:val="2"/>
                      <w:sz w:val="21"/>
                    </w:rPr>
                    <w:t>（日最大8小时平均）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2021年</w:t>
                  </w:r>
                  <w:r>
                    <w:rPr>
                      <w:rFonts w:hint="eastAsia"/>
                      <w:b/>
                      <w:bCs w:val="0"/>
                      <w:color w:val="auto"/>
                      <w:kern w:val="2"/>
                      <w:sz w:val="21"/>
                    </w:rPr>
                    <w:t>浓度</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12</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28</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78</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46</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1.6</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174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标准</w:t>
                  </w:r>
                  <w:r>
                    <w:rPr>
                      <w:rFonts w:hint="eastAsia"/>
                      <w:b/>
                      <w:bCs w:val="0"/>
                      <w:color w:val="auto"/>
                      <w:kern w:val="2"/>
                      <w:sz w:val="21"/>
                    </w:rPr>
                    <w:t>值</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60</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40</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70</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35</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160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达标情况</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达标</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达标</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不达标</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不达标</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达标</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不达标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占标率%</w:t>
                  </w:r>
                </w:p>
              </w:tc>
              <w:tc>
                <w:tcPr>
                  <w:tcW w:w="59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20.00</w:t>
                  </w:r>
                </w:p>
              </w:tc>
              <w:tc>
                <w:tcPr>
                  <w:tcW w:w="615"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70.00</w:t>
                  </w:r>
                </w:p>
              </w:tc>
              <w:tc>
                <w:tcPr>
                  <w:tcW w:w="651"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111.43</w:t>
                  </w:r>
                </w:p>
              </w:tc>
              <w:tc>
                <w:tcPr>
                  <w:tcW w:w="652"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131.43</w:t>
                  </w:r>
                </w:p>
              </w:tc>
              <w:tc>
                <w:tcPr>
                  <w:tcW w:w="788"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40.00</w:t>
                  </w:r>
                </w:p>
              </w:tc>
              <w:tc>
                <w:tcPr>
                  <w:tcW w:w="887" w:type="pct"/>
                  <w:tcBorders>
                    <w:tl2br w:val="nil"/>
                    <w:tr2bl w:val="nil"/>
                  </w:tcBorders>
                  <w:shd w:val="clear" w:color="auto" w:fill="auto"/>
                  <w:vAlign w:val="center"/>
                </w:tcPr>
                <w:p>
                  <w:pPr>
                    <w:pStyle w:val="17"/>
                    <w:spacing w:line="340" w:lineRule="exact"/>
                    <w:rPr>
                      <w:color w:val="auto"/>
                      <w:kern w:val="2"/>
                      <w:sz w:val="21"/>
                    </w:rPr>
                  </w:pPr>
                  <w:r>
                    <w:rPr>
                      <w:color w:val="auto"/>
                      <w:kern w:val="2"/>
                      <w:sz w:val="21"/>
                    </w:rPr>
                    <w:t>108.75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超标率%</w:t>
                  </w:r>
                </w:p>
              </w:tc>
              <w:tc>
                <w:tcPr>
                  <w:tcW w:w="98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0.00</w:t>
                  </w:r>
                </w:p>
              </w:tc>
              <w:tc>
                <w:tcPr>
                  <w:tcW w:w="102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0.00</w:t>
                  </w:r>
                </w:p>
              </w:tc>
              <w:tc>
                <w:tcPr>
                  <w:tcW w:w="108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11.43</w:t>
                  </w:r>
                </w:p>
              </w:tc>
              <w:tc>
                <w:tcPr>
                  <w:tcW w:w="108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31.43</w:t>
                  </w:r>
                </w:p>
              </w:tc>
              <w:tc>
                <w:tcPr>
                  <w:tcW w:w="130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0.00</w:t>
                  </w:r>
                </w:p>
              </w:tc>
              <w:tc>
                <w:tcPr>
                  <w:tcW w:w="147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17"/>
                    <w:spacing w:line="340" w:lineRule="exact"/>
                    <w:rPr>
                      <w:b/>
                      <w:bCs w:val="0"/>
                      <w:color w:val="auto"/>
                      <w:kern w:val="2"/>
                      <w:sz w:val="21"/>
                    </w:rPr>
                  </w:pPr>
                  <w:r>
                    <w:rPr>
                      <w:b/>
                      <w:bCs w:val="0"/>
                      <w:color w:val="auto"/>
                      <w:kern w:val="2"/>
                      <w:sz w:val="21"/>
                    </w:rPr>
                    <w:t>超标倍数</w:t>
                  </w:r>
                </w:p>
              </w:tc>
              <w:tc>
                <w:tcPr>
                  <w:tcW w:w="98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w:t>
                  </w:r>
                </w:p>
              </w:tc>
              <w:tc>
                <w:tcPr>
                  <w:tcW w:w="102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w:t>
                  </w:r>
                </w:p>
              </w:tc>
              <w:tc>
                <w:tcPr>
                  <w:tcW w:w="1080"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0.114</w:t>
                  </w:r>
                </w:p>
              </w:tc>
              <w:tc>
                <w:tcPr>
                  <w:tcW w:w="108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0.314</w:t>
                  </w:r>
                </w:p>
              </w:tc>
              <w:tc>
                <w:tcPr>
                  <w:tcW w:w="1307"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w:t>
                  </w:r>
                </w:p>
              </w:tc>
              <w:tc>
                <w:tcPr>
                  <w:tcW w:w="1471" w:type="dxa"/>
                  <w:tcBorders>
                    <w:tl2br w:val="nil"/>
                    <w:tr2bl w:val="nil"/>
                  </w:tcBorders>
                  <w:shd w:val="clear" w:color="auto" w:fill="auto"/>
                  <w:vAlign w:val="center"/>
                </w:tcPr>
                <w:p>
                  <w:pPr>
                    <w:pStyle w:val="17"/>
                    <w:spacing w:line="340" w:lineRule="exact"/>
                    <w:rPr>
                      <w:color w:val="auto"/>
                      <w:kern w:val="2"/>
                      <w:sz w:val="21"/>
                    </w:rPr>
                  </w:pPr>
                  <w:r>
                    <w:rPr>
                      <w:color w:val="auto"/>
                      <w:kern w:val="2"/>
                      <w:sz w:val="21"/>
                    </w:rPr>
                    <w:t>0.088</w:t>
                  </w:r>
                </w:p>
              </w:tc>
            </w:tr>
          </w:tbl>
          <w:p>
            <w:pPr>
              <w:spacing w:line="480" w:lineRule="exact"/>
              <w:ind w:firstLine="708" w:firstLineChars="300"/>
              <w:rPr>
                <w:color w:val="auto"/>
                <w:sz w:val="24"/>
                <w:szCs w:val="24"/>
              </w:rPr>
            </w:pPr>
            <w:r>
              <w:rPr>
                <w:color w:val="auto"/>
                <w:sz w:val="24"/>
                <w:szCs w:val="24"/>
              </w:rPr>
              <w:t>项目所在区域一氧化碳日均浓度值、二氧化硫、二氧化氮年均浓度值满足空气质量标准要求；臭氧日最大8小时年均浓度值、PM</w:t>
            </w:r>
            <w:r>
              <w:rPr>
                <w:color w:val="auto"/>
                <w:sz w:val="24"/>
                <w:szCs w:val="24"/>
                <w:vertAlign w:val="subscript"/>
              </w:rPr>
              <w:t>2.5</w:t>
            </w:r>
            <w:r>
              <w:rPr>
                <w:color w:val="auto"/>
                <w:sz w:val="24"/>
                <w:szCs w:val="24"/>
              </w:rPr>
              <w:t>、PM</w:t>
            </w:r>
            <w:r>
              <w:rPr>
                <w:color w:val="auto"/>
                <w:sz w:val="24"/>
                <w:szCs w:val="24"/>
                <w:vertAlign w:val="subscript"/>
              </w:rPr>
              <w:t>10</w:t>
            </w:r>
            <w:r>
              <w:rPr>
                <w:color w:val="auto"/>
                <w:sz w:val="24"/>
                <w:szCs w:val="24"/>
              </w:rPr>
              <w:t>超过环境质量标准要求，项目区域为不达标区</w:t>
            </w:r>
            <w:r>
              <w:rPr>
                <w:snapToGrid w:val="0"/>
                <w:color w:val="auto"/>
                <w:kern w:val="0"/>
                <w:sz w:val="24"/>
                <w:szCs w:val="24"/>
              </w:rPr>
              <w:t>。</w:t>
            </w:r>
            <w:r>
              <w:rPr>
                <w:color w:val="auto"/>
                <w:sz w:val="24"/>
                <w:szCs w:val="32"/>
              </w:rPr>
              <w:t>造成这一现象的主要原因是项目所处区域处于工业开发强度较高、农业活动频繁的地区，易形成颗粒物积聚和飘逸。随着《国务院关于印发打赢蓝天保卫战三年行动计划的通知》（国发【2018】22号）和《河北省打赢蓝天保卫战三年行动方案》的实施，环境空气质量将得到逐步改善。</w:t>
            </w:r>
            <w:r>
              <w:rPr>
                <w:rFonts w:hint="eastAsia"/>
                <w:color w:val="auto"/>
                <w:sz w:val="24"/>
                <w:szCs w:val="24"/>
              </w:rPr>
              <w:t>特征污染物</w:t>
            </w:r>
          </w:p>
          <w:p>
            <w:pPr>
              <w:spacing w:line="360" w:lineRule="auto"/>
              <w:ind w:firstLine="472" w:firstLineChars="200"/>
              <w:rPr>
                <w:bCs/>
                <w:color w:val="auto"/>
                <w:sz w:val="24"/>
              </w:rPr>
            </w:pPr>
            <w:r>
              <w:rPr>
                <w:rFonts w:hint="eastAsia"/>
                <w:bCs/>
                <w:color w:val="auto"/>
                <w:sz w:val="24"/>
              </w:rPr>
              <w:t xml:space="preserve"> （2）特征污染物</w:t>
            </w:r>
          </w:p>
          <w:p>
            <w:pPr>
              <w:spacing w:line="360" w:lineRule="auto"/>
              <w:ind w:firstLine="472" w:firstLineChars="200"/>
              <w:rPr>
                <w:bCs/>
                <w:color w:val="auto"/>
                <w:sz w:val="24"/>
              </w:rPr>
            </w:pPr>
            <w:r>
              <w:rPr>
                <w:rFonts w:hint="eastAsia"/>
                <w:bCs/>
                <w:color w:val="auto"/>
                <w:sz w:val="24"/>
              </w:rPr>
              <w:t>为了解项目所在区域非甲烷总烃和总悬浮颗粒物（TSP）环境空气质量现状，建设单位引用《河北魏县经济开发区总体规划（2019-2030）环境影响报告书》清华里村补充监测数据，现状检测数据，监测点位基本信息及监测结果如表3-2、3-3所示。</w:t>
            </w:r>
          </w:p>
          <w:p>
            <w:pPr>
              <w:spacing w:line="360" w:lineRule="auto"/>
              <w:ind w:firstLine="472" w:firstLineChars="200"/>
              <w:rPr>
                <w:color w:val="auto"/>
                <w:sz w:val="24"/>
              </w:rPr>
            </w:pPr>
            <w:r>
              <w:rPr>
                <w:rFonts w:hint="eastAsia"/>
                <w:color w:val="auto"/>
                <w:sz w:val="24"/>
              </w:rPr>
              <w:t>引用数据有效性分析：本项目引用的环境空气监测点位（非甲烷总烃、TSP）位于本项目厂址东南侧1200m处，引用点位位于本项目5km范围内满足《建设项目环境影响报告表编制技术指南》（污染影响类）（试行）要求；引用数据检测时间为2020年6月10日-2020年6月16日，时效性满足《建设项目环境影响报告表编制技术指南》（污染影响类）（试行）要求。</w:t>
            </w:r>
          </w:p>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3-2</w:t>
            </w:r>
            <w:r>
              <w:rPr>
                <w:rFonts w:hAnsiTheme="minorEastAsia" w:eastAsiaTheme="minorEastAsia"/>
                <w:b/>
                <w:bCs/>
                <w:color w:val="auto"/>
                <w:sz w:val="24"/>
              </w:rPr>
              <w:t>其他污染物监测点位基本信息</w:t>
            </w:r>
          </w:p>
          <w:tbl>
            <w:tblPr>
              <w:tblStyle w:val="19"/>
              <w:tblW w:w="485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55"/>
              <w:gridCol w:w="1102"/>
              <w:gridCol w:w="1256"/>
              <w:gridCol w:w="962"/>
              <w:gridCol w:w="933"/>
              <w:gridCol w:w="22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808" w:type="pct"/>
                  <w:tcBorders>
                    <w:left w:val="nil"/>
                    <w:bottom w:val="single" w:color="000000" w:sz="4" w:space="0"/>
                    <w:right w:val="single" w:color="000000" w:sz="4" w:space="0"/>
                  </w:tcBorders>
                  <w:vAlign w:val="center"/>
                </w:tcPr>
                <w:p>
                  <w:pPr>
                    <w:spacing w:line="240" w:lineRule="atLeast"/>
                    <w:jc w:val="center"/>
                    <w:rPr>
                      <w:color w:val="auto"/>
                      <w:szCs w:val="21"/>
                    </w:rPr>
                  </w:pPr>
                  <w:r>
                    <w:rPr>
                      <w:color w:val="auto"/>
                      <w:szCs w:val="21"/>
                    </w:rPr>
                    <w:t>监测点名称</w:t>
                  </w:r>
                </w:p>
              </w:tc>
              <w:tc>
                <w:tcPr>
                  <w:tcW w:w="710"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监测因子</w:t>
                  </w:r>
                </w:p>
              </w:tc>
              <w:tc>
                <w:tcPr>
                  <w:tcW w:w="805"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监测时段</w:t>
                  </w:r>
                </w:p>
              </w:tc>
              <w:tc>
                <w:tcPr>
                  <w:tcW w:w="620"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相对厂址</w:t>
                  </w:r>
                </w:p>
              </w:tc>
              <w:tc>
                <w:tcPr>
                  <w:tcW w:w="601" w:type="pct"/>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color w:val="auto"/>
                      <w:szCs w:val="21"/>
                    </w:rPr>
                    <w:t>相对厂界距离</w:t>
                  </w:r>
                </w:p>
              </w:tc>
              <w:tc>
                <w:tcPr>
                  <w:tcW w:w="1453" w:type="pct"/>
                  <w:tcBorders>
                    <w:left w:val="single" w:color="000000" w:sz="4" w:space="0"/>
                    <w:bottom w:val="single" w:color="000000" w:sz="4" w:space="0"/>
                    <w:right w:val="nil"/>
                  </w:tcBorders>
                  <w:vAlign w:val="center"/>
                </w:tcPr>
                <w:p>
                  <w:pPr>
                    <w:spacing w:line="240" w:lineRule="atLeast"/>
                    <w:jc w:val="center"/>
                    <w:rPr>
                      <w:color w:val="auto"/>
                      <w:szCs w:val="21"/>
                    </w:rPr>
                  </w:pPr>
                  <w:r>
                    <w:rPr>
                      <w:rFonts w:hint="eastAsia"/>
                      <w:color w:val="auto"/>
                      <w:szCs w:val="21"/>
                    </w:rPr>
                    <w:t>数据来源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jc w:val="center"/>
              </w:trPr>
              <w:tc>
                <w:tcPr>
                  <w:tcW w:w="808" w:type="pct"/>
                  <w:vMerge w:val="restart"/>
                  <w:tcBorders>
                    <w:top w:val="single" w:color="000000" w:sz="4" w:space="0"/>
                    <w:left w:val="nil"/>
                    <w:right w:val="single" w:color="000000" w:sz="4" w:space="0"/>
                  </w:tcBorders>
                  <w:vAlign w:val="center"/>
                </w:tcPr>
                <w:p>
                  <w:pPr>
                    <w:spacing w:line="240" w:lineRule="atLeast"/>
                    <w:jc w:val="center"/>
                    <w:rPr>
                      <w:color w:val="auto"/>
                      <w:szCs w:val="21"/>
                    </w:rPr>
                  </w:pPr>
                  <w:r>
                    <w:rPr>
                      <w:rFonts w:hint="eastAsia"/>
                      <w:color w:val="auto"/>
                      <w:szCs w:val="21"/>
                    </w:rPr>
                    <w:t>清华里村</w:t>
                  </w:r>
                </w:p>
              </w:tc>
              <w:tc>
                <w:tcPr>
                  <w:tcW w:w="710"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非甲烷总烃</w:t>
                  </w:r>
                </w:p>
              </w:tc>
              <w:tc>
                <w:tcPr>
                  <w:tcW w:w="805"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color w:val="auto"/>
                      <w:szCs w:val="21"/>
                    </w:rPr>
                    <w:t>202</w:t>
                  </w:r>
                  <w:r>
                    <w:rPr>
                      <w:rFonts w:hint="eastAsia"/>
                      <w:color w:val="auto"/>
                      <w:szCs w:val="21"/>
                    </w:rPr>
                    <w:t>0.6.10-6.16</w:t>
                  </w:r>
                </w:p>
              </w:tc>
              <w:tc>
                <w:tcPr>
                  <w:tcW w:w="620"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W</w:t>
                  </w:r>
                </w:p>
              </w:tc>
              <w:tc>
                <w:tcPr>
                  <w:tcW w:w="601" w:type="pct"/>
                  <w:vMerge w:val="restart"/>
                  <w:tcBorders>
                    <w:top w:val="single" w:color="000000" w:sz="4" w:space="0"/>
                    <w:left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500m</w:t>
                  </w:r>
                </w:p>
              </w:tc>
              <w:tc>
                <w:tcPr>
                  <w:tcW w:w="1453" w:type="pct"/>
                  <w:vMerge w:val="restart"/>
                  <w:tcBorders>
                    <w:top w:val="single" w:color="000000" w:sz="4" w:space="0"/>
                    <w:left w:val="single" w:color="000000" w:sz="4" w:space="0"/>
                    <w:right w:val="nil"/>
                  </w:tcBorders>
                  <w:vAlign w:val="center"/>
                </w:tcPr>
                <w:p>
                  <w:pPr>
                    <w:spacing w:line="240" w:lineRule="atLeast"/>
                    <w:jc w:val="center"/>
                    <w:rPr>
                      <w:color w:val="auto"/>
                      <w:szCs w:val="21"/>
                    </w:rPr>
                  </w:pPr>
                  <w:r>
                    <w:rPr>
                      <w:rFonts w:hint="eastAsia"/>
                      <w:color w:val="auto"/>
                      <w:szCs w:val="21"/>
                    </w:rPr>
                    <w:t>河北魏县经济开发区总体规划（2019-2030）环境影响报告书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 w:hRule="atLeast"/>
                <w:jc w:val="center"/>
              </w:trPr>
              <w:tc>
                <w:tcPr>
                  <w:tcW w:w="808" w:type="pct"/>
                  <w:vMerge w:val="continue"/>
                  <w:tcBorders>
                    <w:left w:val="nil"/>
                    <w:bottom w:val="single" w:color="000000" w:sz="4" w:space="0"/>
                    <w:right w:val="single" w:color="000000" w:sz="4" w:space="0"/>
                  </w:tcBorders>
                  <w:vAlign w:val="center"/>
                </w:tcPr>
                <w:p>
                  <w:pPr>
                    <w:spacing w:line="240" w:lineRule="atLeast"/>
                    <w:jc w:val="center"/>
                    <w:rPr>
                      <w:color w:val="auto"/>
                      <w:szCs w:val="21"/>
                    </w:rPr>
                  </w:pPr>
                </w:p>
              </w:tc>
              <w:tc>
                <w:tcPr>
                  <w:tcW w:w="710" w:type="pc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color w:val="auto"/>
                      <w:szCs w:val="21"/>
                    </w:rPr>
                  </w:pPr>
                  <w:r>
                    <w:rPr>
                      <w:rFonts w:hint="eastAsia"/>
                      <w:color w:val="auto"/>
                      <w:szCs w:val="21"/>
                    </w:rPr>
                    <w:t>TSP</w:t>
                  </w:r>
                </w:p>
              </w:tc>
              <w:tc>
                <w:tcPr>
                  <w:tcW w:w="805"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620"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601" w:type="pct"/>
                  <w:vMerge w:val="continue"/>
                  <w:tcBorders>
                    <w:left w:val="single" w:color="000000" w:sz="4" w:space="0"/>
                    <w:bottom w:val="single" w:color="000000" w:sz="4" w:space="0"/>
                    <w:right w:val="single" w:color="000000" w:sz="4" w:space="0"/>
                  </w:tcBorders>
                  <w:vAlign w:val="center"/>
                </w:tcPr>
                <w:p>
                  <w:pPr>
                    <w:spacing w:line="240" w:lineRule="atLeast"/>
                    <w:jc w:val="center"/>
                    <w:rPr>
                      <w:color w:val="auto"/>
                      <w:szCs w:val="21"/>
                    </w:rPr>
                  </w:pPr>
                </w:p>
              </w:tc>
              <w:tc>
                <w:tcPr>
                  <w:tcW w:w="1453" w:type="pct"/>
                  <w:vMerge w:val="continue"/>
                  <w:tcBorders>
                    <w:left w:val="single" w:color="000000" w:sz="4" w:space="0"/>
                    <w:bottom w:val="single" w:color="000000" w:sz="4" w:space="0"/>
                    <w:right w:val="nil"/>
                  </w:tcBorders>
                  <w:vAlign w:val="center"/>
                </w:tcPr>
                <w:p>
                  <w:pPr>
                    <w:spacing w:line="240" w:lineRule="atLeast"/>
                    <w:jc w:val="center"/>
                    <w:rPr>
                      <w:color w:val="auto"/>
                      <w:szCs w:val="21"/>
                    </w:rPr>
                  </w:pPr>
                </w:p>
              </w:tc>
            </w:tr>
          </w:tbl>
          <w:p>
            <w:pPr>
              <w:adjustRightInd w:val="0"/>
              <w:snapToGrid w:val="0"/>
              <w:spacing w:line="360" w:lineRule="auto"/>
              <w:ind w:firstLine="472" w:firstLineChars="200"/>
              <w:jc w:val="center"/>
              <w:rPr>
                <w:rFonts w:hAnsiTheme="minorEastAsia" w:eastAsiaTheme="minorEastAsia"/>
                <w:b/>
                <w:bCs/>
                <w:color w:val="auto"/>
                <w:sz w:val="24"/>
              </w:rPr>
            </w:pPr>
            <w:r>
              <w:rPr>
                <w:rFonts w:hAnsiTheme="minorEastAsia" w:eastAsiaTheme="minorEastAsia"/>
                <w:b/>
                <w:bCs/>
                <w:color w:val="auto"/>
                <w:sz w:val="24"/>
              </w:rPr>
              <w:t>表</w:t>
            </w:r>
            <w:r>
              <w:rPr>
                <w:rFonts w:hint="eastAsia" w:hAnsiTheme="minorEastAsia" w:eastAsiaTheme="minorEastAsia"/>
                <w:b/>
                <w:bCs/>
                <w:color w:val="auto"/>
                <w:sz w:val="24"/>
              </w:rPr>
              <w:t xml:space="preserve">3-3 </w:t>
            </w:r>
            <w:r>
              <w:rPr>
                <w:rFonts w:hAnsiTheme="minorEastAsia" w:eastAsiaTheme="minorEastAsia"/>
                <w:b/>
                <w:bCs/>
                <w:color w:val="auto"/>
                <w:sz w:val="24"/>
              </w:rPr>
              <w:t>其他污染物质量现状</w:t>
            </w:r>
          </w:p>
          <w:tbl>
            <w:tblPr>
              <w:tblStyle w:val="19"/>
              <w:tblW w:w="4997"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858"/>
              <w:gridCol w:w="1264"/>
              <w:gridCol w:w="956"/>
              <w:gridCol w:w="1125"/>
              <w:gridCol w:w="1190"/>
              <w:gridCol w:w="885"/>
              <w:gridCol w:w="885"/>
              <w:gridCol w:w="86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534" w:type="pct"/>
                  <w:tcBorders>
                    <w:tl2br w:val="nil"/>
                    <w:tr2bl w:val="nil"/>
                  </w:tcBorders>
                  <w:vAlign w:val="center"/>
                </w:tcPr>
                <w:p>
                  <w:pPr>
                    <w:spacing w:line="240" w:lineRule="atLeast"/>
                    <w:jc w:val="center"/>
                    <w:rPr>
                      <w:color w:val="auto"/>
                      <w:szCs w:val="21"/>
                    </w:rPr>
                  </w:pPr>
                  <w:r>
                    <w:rPr>
                      <w:rFonts w:hint="eastAsia"/>
                      <w:color w:val="auto"/>
                      <w:szCs w:val="21"/>
                    </w:rPr>
                    <w:t>监测点名称</w:t>
                  </w: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监测因子</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平均时间</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评价标准</w:t>
                  </w:r>
                </w:p>
                <w:p>
                  <w:pPr>
                    <w:spacing w:line="240" w:lineRule="atLeast"/>
                    <w:jc w:val="center"/>
                    <w:rPr>
                      <w:color w:val="auto"/>
                      <w:szCs w:val="21"/>
                    </w:rPr>
                  </w:pPr>
                  <w:r>
                    <w:rPr>
                      <w:rFonts w:hint="eastAsia"/>
                      <w:color w:val="auto"/>
                      <w:szCs w:val="21"/>
                    </w:rPr>
                    <w:t>（mg/m</w:t>
                  </w:r>
                  <w:r>
                    <w:rPr>
                      <w:rFonts w:hint="eastAsia"/>
                      <w:color w:val="auto"/>
                      <w:szCs w:val="21"/>
                      <w:vertAlign w:val="superscript"/>
                    </w:rPr>
                    <w:t>3</w:t>
                  </w:r>
                  <w:r>
                    <w:rPr>
                      <w:rFonts w:hint="eastAsia"/>
                      <w:color w:val="auto"/>
                      <w:szCs w:val="21"/>
                    </w:rPr>
                    <w:t>)</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监测浓度范围（mg/m</w:t>
                  </w:r>
                  <w:r>
                    <w:rPr>
                      <w:rFonts w:hint="eastAsia"/>
                      <w:color w:val="auto"/>
                      <w:szCs w:val="21"/>
                      <w:vertAlign w:val="superscript"/>
                    </w:rPr>
                    <w:t>3</w:t>
                  </w:r>
                  <w:r>
                    <w:rPr>
                      <w:rFonts w:hint="eastAsia"/>
                      <w:color w:val="auto"/>
                      <w:szCs w:val="21"/>
                    </w:rPr>
                    <w:t>)</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最大浓度占标率%</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超标率%</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34" w:type="pct"/>
                  <w:vMerge w:val="restart"/>
                  <w:tcBorders>
                    <w:tl2br w:val="nil"/>
                    <w:tr2bl w:val="nil"/>
                  </w:tcBorders>
                  <w:vAlign w:val="center"/>
                </w:tcPr>
                <w:p>
                  <w:pPr>
                    <w:spacing w:line="240" w:lineRule="atLeast"/>
                    <w:jc w:val="center"/>
                    <w:rPr>
                      <w:color w:val="auto"/>
                      <w:szCs w:val="21"/>
                    </w:rPr>
                  </w:pPr>
                  <w:r>
                    <w:rPr>
                      <w:rFonts w:hint="eastAsia"/>
                      <w:color w:val="auto"/>
                      <w:szCs w:val="21"/>
                    </w:rPr>
                    <w:t>清华里村</w:t>
                  </w: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非甲烷总烃</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1小时</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2.0</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1.02-1.24</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0.62</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34" w:type="pct"/>
                  <w:vMerge w:val="continue"/>
                  <w:tcBorders>
                    <w:tl2br w:val="nil"/>
                    <w:tr2bl w:val="nil"/>
                  </w:tcBorders>
                  <w:vAlign w:val="center"/>
                </w:tcPr>
                <w:p>
                  <w:pPr>
                    <w:spacing w:line="240" w:lineRule="atLeast"/>
                    <w:jc w:val="center"/>
                    <w:rPr>
                      <w:color w:val="auto"/>
                      <w:szCs w:val="21"/>
                    </w:rPr>
                  </w:pPr>
                </w:p>
              </w:tc>
              <w:tc>
                <w:tcPr>
                  <w:tcW w:w="787" w:type="pct"/>
                  <w:tcBorders>
                    <w:tl2br w:val="nil"/>
                    <w:tr2bl w:val="nil"/>
                  </w:tcBorders>
                  <w:vAlign w:val="center"/>
                </w:tcPr>
                <w:p>
                  <w:pPr>
                    <w:spacing w:line="240" w:lineRule="atLeast"/>
                    <w:jc w:val="center"/>
                    <w:rPr>
                      <w:color w:val="auto"/>
                      <w:szCs w:val="21"/>
                    </w:rPr>
                  </w:pPr>
                  <w:r>
                    <w:rPr>
                      <w:rFonts w:hint="eastAsia"/>
                      <w:color w:val="auto"/>
                      <w:szCs w:val="21"/>
                    </w:rPr>
                    <w:t>TSP</w:t>
                  </w:r>
                </w:p>
              </w:tc>
              <w:tc>
                <w:tcPr>
                  <w:tcW w:w="595" w:type="pct"/>
                  <w:tcBorders>
                    <w:tl2br w:val="nil"/>
                    <w:tr2bl w:val="nil"/>
                  </w:tcBorders>
                  <w:vAlign w:val="center"/>
                </w:tcPr>
                <w:p>
                  <w:pPr>
                    <w:spacing w:line="240" w:lineRule="atLeast"/>
                    <w:jc w:val="center"/>
                    <w:rPr>
                      <w:color w:val="auto"/>
                      <w:szCs w:val="21"/>
                    </w:rPr>
                  </w:pPr>
                  <w:r>
                    <w:rPr>
                      <w:rFonts w:hint="eastAsia"/>
                      <w:color w:val="auto"/>
                      <w:szCs w:val="21"/>
                    </w:rPr>
                    <w:t>日均值</w:t>
                  </w:r>
                </w:p>
              </w:tc>
              <w:tc>
                <w:tcPr>
                  <w:tcW w:w="700" w:type="pct"/>
                  <w:tcBorders>
                    <w:tl2br w:val="nil"/>
                    <w:tr2bl w:val="nil"/>
                  </w:tcBorders>
                  <w:vAlign w:val="center"/>
                </w:tcPr>
                <w:p>
                  <w:pPr>
                    <w:spacing w:line="240" w:lineRule="atLeast"/>
                    <w:jc w:val="center"/>
                    <w:rPr>
                      <w:color w:val="auto"/>
                      <w:szCs w:val="21"/>
                    </w:rPr>
                  </w:pPr>
                  <w:r>
                    <w:rPr>
                      <w:rFonts w:hint="eastAsia"/>
                      <w:color w:val="auto"/>
                      <w:szCs w:val="21"/>
                    </w:rPr>
                    <w:t>0.300</w:t>
                  </w:r>
                </w:p>
              </w:tc>
              <w:tc>
                <w:tcPr>
                  <w:tcW w:w="741" w:type="pct"/>
                  <w:tcBorders>
                    <w:tl2br w:val="nil"/>
                    <w:tr2bl w:val="nil"/>
                  </w:tcBorders>
                  <w:vAlign w:val="center"/>
                </w:tcPr>
                <w:p>
                  <w:pPr>
                    <w:spacing w:line="240" w:lineRule="atLeast"/>
                    <w:jc w:val="center"/>
                    <w:rPr>
                      <w:color w:val="auto"/>
                      <w:szCs w:val="21"/>
                    </w:rPr>
                  </w:pPr>
                  <w:r>
                    <w:rPr>
                      <w:rFonts w:hint="eastAsia"/>
                      <w:color w:val="auto"/>
                      <w:szCs w:val="21"/>
                    </w:rPr>
                    <w:t>0.210-0.254</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84.7</w:t>
                  </w:r>
                </w:p>
              </w:tc>
              <w:tc>
                <w:tcPr>
                  <w:tcW w:w="551" w:type="pct"/>
                  <w:tcBorders>
                    <w:tl2br w:val="nil"/>
                    <w:tr2bl w:val="nil"/>
                  </w:tcBorders>
                  <w:vAlign w:val="center"/>
                </w:tcPr>
                <w:p>
                  <w:pPr>
                    <w:spacing w:line="240" w:lineRule="atLeast"/>
                    <w:jc w:val="center"/>
                    <w:rPr>
                      <w:color w:val="auto"/>
                      <w:szCs w:val="21"/>
                    </w:rPr>
                  </w:pPr>
                  <w:r>
                    <w:rPr>
                      <w:rFonts w:hint="eastAsia"/>
                      <w:color w:val="auto"/>
                      <w:szCs w:val="21"/>
                    </w:rPr>
                    <w:t>0</w:t>
                  </w:r>
                </w:p>
              </w:tc>
              <w:tc>
                <w:tcPr>
                  <w:tcW w:w="538" w:type="pct"/>
                  <w:tcBorders>
                    <w:tl2br w:val="nil"/>
                    <w:tr2bl w:val="nil"/>
                  </w:tcBorders>
                  <w:vAlign w:val="center"/>
                </w:tcPr>
                <w:p>
                  <w:pPr>
                    <w:spacing w:line="240" w:lineRule="atLeast"/>
                    <w:jc w:val="center"/>
                    <w:rPr>
                      <w:color w:val="auto"/>
                      <w:szCs w:val="21"/>
                    </w:rPr>
                  </w:pPr>
                  <w:r>
                    <w:rPr>
                      <w:rFonts w:hint="eastAsia"/>
                      <w:color w:val="auto"/>
                      <w:szCs w:val="21"/>
                    </w:rPr>
                    <w:t>达标</w:t>
                  </w:r>
                </w:p>
              </w:tc>
            </w:tr>
          </w:tbl>
          <w:p>
            <w:pPr>
              <w:pStyle w:val="28"/>
              <w:spacing w:line="374" w:lineRule="auto"/>
              <w:ind w:left="9" w:right="87" w:firstLine="470"/>
              <w:jc w:val="left"/>
              <w:rPr>
                <w:b/>
                <w:color w:val="auto"/>
                <w:sz w:val="24"/>
                <w:lang w:val="en-US"/>
              </w:rPr>
            </w:pPr>
            <w:r>
              <w:rPr>
                <w:color w:val="auto"/>
                <w:spacing w:val="-4"/>
                <w:sz w:val="24"/>
              </w:rPr>
              <w:t>从</w:t>
            </w:r>
            <w:r>
              <w:rPr>
                <w:rFonts w:hint="eastAsia"/>
                <w:color w:val="auto"/>
                <w:spacing w:val="-4"/>
                <w:sz w:val="24"/>
              </w:rPr>
              <w:t>引用点位的</w:t>
            </w:r>
            <w:r>
              <w:rPr>
                <w:color w:val="auto"/>
                <w:spacing w:val="-4"/>
                <w:sz w:val="24"/>
              </w:rPr>
              <w:t>监测数据可知，本项目</w:t>
            </w:r>
            <w:r>
              <w:rPr>
                <w:rFonts w:hint="eastAsia"/>
                <w:color w:val="auto"/>
                <w:spacing w:val="-4"/>
                <w:sz w:val="24"/>
              </w:rPr>
              <w:t>建设区域</w:t>
            </w:r>
            <w:r>
              <w:rPr>
                <w:color w:val="auto"/>
                <w:spacing w:val="-4"/>
                <w:sz w:val="24"/>
              </w:rPr>
              <w:t>环境空气中的</w:t>
            </w:r>
            <w:r>
              <w:rPr>
                <w:rFonts w:hint="eastAsia"/>
                <w:color w:val="auto"/>
                <w:spacing w:val="-7"/>
                <w:sz w:val="24"/>
                <w:lang w:val="en-US"/>
              </w:rPr>
              <w:t>非甲烷总烃满足《环境空气质量  非甲烷总烃限值》</w:t>
            </w:r>
            <w:r>
              <w:rPr>
                <w:rFonts w:hint="eastAsia"/>
                <w:color w:val="auto"/>
                <w:spacing w:val="-4"/>
                <w:sz w:val="24"/>
                <w:lang w:val="en-US"/>
              </w:rPr>
              <w:t>（</w:t>
            </w:r>
            <w:r>
              <w:rPr>
                <w:rFonts w:hint="eastAsia" w:ascii="Times New Roman" w:eastAsia="Times New Roman"/>
                <w:color w:val="auto"/>
                <w:sz w:val="24"/>
                <w:lang w:val="en-US"/>
              </w:rPr>
              <w:t>DB13/1577-2012</w:t>
            </w:r>
            <w:r>
              <w:rPr>
                <w:rFonts w:hint="eastAsia"/>
                <w:color w:val="auto"/>
                <w:spacing w:val="-4"/>
                <w:sz w:val="24"/>
                <w:lang w:val="en-US"/>
              </w:rPr>
              <w:t>)二级</w:t>
            </w:r>
            <w:r>
              <w:rPr>
                <w:rFonts w:hint="eastAsia"/>
                <w:color w:val="auto"/>
                <w:spacing w:val="-7"/>
                <w:sz w:val="24"/>
                <w:lang w:val="en-US"/>
              </w:rPr>
              <w:t>的要求，TSP满足</w:t>
            </w:r>
            <w:r>
              <w:rPr>
                <w:bCs/>
                <w:color w:val="auto"/>
                <w:sz w:val="24"/>
                <w:szCs w:val="24"/>
              </w:rPr>
              <w:t>《环境空气质量标准》（GB3095-2012）二级标准</w:t>
            </w:r>
            <w:r>
              <w:rPr>
                <w:rFonts w:hint="eastAsia"/>
                <w:bCs/>
                <w:color w:val="auto"/>
                <w:sz w:val="24"/>
                <w:szCs w:val="24"/>
                <w:lang w:val="en-US"/>
              </w:rPr>
              <w:t>要求。</w:t>
            </w:r>
          </w:p>
          <w:p>
            <w:pPr>
              <w:spacing w:line="480" w:lineRule="exact"/>
              <w:ind w:firstLine="472" w:firstLineChars="200"/>
              <w:rPr>
                <w:b/>
                <w:bCs/>
                <w:color w:val="auto"/>
                <w:sz w:val="24"/>
                <w:szCs w:val="24"/>
              </w:rPr>
            </w:pPr>
            <w:r>
              <w:rPr>
                <w:rFonts w:hint="eastAsia"/>
                <w:b/>
                <w:bCs/>
                <w:color w:val="auto"/>
                <w:sz w:val="24"/>
                <w:szCs w:val="24"/>
              </w:rPr>
              <w:t>2、地表水环境</w:t>
            </w:r>
          </w:p>
          <w:p>
            <w:pPr>
              <w:spacing w:line="360" w:lineRule="auto"/>
              <w:ind w:firstLine="472" w:firstLineChars="200"/>
              <w:rPr>
                <w:bCs/>
                <w:color w:val="auto"/>
                <w:sz w:val="24"/>
              </w:rPr>
            </w:pPr>
            <w:r>
              <w:rPr>
                <w:rFonts w:hint="eastAsia"/>
                <w:bCs/>
                <w:color w:val="auto"/>
                <w:sz w:val="24"/>
              </w:rPr>
              <w:t>地表水环境质量数据引用</w:t>
            </w:r>
            <w:r>
              <w:rPr>
                <w:bCs/>
                <w:color w:val="auto"/>
                <w:sz w:val="24"/>
              </w:rPr>
              <w:t>《</w:t>
            </w:r>
            <w:r>
              <w:rPr>
                <w:rFonts w:hint="eastAsia"/>
                <w:bCs/>
                <w:color w:val="auto"/>
                <w:sz w:val="24"/>
              </w:rPr>
              <w:t>河北魏县经济开发区总体规划（2019-2030）环境影响报告书</w:t>
            </w:r>
            <w:r>
              <w:rPr>
                <w:bCs/>
                <w:color w:val="auto"/>
                <w:sz w:val="24"/>
              </w:rPr>
              <w:t>》</w:t>
            </w:r>
            <w:r>
              <w:rPr>
                <w:rFonts w:hint="eastAsia"/>
                <w:bCs/>
                <w:color w:val="auto"/>
                <w:sz w:val="24"/>
              </w:rPr>
              <w:t>地表水断面2020年6月</w:t>
            </w:r>
            <w:r>
              <w:rPr>
                <w:rFonts w:hint="eastAsia"/>
                <w:bCs/>
                <w:color w:val="auto"/>
                <w:sz w:val="24"/>
                <w:lang w:val="en-US" w:eastAsia="zh-CN"/>
              </w:rPr>
              <w:t>15</w:t>
            </w:r>
            <w:r>
              <w:rPr>
                <w:rFonts w:hint="eastAsia"/>
                <w:bCs/>
                <w:color w:val="auto"/>
                <w:sz w:val="24"/>
              </w:rPr>
              <w:t>日-2020年6月16日监测数据。本项目位于</w:t>
            </w:r>
            <w:r>
              <w:rPr>
                <w:bCs/>
                <w:color w:val="auto"/>
                <w:sz w:val="24"/>
              </w:rPr>
              <w:t>河北魏县经济开发区</w:t>
            </w:r>
            <w:r>
              <w:rPr>
                <w:rFonts w:hint="eastAsia"/>
                <w:bCs/>
                <w:color w:val="auto"/>
                <w:sz w:val="24"/>
              </w:rPr>
              <w:t>内，且为近3年内监测数据，引用数据有效。</w:t>
            </w:r>
          </w:p>
          <w:p>
            <w:pPr>
              <w:spacing w:line="360" w:lineRule="auto"/>
              <w:ind w:firstLine="472" w:firstLineChars="200"/>
              <w:rPr>
                <w:bCs/>
                <w:color w:val="auto"/>
                <w:sz w:val="24"/>
              </w:rPr>
            </w:pPr>
            <w:r>
              <w:rPr>
                <w:rFonts w:hint="eastAsia"/>
                <w:bCs/>
                <w:color w:val="auto"/>
                <w:sz w:val="24"/>
              </w:rPr>
              <w:t>地表水环境质量现状评价结果：评价区布设 4 个监测断面，分别为兴源河经园区进口处、兴源河经园区出口处、魏大馆渠污水处理厂排污口上游 500m 处、魏大馆渠污水处理厂排污口下游 2000m 处。</w:t>
            </w:r>
          </w:p>
          <w:p>
            <w:pPr>
              <w:spacing w:line="360" w:lineRule="auto"/>
              <w:ind w:firstLine="472" w:firstLineChars="200"/>
              <w:rPr>
                <w:bCs/>
                <w:color w:val="auto"/>
                <w:sz w:val="24"/>
              </w:rPr>
            </w:pPr>
            <w:r>
              <w:rPr>
                <w:rFonts w:hint="eastAsia"/>
                <w:bCs/>
                <w:color w:val="auto"/>
                <w:sz w:val="24"/>
              </w:rPr>
              <w:t>兴源河经园区进口处监测断面的 BOD</w:t>
            </w:r>
            <w:r>
              <w:rPr>
                <w:rFonts w:hint="eastAsia"/>
                <w:bCs/>
                <w:color w:val="auto"/>
                <w:sz w:val="24"/>
                <w:vertAlign w:val="subscript"/>
              </w:rPr>
              <w:t>5</w:t>
            </w:r>
            <w:r>
              <w:rPr>
                <w:rFonts w:hint="eastAsia"/>
                <w:bCs/>
                <w:color w:val="auto"/>
                <w:sz w:val="24"/>
              </w:rPr>
              <w:t>、总氮因子超出《地表水环境质量标准》Ⅲ类水体相应指标，其它因子均达标；兴源河经园区出口处监测断面的 COD、BOD</w:t>
            </w:r>
            <w:r>
              <w:rPr>
                <w:rFonts w:hint="eastAsia"/>
                <w:bCs/>
                <w:color w:val="auto"/>
                <w:sz w:val="24"/>
                <w:vertAlign w:val="subscript"/>
              </w:rPr>
              <w:t>5</w:t>
            </w:r>
            <w:r>
              <w:rPr>
                <w:rFonts w:hint="eastAsia"/>
                <w:bCs/>
                <w:color w:val="auto"/>
                <w:sz w:val="24"/>
              </w:rPr>
              <w:t>、总氮因子超出《地表水环境质量标准》Ⅲ类水体相应指标，其它因子均达标。</w:t>
            </w:r>
          </w:p>
          <w:p>
            <w:pPr>
              <w:spacing w:line="360" w:lineRule="auto"/>
              <w:ind w:firstLine="472" w:firstLineChars="200"/>
              <w:rPr>
                <w:bCs/>
                <w:color w:val="auto"/>
                <w:sz w:val="24"/>
              </w:rPr>
            </w:pPr>
            <w:r>
              <w:rPr>
                <w:rFonts w:hint="eastAsia"/>
                <w:bCs/>
                <w:color w:val="auto"/>
                <w:sz w:val="24"/>
              </w:rPr>
              <w:t>魏大馆渠开发区污水处理厂排污口上游 500m 监测断面的 BOD</w:t>
            </w:r>
            <w:r>
              <w:rPr>
                <w:rFonts w:hint="eastAsia"/>
                <w:bCs/>
                <w:color w:val="auto"/>
                <w:sz w:val="24"/>
                <w:vertAlign w:val="subscript"/>
              </w:rPr>
              <w:t>5</w:t>
            </w:r>
            <w:r>
              <w:rPr>
                <w:rFonts w:hint="eastAsia"/>
                <w:bCs/>
                <w:color w:val="auto"/>
                <w:sz w:val="24"/>
              </w:rPr>
              <w:t>、总磷、总氮因子超出《地表水环境质量标准》Ⅴ类水体相应指标，其它因子均达标；魏大馆渠开发区污水处理厂排污口下游 2000m 监测断面的 COD、BOD</w:t>
            </w:r>
            <w:r>
              <w:rPr>
                <w:rFonts w:hint="eastAsia"/>
                <w:bCs/>
                <w:color w:val="auto"/>
                <w:sz w:val="24"/>
                <w:vertAlign w:val="subscript"/>
              </w:rPr>
              <w:t>5</w:t>
            </w:r>
            <w:r>
              <w:rPr>
                <w:rFonts w:hint="eastAsia"/>
                <w:bCs/>
                <w:color w:val="auto"/>
                <w:sz w:val="24"/>
              </w:rPr>
              <w:t>、总磷、总氮 因子超出《地表水环境质量标准》Ⅴ类水体相应指标，其它因子均达标。</w:t>
            </w:r>
          </w:p>
          <w:p>
            <w:pPr>
              <w:spacing w:line="360" w:lineRule="auto"/>
              <w:ind w:firstLine="472" w:firstLineChars="200"/>
              <w:rPr>
                <w:b/>
                <w:color w:val="auto"/>
                <w:sz w:val="24"/>
                <w:szCs w:val="24"/>
              </w:rPr>
            </w:pPr>
            <w:r>
              <w:rPr>
                <w:b/>
                <w:color w:val="auto"/>
                <w:sz w:val="24"/>
                <w:szCs w:val="24"/>
              </w:rPr>
              <w:t>3、声环境</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项目所在区域声环境质量良好，项目厂界声环境质量满足《声环境质量标</w:t>
            </w:r>
          </w:p>
          <w:p>
            <w:pPr>
              <w:spacing w:line="360" w:lineRule="auto"/>
              <w:rPr>
                <w:rFonts w:hAnsiTheme="minorEastAsia" w:eastAsiaTheme="minorEastAsia"/>
                <w:color w:val="auto"/>
                <w:sz w:val="24"/>
                <w:szCs w:val="24"/>
              </w:rPr>
            </w:pPr>
            <w:r>
              <w:rPr>
                <w:rFonts w:hint="eastAsia" w:hAnsiTheme="minorEastAsia" w:eastAsiaTheme="minorEastAsia"/>
                <w:color w:val="auto"/>
                <w:sz w:val="24"/>
                <w:szCs w:val="24"/>
              </w:rPr>
              <w:t xml:space="preserve">准》 (GB3096-2008) </w:t>
            </w:r>
            <w:r>
              <w:rPr>
                <w:rFonts w:hint="eastAsia" w:hAnsiTheme="minorEastAsia" w:eastAsiaTheme="minorEastAsia"/>
                <w:color w:val="auto"/>
                <w:sz w:val="24"/>
                <w:szCs w:val="24"/>
                <w:lang w:val="en-US" w:eastAsia="zh-CN"/>
              </w:rPr>
              <w:t>3</w:t>
            </w:r>
            <w:r>
              <w:rPr>
                <w:rFonts w:hint="eastAsia" w:hAnsiTheme="minorEastAsia" w:eastAsiaTheme="minorEastAsia"/>
                <w:color w:val="auto"/>
                <w:sz w:val="24"/>
                <w:szCs w:val="24"/>
              </w:rPr>
              <w:t>类功能区标准要求。本项目厂界外50m范围内无声环境保护目标，根据《建设项目环境影响报告表编制技术指南(污染影响型)》，本项目不再进行声环境质量现状监测。</w:t>
            </w:r>
          </w:p>
          <w:p>
            <w:pPr>
              <w:spacing w:after="156" w:line="460" w:lineRule="exact"/>
              <w:ind w:firstLine="480"/>
              <w:rPr>
                <w:b/>
                <w:bCs/>
                <w:color w:val="auto"/>
                <w:sz w:val="24"/>
                <w:szCs w:val="24"/>
              </w:rPr>
            </w:pPr>
            <w:r>
              <w:rPr>
                <w:rFonts w:hint="eastAsia"/>
                <w:b/>
                <w:bCs/>
                <w:color w:val="auto"/>
                <w:sz w:val="24"/>
                <w:szCs w:val="24"/>
              </w:rPr>
              <w:t>4</w:t>
            </w:r>
            <w:r>
              <w:rPr>
                <w:rFonts w:hint="eastAsia"/>
                <w:b/>
                <w:bCs/>
                <w:color w:val="auto"/>
                <w:sz w:val="24"/>
                <w:szCs w:val="24"/>
                <w:lang w:eastAsia="zh-CN"/>
              </w:rPr>
              <w:t>、</w:t>
            </w:r>
            <w:r>
              <w:rPr>
                <w:rFonts w:hint="eastAsia"/>
                <w:b/>
                <w:bCs/>
                <w:color w:val="auto"/>
                <w:sz w:val="24"/>
                <w:szCs w:val="24"/>
              </w:rPr>
              <w:t>地下水</w:t>
            </w:r>
          </w:p>
          <w:p>
            <w:pPr>
              <w:spacing w:line="360" w:lineRule="auto"/>
              <w:ind w:firstLine="472" w:firstLineChars="200"/>
              <w:rPr>
                <w:rFonts w:hAnsiTheme="minorEastAsia" w:eastAsiaTheme="minorEastAsia"/>
                <w:color w:val="auto"/>
                <w:sz w:val="24"/>
                <w:szCs w:val="24"/>
                <w:highlight w:val="none"/>
              </w:rPr>
            </w:pPr>
            <w:r>
              <w:rPr>
                <w:rFonts w:hint="eastAsia" w:hAnsiTheme="minorEastAsia" w:eastAsiaTheme="minorEastAsia"/>
                <w:color w:val="auto"/>
                <w:sz w:val="24"/>
                <w:szCs w:val="24"/>
                <w:highlight w:val="none"/>
              </w:rPr>
              <w:t>根据《建设项目环境影响报告表编制技术指南》 (污染影响类) (试行) ，本</w:t>
            </w:r>
          </w:p>
          <w:p>
            <w:pPr>
              <w:spacing w:line="360" w:lineRule="auto"/>
              <w:rPr>
                <w:rFonts w:hAnsiTheme="minorEastAsia" w:eastAsiaTheme="minorEastAsia"/>
                <w:color w:val="auto"/>
                <w:sz w:val="24"/>
                <w:szCs w:val="24"/>
                <w:highlight w:val="none"/>
              </w:rPr>
            </w:pPr>
            <w:r>
              <w:rPr>
                <w:rFonts w:hint="eastAsia" w:hAnsiTheme="minorEastAsia" w:eastAsiaTheme="minorEastAsia"/>
                <w:color w:val="auto"/>
                <w:sz w:val="24"/>
                <w:szCs w:val="24"/>
                <w:highlight w:val="none"/>
              </w:rPr>
              <w:t>项目无地下水污染途径，周边无饮用水源保护区，无需展开地下水环境质量现状调查。</w:t>
            </w:r>
          </w:p>
          <w:p>
            <w:pPr>
              <w:spacing w:line="360" w:lineRule="auto"/>
              <w:ind w:left="473"/>
              <w:rPr>
                <w:rFonts w:ascii="宋体" w:hAnsi="宋体" w:cs="宋体"/>
                <w:b/>
                <w:color w:val="auto"/>
                <w:sz w:val="24"/>
                <w:szCs w:val="24"/>
              </w:rPr>
            </w:pPr>
            <w:r>
              <w:rPr>
                <w:rFonts w:hint="eastAsia" w:ascii="宋体" w:hAnsi="宋体" w:cs="宋体"/>
                <w:b/>
                <w:color w:val="auto"/>
                <w:sz w:val="24"/>
                <w:szCs w:val="24"/>
              </w:rPr>
              <w:t>5、土壤环境质量</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根据《建设项目环境影响报告表编制技术指南》 (污染影响类) (试行) ，本</w:t>
            </w:r>
          </w:p>
          <w:p>
            <w:pPr>
              <w:spacing w:after="156" w:line="460" w:lineRule="exact"/>
              <w:rPr>
                <w:rFonts w:hint="eastAsia" w:hAnsiTheme="minorEastAsia" w:eastAsiaTheme="minorEastAsia"/>
                <w:color w:val="auto"/>
                <w:sz w:val="24"/>
                <w:szCs w:val="24"/>
              </w:rPr>
            </w:pPr>
            <w:r>
              <w:rPr>
                <w:rFonts w:hint="eastAsia" w:hAnsiTheme="minorEastAsia" w:eastAsiaTheme="minorEastAsia"/>
                <w:color w:val="auto"/>
                <w:sz w:val="24"/>
                <w:szCs w:val="24"/>
              </w:rPr>
              <w:t>项目无土壤污染途径，无需展开土壤环境质量现状调查。</w:t>
            </w:r>
          </w:p>
          <w:p>
            <w:pPr>
              <w:spacing w:after="156" w:line="460" w:lineRule="exact"/>
              <w:ind w:firstLine="480"/>
              <w:rPr>
                <w:b/>
                <w:bCs/>
                <w:color w:val="auto"/>
                <w:sz w:val="24"/>
                <w:szCs w:val="24"/>
              </w:rPr>
            </w:pPr>
            <w:r>
              <w:rPr>
                <w:rFonts w:hint="eastAsia"/>
                <w:b/>
                <w:bCs/>
                <w:color w:val="auto"/>
                <w:sz w:val="24"/>
                <w:szCs w:val="24"/>
                <w:lang w:val="en-US" w:eastAsia="zh-CN"/>
              </w:rPr>
              <w:t>6</w:t>
            </w:r>
            <w:r>
              <w:rPr>
                <w:rFonts w:hint="eastAsia"/>
                <w:b/>
                <w:bCs/>
                <w:color w:val="auto"/>
                <w:sz w:val="24"/>
                <w:szCs w:val="24"/>
              </w:rPr>
              <w:t>、生态环境</w:t>
            </w:r>
          </w:p>
          <w:p>
            <w:pPr>
              <w:spacing w:line="360" w:lineRule="auto"/>
              <w:ind w:firstLine="472" w:firstLineChars="200"/>
              <w:rPr>
                <w:color w:val="auto"/>
              </w:rPr>
            </w:pPr>
            <w:r>
              <w:rPr>
                <w:rFonts w:hint="eastAsia"/>
                <w:color w:val="auto"/>
                <w:sz w:val="24"/>
                <w:szCs w:val="24"/>
                <w:lang w:val="en-US" w:eastAsia="zh-CN"/>
              </w:rPr>
              <w:t>本项目租赁现有厂房，不新增占地，</w:t>
            </w:r>
            <w:r>
              <w:rPr>
                <w:rFonts w:hint="eastAsia"/>
                <w:color w:val="auto"/>
                <w:sz w:val="24"/>
                <w:szCs w:val="24"/>
              </w:rPr>
              <w:t>评价区域内生态环境主要以人工生态环境为主，主要植被为人工栽培的树木以及农作物。区域内无野生植被、野生动物和受国家保护的动植物种类。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 w:val="24"/>
                <w:szCs w:val="24"/>
              </w:rPr>
            </w:pPr>
            <w:r>
              <w:rPr>
                <w:bCs/>
                <w:color w:val="auto"/>
                <w:sz w:val="24"/>
                <w:szCs w:val="24"/>
              </w:rPr>
              <w:t>环境保护目标</w:t>
            </w:r>
          </w:p>
          <w:p>
            <w:pPr>
              <w:pStyle w:val="24"/>
              <w:jc w:val="center"/>
              <w:rPr>
                <w:color w:val="auto"/>
              </w:rPr>
            </w:pPr>
          </w:p>
        </w:tc>
        <w:tc>
          <w:tcPr>
            <w:tcW w:w="8248"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eastAsiaTheme="minorEastAsia"/>
                <w:color w:val="auto"/>
                <w:sz w:val="24"/>
              </w:rPr>
            </w:pPr>
            <w:r>
              <w:rPr>
                <w:color w:val="auto"/>
                <w:sz w:val="24"/>
                <w:szCs w:val="24"/>
              </w:rPr>
              <w:t>项目</w:t>
            </w:r>
            <w:r>
              <w:rPr>
                <w:rFonts w:hint="eastAsia"/>
                <w:color w:val="auto"/>
                <w:sz w:val="24"/>
                <w:szCs w:val="24"/>
              </w:rPr>
              <w:t>厂界外50米范围内无声环境保护目标；厂界外500米范围内无地下水集中饮用水水源和热水、矿泉水、温泉等特殊地下水资源保护目标，故不再设声环境、地下水环境保护目标</w:t>
            </w:r>
            <w:r>
              <w:rPr>
                <w:color w:val="auto"/>
                <w:sz w:val="24"/>
                <w:szCs w:val="24"/>
              </w:rPr>
              <w:t>。根据项目特点、评价区域环境特征及《</w:t>
            </w:r>
            <w:r>
              <w:rPr>
                <w:rFonts w:hint="eastAsia"/>
                <w:color w:val="auto"/>
                <w:sz w:val="24"/>
                <w:szCs w:val="24"/>
              </w:rPr>
              <w:t>建设项目</w:t>
            </w:r>
            <w:r>
              <w:rPr>
                <w:color w:val="auto"/>
                <w:sz w:val="24"/>
                <w:szCs w:val="24"/>
              </w:rPr>
              <w:t>环境影响</w:t>
            </w:r>
            <w:r>
              <w:rPr>
                <w:rFonts w:hint="eastAsia"/>
                <w:color w:val="auto"/>
                <w:sz w:val="24"/>
                <w:szCs w:val="24"/>
              </w:rPr>
              <w:t>报告表编制技术指南（污染影响类）</w:t>
            </w:r>
            <w:r>
              <w:rPr>
                <w:color w:val="auto"/>
                <w:sz w:val="24"/>
                <w:szCs w:val="24"/>
              </w:rPr>
              <w:t>》</w:t>
            </w:r>
            <w:r>
              <w:rPr>
                <w:rFonts w:hint="eastAsia"/>
                <w:color w:val="auto"/>
                <w:sz w:val="24"/>
                <w:szCs w:val="24"/>
              </w:rPr>
              <w:t>（试行）</w:t>
            </w:r>
            <w:r>
              <w:rPr>
                <w:color w:val="auto"/>
                <w:sz w:val="24"/>
                <w:szCs w:val="24"/>
              </w:rPr>
              <w:t>，确定本项目</w:t>
            </w:r>
            <w:r>
              <w:rPr>
                <w:rFonts w:hint="eastAsia"/>
                <w:color w:val="auto"/>
                <w:sz w:val="24"/>
                <w:szCs w:val="24"/>
              </w:rPr>
              <w:t>大气</w:t>
            </w:r>
            <w:r>
              <w:rPr>
                <w:color w:val="auto"/>
                <w:sz w:val="24"/>
                <w:szCs w:val="24"/>
              </w:rPr>
              <w:t>环境保护目标及保护级别</w:t>
            </w:r>
            <w:r>
              <w:rPr>
                <w:rFonts w:hint="eastAsia"/>
                <w:color w:val="auto"/>
                <w:sz w:val="24"/>
                <w:szCs w:val="24"/>
              </w:rPr>
              <w:t>，详</w:t>
            </w:r>
            <w:r>
              <w:rPr>
                <w:color w:val="auto"/>
                <w:sz w:val="24"/>
                <w:szCs w:val="24"/>
              </w:rPr>
              <w:t>见表</w:t>
            </w:r>
            <w:r>
              <w:rPr>
                <w:rFonts w:hint="eastAsia"/>
                <w:color w:val="auto"/>
                <w:sz w:val="24"/>
                <w:szCs w:val="24"/>
              </w:rPr>
              <w:t>3-4</w:t>
            </w:r>
            <w:r>
              <w:rPr>
                <w:color w:val="auto"/>
                <w:sz w:val="24"/>
                <w:szCs w:val="24"/>
              </w:rPr>
              <w:t>。</w:t>
            </w:r>
          </w:p>
          <w:p>
            <w:pPr>
              <w:adjustRightInd w:val="0"/>
              <w:snapToGrid w:val="0"/>
              <w:spacing w:line="360" w:lineRule="auto"/>
              <w:ind w:firstLine="472" w:firstLineChars="200"/>
              <w:jc w:val="center"/>
              <w:rPr>
                <w:rFonts w:eastAsiaTheme="minorEastAsia"/>
                <w:b/>
                <w:bCs/>
                <w:color w:val="auto"/>
                <w:sz w:val="24"/>
              </w:rPr>
            </w:pPr>
            <w:r>
              <w:rPr>
                <w:rFonts w:hAnsiTheme="minorEastAsia" w:eastAsiaTheme="minorEastAsia"/>
                <w:b/>
                <w:bCs/>
                <w:color w:val="auto"/>
                <w:sz w:val="24"/>
              </w:rPr>
              <w:t>表</w:t>
            </w:r>
            <w:r>
              <w:rPr>
                <w:rFonts w:hint="eastAsia" w:eastAsiaTheme="minorEastAsia"/>
                <w:b/>
                <w:bCs/>
                <w:color w:val="auto"/>
                <w:sz w:val="24"/>
              </w:rPr>
              <w:t>3-4</w:t>
            </w:r>
            <w:r>
              <w:rPr>
                <w:rFonts w:eastAsiaTheme="minorEastAsia"/>
                <w:b/>
                <w:bCs/>
                <w:color w:val="auto"/>
                <w:sz w:val="24"/>
              </w:rPr>
              <w:t xml:space="preserve"> </w:t>
            </w:r>
            <w:r>
              <w:rPr>
                <w:rFonts w:hAnsiTheme="minorEastAsia" w:eastAsiaTheme="minorEastAsia"/>
                <w:b/>
                <w:bCs/>
                <w:color w:val="auto"/>
                <w:sz w:val="24"/>
              </w:rPr>
              <w:t>主要环境保护目标</w:t>
            </w:r>
          </w:p>
          <w:tbl>
            <w:tblPr>
              <w:tblStyle w:val="19"/>
              <w:tblW w:w="80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97"/>
              <w:gridCol w:w="1568"/>
              <w:gridCol w:w="961"/>
              <w:gridCol w:w="961"/>
              <w:gridCol w:w="1153"/>
              <w:gridCol w:w="24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Align w:val="center"/>
                </w:tcPr>
                <w:p>
                  <w:pPr>
                    <w:jc w:val="center"/>
                    <w:rPr>
                      <w:color w:val="auto"/>
                      <w:szCs w:val="21"/>
                    </w:rPr>
                  </w:pPr>
                  <w:r>
                    <w:rPr>
                      <w:color w:val="auto"/>
                      <w:szCs w:val="21"/>
                    </w:rPr>
                    <w:t>环境要素</w:t>
                  </w:r>
                </w:p>
              </w:tc>
              <w:tc>
                <w:tcPr>
                  <w:tcW w:w="1568" w:type="dxa"/>
                  <w:vAlign w:val="center"/>
                </w:tcPr>
                <w:p>
                  <w:pPr>
                    <w:jc w:val="center"/>
                    <w:rPr>
                      <w:color w:val="auto"/>
                      <w:szCs w:val="21"/>
                    </w:rPr>
                  </w:pPr>
                  <w:r>
                    <w:rPr>
                      <w:color w:val="auto"/>
                      <w:szCs w:val="21"/>
                    </w:rPr>
                    <w:t>保护目标</w:t>
                  </w:r>
                </w:p>
              </w:tc>
              <w:tc>
                <w:tcPr>
                  <w:tcW w:w="961" w:type="dxa"/>
                  <w:vAlign w:val="center"/>
                </w:tcPr>
                <w:p>
                  <w:pPr>
                    <w:jc w:val="center"/>
                    <w:rPr>
                      <w:color w:val="auto"/>
                      <w:szCs w:val="21"/>
                    </w:rPr>
                  </w:pPr>
                  <w:r>
                    <w:rPr>
                      <w:color w:val="auto"/>
                      <w:szCs w:val="21"/>
                    </w:rPr>
                    <w:t>相对方位</w:t>
                  </w:r>
                </w:p>
              </w:tc>
              <w:tc>
                <w:tcPr>
                  <w:tcW w:w="961" w:type="dxa"/>
                  <w:vAlign w:val="center"/>
                </w:tcPr>
                <w:p>
                  <w:pPr>
                    <w:jc w:val="center"/>
                    <w:rPr>
                      <w:color w:val="auto"/>
                      <w:szCs w:val="21"/>
                    </w:rPr>
                  </w:pPr>
                  <w:r>
                    <w:rPr>
                      <w:color w:val="auto"/>
                      <w:szCs w:val="21"/>
                    </w:rPr>
                    <w:t>距</w:t>
                  </w:r>
                  <w:r>
                    <w:rPr>
                      <w:rFonts w:hint="eastAsia"/>
                      <w:color w:val="auto"/>
                      <w:szCs w:val="21"/>
                    </w:rPr>
                    <w:t>厂界距</w:t>
                  </w:r>
                  <w:r>
                    <w:rPr>
                      <w:color w:val="auto"/>
                      <w:szCs w:val="21"/>
                    </w:rPr>
                    <w:t>离</w:t>
                  </w:r>
                  <w:r>
                    <w:rPr>
                      <w:rFonts w:hint="eastAsia" w:ascii="宋体" w:hAnsi="宋体" w:cs="宋体"/>
                      <w:color w:val="auto"/>
                      <w:szCs w:val="21"/>
                    </w:rPr>
                    <w:t>(</w:t>
                  </w:r>
                  <w:r>
                    <w:rPr>
                      <w:color w:val="auto"/>
                      <w:szCs w:val="21"/>
                    </w:rPr>
                    <w:t>m</w:t>
                  </w:r>
                  <w:r>
                    <w:rPr>
                      <w:rFonts w:hint="eastAsia" w:ascii="宋体" w:hAnsi="宋体" w:cs="宋体"/>
                      <w:color w:val="auto"/>
                      <w:szCs w:val="21"/>
                    </w:rPr>
                    <w:t>)</w:t>
                  </w:r>
                </w:p>
              </w:tc>
              <w:tc>
                <w:tcPr>
                  <w:tcW w:w="1153" w:type="dxa"/>
                  <w:vAlign w:val="center"/>
                </w:tcPr>
                <w:p>
                  <w:pPr>
                    <w:jc w:val="center"/>
                    <w:rPr>
                      <w:color w:val="auto"/>
                      <w:szCs w:val="21"/>
                    </w:rPr>
                  </w:pPr>
                  <w:r>
                    <w:rPr>
                      <w:color w:val="auto"/>
                      <w:szCs w:val="21"/>
                    </w:rPr>
                    <w:t>保护对象</w:t>
                  </w:r>
                </w:p>
              </w:tc>
              <w:tc>
                <w:tcPr>
                  <w:tcW w:w="2493" w:type="dxa"/>
                  <w:vAlign w:val="center"/>
                </w:tcPr>
                <w:p>
                  <w:pPr>
                    <w:jc w:val="center"/>
                    <w:rPr>
                      <w:color w:val="auto"/>
                      <w:szCs w:val="21"/>
                    </w:rPr>
                  </w:pPr>
                  <w:r>
                    <w:rPr>
                      <w:color w:val="auto"/>
                      <w:szCs w:val="21"/>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Merge w:val="restart"/>
                  <w:vAlign w:val="center"/>
                </w:tcPr>
                <w:p>
                  <w:pPr>
                    <w:jc w:val="center"/>
                    <w:rPr>
                      <w:color w:val="auto"/>
                      <w:szCs w:val="21"/>
                    </w:rPr>
                  </w:pPr>
                  <w:r>
                    <w:rPr>
                      <w:color w:val="auto"/>
                      <w:szCs w:val="21"/>
                    </w:rPr>
                    <w:t>环境空气</w:t>
                  </w:r>
                </w:p>
              </w:tc>
              <w:tc>
                <w:tcPr>
                  <w:tcW w:w="1568" w:type="dxa"/>
                  <w:vAlign w:val="center"/>
                </w:tcPr>
                <w:p>
                  <w:pPr>
                    <w:spacing w:line="240" w:lineRule="exact"/>
                    <w:jc w:val="center"/>
                    <w:rPr>
                      <w:color w:val="auto"/>
                    </w:rPr>
                  </w:pPr>
                  <w:r>
                    <w:rPr>
                      <w:rFonts w:hint="eastAsia"/>
                      <w:color w:val="auto"/>
                    </w:rPr>
                    <w:t>前小寨村</w:t>
                  </w:r>
                </w:p>
              </w:tc>
              <w:tc>
                <w:tcPr>
                  <w:tcW w:w="961" w:type="dxa"/>
                  <w:vAlign w:val="center"/>
                </w:tcPr>
                <w:p>
                  <w:pPr>
                    <w:spacing w:line="240" w:lineRule="exact"/>
                    <w:jc w:val="center"/>
                    <w:rPr>
                      <w:color w:val="auto"/>
                    </w:rPr>
                  </w:pPr>
                  <w:r>
                    <w:rPr>
                      <w:rFonts w:hint="eastAsia"/>
                      <w:color w:val="auto"/>
                    </w:rPr>
                    <w:t>WS</w:t>
                  </w:r>
                </w:p>
              </w:tc>
              <w:tc>
                <w:tcPr>
                  <w:tcW w:w="961" w:type="dxa"/>
                  <w:vAlign w:val="center"/>
                </w:tcPr>
                <w:p>
                  <w:pPr>
                    <w:jc w:val="center"/>
                    <w:rPr>
                      <w:color w:val="auto"/>
                    </w:rPr>
                  </w:pPr>
                  <w:r>
                    <w:rPr>
                      <w:rFonts w:hint="eastAsia"/>
                      <w:color w:val="auto"/>
                    </w:rPr>
                    <w:t>488</w:t>
                  </w:r>
                </w:p>
              </w:tc>
              <w:tc>
                <w:tcPr>
                  <w:tcW w:w="1153" w:type="dxa"/>
                  <w:vAlign w:val="center"/>
                </w:tcPr>
                <w:p>
                  <w:pPr>
                    <w:jc w:val="center"/>
                    <w:rPr>
                      <w:color w:val="auto"/>
                    </w:rPr>
                  </w:pPr>
                  <w:r>
                    <w:rPr>
                      <w:color w:val="auto"/>
                    </w:rPr>
                    <w:t>居民</w:t>
                  </w:r>
                </w:p>
              </w:tc>
              <w:tc>
                <w:tcPr>
                  <w:tcW w:w="2493" w:type="dxa"/>
                  <w:vMerge w:val="restart"/>
                  <w:vAlign w:val="center"/>
                </w:tcPr>
                <w:p>
                  <w:pPr>
                    <w:jc w:val="center"/>
                    <w:rPr>
                      <w:color w:val="auto"/>
                      <w:szCs w:val="21"/>
                    </w:rPr>
                  </w:pPr>
                  <w:r>
                    <w:rPr>
                      <w:color w:val="auto"/>
                      <w:szCs w:val="21"/>
                    </w:rPr>
                    <w:t>《环境空气质量标准》</w:t>
                  </w:r>
                  <w:r>
                    <w:rPr>
                      <w:rFonts w:hint="eastAsia" w:ascii="宋体" w:hAnsi="宋体" w:cs="宋体"/>
                      <w:color w:val="auto"/>
                      <w:szCs w:val="21"/>
                    </w:rPr>
                    <w:t>(</w:t>
                  </w:r>
                  <w:r>
                    <w:rPr>
                      <w:color w:val="auto"/>
                      <w:szCs w:val="21"/>
                    </w:rPr>
                    <w:t>GB3095-2012</w:t>
                  </w:r>
                  <w:r>
                    <w:rPr>
                      <w:rFonts w:hint="eastAsia" w:ascii="宋体" w:hAnsi="宋体" w:cs="宋体"/>
                      <w:color w:val="auto"/>
                      <w:szCs w:val="21"/>
                    </w:rPr>
                    <w:t>)</w:t>
                  </w:r>
                  <w:r>
                    <w:rPr>
                      <w:color w:val="auto"/>
                      <w:szCs w:val="21"/>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Merge w:val="continue"/>
                  <w:vAlign w:val="center"/>
                </w:tcPr>
                <w:p>
                  <w:pPr>
                    <w:jc w:val="center"/>
                    <w:rPr>
                      <w:color w:val="auto"/>
                      <w:szCs w:val="21"/>
                    </w:rPr>
                  </w:pPr>
                </w:p>
              </w:tc>
              <w:tc>
                <w:tcPr>
                  <w:tcW w:w="1568" w:type="dxa"/>
                  <w:vAlign w:val="center"/>
                </w:tcPr>
                <w:p>
                  <w:pPr>
                    <w:spacing w:line="240" w:lineRule="exact"/>
                    <w:jc w:val="center"/>
                    <w:rPr>
                      <w:color w:val="auto"/>
                    </w:rPr>
                  </w:pPr>
                  <w:r>
                    <w:rPr>
                      <w:rFonts w:hint="eastAsia"/>
                      <w:color w:val="auto"/>
                    </w:rPr>
                    <w:t>大寨村</w:t>
                  </w:r>
                </w:p>
              </w:tc>
              <w:tc>
                <w:tcPr>
                  <w:tcW w:w="961" w:type="dxa"/>
                  <w:vAlign w:val="center"/>
                </w:tcPr>
                <w:p>
                  <w:pPr>
                    <w:spacing w:line="240" w:lineRule="exact"/>
                    <w:jc w:val="center"/>
                    <w:rPr>
                      <w:color w:val="auto"/>
                    </w:rPr>
                  </w:pPr>
                  <w:r>
                    <w:rPr>
                      <w:rFonts w:hint="eastAsia"/>
                      <w:color w:val="auto"/>
                    </w:rPr>
                    <w:t>W</w:t>
                  </w:r>
                </w:p>
              </w:tc>
              <w:tc>
                <w:tcPr>
                  <w:tcW w:w="961" w:type="dxa"/>
                  <w:vAlign w:val="center"/>
                </w:tcPr>
                <w:p>
                  <w:pPr>
                    <w:jc w:val="center"/>
                    <w:rPr>
                      <w:color w:val="auto"/>
                    </w:rPr>
                  </w:pPr>
                  <w:r>
                    <w:rPr>
                      <w:rFonts w:hint="eastAsia"/>
                      <w:color w:val="auto"/>
                    </w:rPr>
                    <w:t>475</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97" w:type="dxa"/>
                  <w:vMerge w:val="continue"/>
                  <w:vAlign w:val="center"/>
                </w:tcPr>
                <w:p>
                  <w:pPr>
                    <w:jc w:val="center"/>
                    <w:rPr>
                      <w:color w:val="auto"/>
                      <w:szCs w:val="21"/>
                    </w:rPr>
                  </w:pPr>
                </w:p>
              </w:tc>
              <w:tc>
                <w:tcPr>
                  <w:tcW w:w="1568" w:type="dxa"/>
                  <w:vAlign w:val="center"/>
                </w:tcPr>
                <w:p>
                  <w:pPr>
                    <w:spacing w:line="240" w:lineRule="exact"/>
                    <w:jc w:val="center"/>
                    <w:rPr>
                      <w:rFonts w:hint="default" w:eastAsia="宋体"/>
                      <w:color w:val="auto"/>
                      <w:lang w:val="en-US" w:eastAsia="zh-CN"/>
                    </w:rPr>
                  </w:pPr>
                  <w:r>
                    <w:rPr>
                      <w:rFonts w:hint="eastAsia"/>
                      <w:color w:val="auto"/>
                      <w:lang w:val="en-US" w:eastAsia="zh-CN"/>
                    </w:rPr>
                    <w:t>陆星公寓</w:t>
                  </w:r>
                </w:p>
              </w:tc>
              <w:tc>
                <w:tcPr>
                  <w:tcW w:w="961" w:type="dxa"/>
                  <w:vAlign w:val="center"/>
                </w:tcPr>
                <w:p>
                  <w:pPr>
                    <w:spacing w:line="240" w:lineRule="exact"/>
                    <w:jc w:val="center"/>
                    <w:rPr>
                      <w:rFonts w:hint="eastAsia" w:eastAsia="宋体"/>
                      <w:color w:val="auto"/>
                      <w:lang w:val="en-US" w:eastAsia="zh-CN"/>
                    </w:rPr>
                  </w:pPr>
                  <w:r>
                    <w:rPr>
                      <w:rFonts w:hint="eastAsia"/>
                      <w:color w:val="auto"/>
                      <w:lang w:val="en-US" w:eastAsia="zh-CN"/>
                    </w:rPr>
                    <w:t>E</w:t>
                  </w:r>
                </w:p>
              </w:tc>
              <w:tc>
                <w:tcPr>
                  <w:tcW w:w="961" w:type="dxa"/>
                  <w:vAlign w:val="center"/>
                </w:tcPr>
                <w:p>
                  <w:pPr>
                    <w:jc w:val="center"/>
                    <w:rPr>
                      <w:rFonts w:hint="default" w:eastAsia="宋体"/>
                      <w:color w:val="auto"/>
                      <w:lang w:val="en-US" w:eastAsia="zh-CN"/>
                    </w:rPr>
                  </w:pPr>
                  <w:r>
                    <w:rPr>
                      <w:rFonts w:hint="eastAsia"/>
                      <w:color w:val="auto"/>
                      <w:lang w:val="en-US" w:eastAsia="zh-CN"/>
                    </w:rPr>
                    <w:t>130</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97" w:type="dxa"/>
                  <w:vMerge w:val="continue"/>
                  <w:vAlign w:val="center"/>
                </w:tcPr>
                <w:p>
                  <w:pPr>
                    <w:jc w:val="center"/>
                    <w:rPr>
                      <w:color w:val="auto"/>
                      <w:szCs w:val="21"/>
                    </w:rPr>
                  </w:pPr>
                </w:p>
              </w:tc>
              <w:tc>
                <w:tcPr>
                  <w:tcW w:w="1568" w:type="dxa"/>
                  <w:vAlign w:val="center"/>
                </w:tcPr>
                <w:p>
                  <w:pPr>
                    <w:spacing w:line="240" w:lineRule="exact"/>
                    <w:jc w:val="center"/>
                    <w:rPr>
                      <w:rFonts w:hint="default" w:eastAsia="宋体"/>
                      <w:color w:val="auto"/>
                      <w:lang w:val="en-US" w:eastAsia="zh-CN"/>
                    </w:rPr>
                  </w:pPr>
                  <w:r>
                    <w:rPr>
                      <w:rFonts w:hint="eastAsia"/>
                      <w:color w:val="auto"/>
                      <w:lang w:val="en-US" w:eastAsia="zh-CN"/>
                    </w:rPr>
                    <w:t>维也纳国际酒店</w:t>
                  </w:r>
                </w:p>
              </w:tc>
              <w:tc>
                <w:tcPr>
                  <w:tcW w:w="961" w:type="dxa"/>
                  <w:vAlign w:val="center"/>
                </w:tcPr>
                <w:p>
                  <w:pPr>
                    <w:spacing w:line="240" w:lineRule="exact"/>
                    <w:jc w:val="center"/>
                    <w:rPr>
                      <w:rFonts w:hint="default" w:eastAsia="宋体"/>
                      <w:color w:val="auto"/>
                      <w:lang w:val="en-US" w:eastAsia="zh-CN"/>
                    </w:rPr>
                  </w:pPr>
                  <w:r>
                    <w:rPr>
                      <w:rFonts w:hint="eastAsia"/>
                      <w:color w:val="auto"/>
                      <w:lang w:val="en-US" w:eastAsia="zh-CN"/>
                    </w:rPr>
                    <w:t>ES</w:t>
                  </w:r>
                </w:p>
              </w:tc>
              <w:tc>
                <w:tcPr>
                  <w:tcW w:w="961" w:type="dxa"/>
                  <w:vAlign w:val="center"/>
                </w:tcPr>
                <w:p>
                  <w:pPr>
                    <w:jc w:val="center"/>
                    <w:rPr>
                      <w:rFonts w:hint="default" w:eastAsia="宋体"/>
                      <w:color w:val="auto"/>
                      <w:lang w:val="en-US" w:eastAsia="zh-CN"/>
                    </w:rPr>
                  </w:pPr>
                  <w:r>
                    <w:rPr>
                      <w:rFonts w:hint="eastAsia"/>
                      <w:color w:val="auto"/>
                      <w:lang w:val="en-US" w:eastAsia="zh-CN"/>
                    </w:rPr>
                    <w:t>140</w:t>
                  </w:r>
                </w:p>
              </w:tc>
              <w:tc>
                <w:tcPr>
                  <w:tcW w:w="1153" w:type="dxa"/>
                  <w:vAlign w:val="center"/>
                </w:tcPr>
                <w:p>
                  <w:pPr>
                    <w:jc w:val="center"/>
                    <w:rPr>
                      <w:color w:val="auto"/>
                    </w:rPr>
                  </w:pPr>
                  <w:r>
                    <w:rPr>
                      <w:color w:val="auto"/>
                    </w:rPr>
                    <w:t>居民</w:t>
                  </w:r>
                </w:p>
              </w:tc>
              <w:tc>
                <w:tcPr>
                  <w:tcW w:w="2493" w:type="dxa"/>
                  <w:vMerge w:val="continue"/>
                  <w:vAlign w:val="center"/>
                </w:tcPr>
                <w:p>
                  <w:pPr>
                    <w:jc w:val="center"/>
                    <w:rPr>
                      <w:color w:val="auto"/>
                      <w:szCs w:val="21"/>
                    </w:rPr>
                  </w:pPr>
                </w:p>
              </w:tc>
            </w:tr>
          </w:tbl>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bCs/>
                <w:color w:val="auto"/>
                <w:sz w:val="24"/>
                <w:szCs w:val="24"/>
              </w:rPr>
              <w:t>污染物排放</w:t>
            </w:r>
            <w:r>
              <w:rPr>
                <w:rFonts w:hint="eastAsia"/>
                <w:bCs/>
                <w:color w:val="auto"/>
                <w:sz w:val="24"/>
                <w:szCs w:val="24"/>
              </w:rPr>
              <w:t>控制</w:t>
            </w:r>
            <w:r>
              <w:rPr>
                <w:bCs/>
                <w:color w:val="auto"/>
                <w:sz w:val="24"/>
                <w:szCs w:val="24"/>
              </w:rPr>
              <w:t>标准</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eastAsiaTheme="minorEastAsia"/>
                <w:color w:val="auto"/>
                <w:sz w:val="24"/>
              </w:rPr>
            </w:pPr>
            <w:r>
              <w:rPr>
                <w:rFonts w:eastAsiaTheme="minorEastAsia"/>
                <w:color w:val="auto"/>
                <w:sz w:val="24"/>
              </w:rPr>
              <w:t>1</w:t>
            </w:r>
            <w:r>
              <w:rPr>
                <w:rFonts w:hAnsiTheme="minorEastAsia" w:eastAsiaTheme="minorEastAsia"/>
                <w:color w:val="auto"/>
                <w:sz w:val="24"/>
              </w:rPr>
              <w:t>、废气</w:t>
            </w:r>
          </w:p>
          <w:p>
            <w:pPr>
              <w:pStyle w:val="42"/>
              <w:spacing w:line="360" w:lineRule="auto"/>
              <w:ind w:firstLine="471"/>
              <w:rPr>
                <w:rFonts w:hAnsiTheme="minorEastAsia" w:eastAsiaTheme="minorEastAsia"/>
                <w:color w:val="auto"/>
                <w:sz w:val="24"/>
              </w:rPr>
            </w:pPr>
            <w:r>
              <w:rPr>
                <w:rFonts w:hint="eastAsia"/>
                <w:bCs/>
                <w:color w:val="auto"/>
                <w:sz w:val="24"/>
                <w:lang w:eastAsia="zh-CN"/>
              </w:rPr>
              <w:t>（</w:t>
            </w:r>
            <w:r>
              <w:rPr>
                <w:rFonts w:hint="eastAsia"/>
                <w:bCs/>
                <w:color w:val="auto"/>
                <w:sz w:val="24"/>
                <w:lang w:val="en-US" w:eastAsia="zh-CN"/>
              </w:rPr>
              <w:t>1）</w:t>
            </w:r>
            <w:r>
              <w:rPr>
                <w:rFonts w:hint="eastAsia"/>
                <w:bCs/>
                <w:color w:val="auto"/>
                <w:sz w:val="24"/>
              </w:rPr>
              <w:t>施工</w:t>
            </w:r>
            <w:r>
              <w:rPr>
                <w:bCs/>
                <w:color w:val="auto"/>
                <w:sz w:val="24"/>
              </w:rPr>
              <w:t>含尘废气执行河北省地方标准《施工场地扬尘排放标准》(DB13/2934-2019)表1中扬尘排放浓度限值</w:t>
            </w:r>
            <w:r>
              <w:rPr>
                <w:rFonts w:hint="eastAsia" w:hAnsiTheme="minorEastAsia" w:eastAsiaTheme="minorEastAsia"/>
                <w:color w:val="auto"/>
                <w:sz w:val="24"/>
              </w:rPr>
              <w:t>（</w:t>
            </w:r>
            <w:r>
              <w:rPr>
                <w:rFonts w:hAnsiTheme="minorEastAsia" w:eastAsiaTheme="minorEastAsia"/>
                <w:color w:val="auto"/>
                <w:sz w:val="24"/>
              </w:rPr>
              <w:t>施工扬尘排放浓度限值指监测点</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小时平均浓度实测值与同时段所属县（市、区）</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小时平均浓度的差值。当县（市、区）</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小时平均浓度值大于</w:t>
            </w:r>
            <w:r>
              <w:rPr>
                <w:rFonts w:eastAsiaTheme="minorEastAsia"/>
                <w:color w:val="auto"/>
                <w:sz w:val="24"/>
              </w:rPr>
              <w:t>150μg/m</w:t>
            </w:r>
            <w:r>
              <w:rPr>
                <w:rFonts w:eastAsiaTheme="minorEastAsia"/>
                <w:color w:val="auto"/>
                <w:sz w:val="24"/>
                <w:vertAlign w:val="superscript"/>
              </w:rPr>
              <w:t>3</w:t>
            </w:r>
            <w:r>
              <w:rPr>
                <w:rFonts w:hAnsiTheme="minorEastAsia" w:eastAsiaTheme="minorEastAsia"/>
                <w:color w:val="auto"/>
                <w:sz w:val="24"/>
              </w:rPr>
              <w:t>时，以</w:t>
            </w:r>
            <w:r>
              <w:rPr>
                <w:rFonts w:eastAsiaTheme="minorEastAsia"/>
                <w:color w:val="auto"/>
                <w:sz w:val="24"/>
              </w:rPr>
              <w:t>150μg/m</w:t>
            </w:r>
            <w:r>
              <w:rPr>
                <w:rFonts w:eastAsiaTheme="minorEastAsia"/>
                <w:color w:val="auto"/>
                <w:sz w:val="24"/>
                <w:vertAlign w:val="superscript"/>
              </w:rPr>
              <w:t>3</w:t>
            </w:r>
            <w:r>
              <w:rPr>
                <w:rFonts w:hAnsiTheme="minorEastAsia" w:eastAsiaTheme="minorEastAsia"/>
                <w:color w:val="auto"/>
                <w:sz w:val="24"/>
              </w:rPr>
              <w:t>计）。</w:t>
            </w:r>
          </w:p>
          <w:p>
            <w:pPr>
              <w:pStyle w:val="42"/>
              <w:spacing w:line="360" w:lineRule="auto"/>
              <w:ind w:firstLine="471"/>
              <w:rPr>
                <w:rFonts w:hAnsiTheme="minorEastAsia" w:eastAsiaTheme="minorEastAsia"/>
                <w:b/>
                <w:bCs/>
                <w:color w:val="auto"/>
                <w:sz w:val="24"/>
              </w:rPr>
            </w:pPr>
            <w:r>
              <w:rPr>
                <w:rFonts w:hint="eastAsia" w:hAnsi="宋体"/>
                <w:color w:val="auto"/>
                <w:sz w:val="24"/>
                <w:szCs w:val="24"/>
                <w:lang w:eastAsia="zh-CN"/>
              </w:rPr>
              <w:t>（</w:t>
            </w:r>
            <w:r>
              <w:rPr>
                <w:rFonts w:hint="eastAsia" w:hAnsi="宋体"/>
                <w:color w:val="auto"/>
                <w:sz w:val="24"/>
                <w:szCs w:val="24"/>
                <w:lang w:val="en-US" w:eastAsia="zh-CN"/>
              </w:rPr>
              <w:t>2）</w:t>
            </w:r>
            <w:r>
              <w:rPr>
                <w:rFonts w:hAnsi="宋体"/>
                <w:color w:val="auto"/>
                <w:sz w:val="24"/>
                <w:szCs w:val="24"/>
              </w:rPr>
              <w:t>项目</w:t>
            </w:r>
            <w:r>
              <w:rPr>
                <w:rFonts w:hAnsi="宋体"/>
                <w:bCs/>
                <w:color w:val="auto"/>
                <w:sz w:val="24"/>
                <w:szCs w:val="24"/>
              </w:rPr>
              <w:t>运营期</w:t>
            </w:r>
            <w:r>
              <w:rPr>
                <w:rFonts w:hint="eastAsia" w:hAnsi="宋体"/>
                <w:color w:val="auto"/>
                <w:kern w:val="0"/>
                <w:sz w:val="24"/>
                <w:szCs w:val="24"/>
              </w:rPr>
              <w:t>水分</w:t>
            </w:r>
            <w:r>
              <w:rPr>
                <w:rFonts w:hint="eastAsia"/>
                <w:bCs/>
                <w:color w:val="auto"/>
                <w:sz w:val="24"/>
              </w:rPr>
              <w:t>烘干、固化工序</w:t>
            </w:r>
            <w:r>
              <w:rPr>
                <w:rFonts w:hAnsi="宋体"/>
                <w:color w:val="auto"/>
                <w:sz w:val="24"/>
                <w:szCs w:val="24"/>
              </w:rPr>
              <w:t>天然气燃烧废气中</w:t>
            </w:r>
            <w:r>
              <w:rPr>
                <w:color w:val="auto"/>
                <w:sz w:val="24"/>
                <w:szCs w:val="24"/>
              </w:rPr>
              <w:t>SO</w:t>
            </w:r>
            <w:r>
              <w:rPr>
                <w:color w:val="auto"/>
                <w:sz w:val="24"/>
                <w:szCs w:val="24"/>
                <w:vertAlign w:val="subscript"/>
              </w:rPr>
              <w:t>2</w:t>
            </w:r>
            <w:r>
              <w:rPr>
                <w:rFonts w:hAnsi="宋体"/>
                <w:color w:val="auto"/>
                <w:sz w:val="24"/>
                <w:szCs w:val="24"/>
              </w:rPr>
              <w:t>、</w:t>
            </w:r>
            <w:r>
              <w:rPr>
                <w:color w:val="auto"/>
                <w:sz w:val="24"/>
                <w:szCs w:val="24"/>
              </w:rPr>
              <w:t>NO</w:t>
            </w:r>
            <w:r>
              <w:rPr>
                <w:color w:val="auto"/>
                <w:sz w:val="24"/>
                <w:szCs w:val="24"/>
                <w:vertAlign w:val="subscript"/>
              </w:rPr>
              <w:t>X</w:t>
            </w:r>
            <w:r>
              <w:rPr>
                <w:rFonts w:hAnsi="宋体"/>
                <w:color w:val="auto"/>
                <w:sz w:val="24"/>
                <w:szCs w:val="24"/>
              </w:rPr>
              <w:t>、颗粒物排放</w:t>
            </w:r>
            <w:r>
              <w:rPr>
                <w:rFonts w:hint="eastAsia" w:hAnsi="宋体"/>
                <w:color w:val="auto"/>
                <w:sz w:val="24"/>
                <w:szCs w:val="24"/>
              </w:rPr>
              <w:t>执行</w:t>
            </w:r>
            <w:r>
              <w:rPr>
                <w:rFonts w:hAnsi="宋体"/>
                <w:color w:val="auto"/>
                <w:sz w:val="24"/>
                <w:szCs w:val="24"/>
              </w:rPr>
              <w:t>《工业炉窑大气污染</w:t>
            </w:r>
            <w:r>
              <w:rPr>
                <w:rFonts w:hint="eastAsia" w:hAnsi="宋体"/>
                <w:color w:val="auto"/>
                <w:sz w:val="24"/>
                <w:szCs w:val="24"/>
              </w:rPr>
              <w:t>物排放标准</w:t>
            </w:r>
            <w:r>
              <w:rPr>
                <w:rFonts w:hAnsi="宋体"/>
                <w:color w:val="auto"/>
                <w:sz w:val="24"/>
                <w:szCs w:val="24"/>
              </w:rPr>
              <w:t>》（</w:t>
            </w:r>
            <w:r>
              <w:rPr>
                <w:rFonts w:hint="eastAsia" w:hAnsi="宋体"/>
                <w:color w:val="auto"/>
                <w:sz w:val="24"/>
                <w:szCs w:val="24"/>
              </w:rPr>
              <w:t>DB13/1640-2012</w:t>
            </w:r>
            <w:r>
              <w:rPr>
                <w:rFonts w:hAnsi="宋体"/>
                <w:color w:val="auto"/>
                <w:sz w:val="24"/>
                <w:szCs w:val="24"/>
              </w:rPr>
              <w:t>）</w:t>
            </w:r>
            <w:r>
              <w:rPr>
                <w:rFonts w:hint="eastAsia" w:hAnsi="宋体"/>
                <w:color w:val="auto"/>
                <w:sz w:val="24"/>
                <w:szCs w:val="24"/>
              </w:rPr>
              <w:t>表1表2限值，同时满足</w:t>
            </w:r>
            <w:r>
              <w:rPr>
                <w:rFonts w:hAnsi="宋体"/>
                <w:color w:val="auto"/>
                <w:sz w:val="24"/>
                <w:szCs w:val="24"/>
              </w:rPr>
              <w:t>《工业炉窑大气污染综合治理方案》（环大气［</w:t>
            </w:r>
            <w:r>
              <w:rPr>
                <w:color w:val="auto"/>
                <w:sz w:val="24"/>
                <w:szCs w:val="24"/>
              </w:rPr>
              <w:t>2019</w:t>
            </w:r>
            <w:r>
              <w:rPr>
                <w:rFonts w:hAnsi="宋体"/>
                <w:color w:val="auto"/>
                <w:sz w:val="24"/>
                <w:szCs w:val="24"/>
              </w:rPr>
              <w:t>］</w:t>
            </w:r>
            <w:r>
              <w:rPr>
                <w:color w:val="auto"/>
                <w:sz w:val="24"/>
                <w:szCs w:val="24"/>
              </w:rPr>
              <w:t>56</w:t>
            </w:r>
            <w:r>
              <w:rPr>
                <w:rFonts w:hAnsi="宋体"/>
                <w:color w:val="auto"/>
                <w:sz w:val="24"/>
                <w:szCs w:val="24"/>
              </w:rPr>
              <w:t>号文）中的相关要求（颗粒物</w:t>
            </w:r>
            <w:r>
              <w:rPr>
                <w:rFonts w:ascii="宋体" w:hAnsi="宋体"/>
                <w:color w:val="auto"/>
                <w:sz w:val="24"/>
                <w:szCs w:val="24"/>
              </w:rPr>
              <w:t>≦</w:t>
            </w:r>
            <w:r>
              <w:rPr>
                <w:color w:val="auto"/>
                <w:sz w:val="24"/>
                <w:szCs w:val="24"/>
              </w:rPr>
              <w:t>30mg/m</w:t>
            </w:r>
            <w:r>
              <w:rPr>
                <w:color w:val="auto"/>
                <w:sz w:val="24"/>
                <w:szCs w:val="24"/>
                <w:vertAlign w:val="superscript"/>
              </w:rPr>
              <w:t>3</w:t>
            </w:r>
            <w:r>
              <w:rPr>
                <w:rFonts w:hAnsi="宋体"/>
                <w:color w:val="auto"/>
                <w:sz w:val="24"/>
                <w:szCs w:val="24"/>
              </w:rPr>
              <w:t>、</w:t>
            </w:r>
            <w:r>
              <w:rPr>
                <w:color w:val="auto"/>
                <w:sz w:val="24"/>
                <w:szCs w:val="24"/>
              </w:rPr>
              <w:t>SO</w:t>
            </w:r>
            <w:r>
              <w:rPr>
                <w:color w:val="auto"/>
                <w:sz w:val="24"/>
                <w:szCs w:val="24"/>
                <w:vertAlign w:val="subscript"/>
              </w:rPr>
              <w:t>2</w:t>
            </w:r>
            <w:r>
              <w:rPr>
                <w:rFonts w:ascii="宋体" w:hAnsi="宋体"/>
                <w:color w:val="auto"/>
                <w:sz w:val="24"/>
                <w:szCs w:val="24"/>
              </w:rPr>
              <w:t>≦</w:t>
            </w:r>
            <w:r>
              <w:rPr>
                <w:color w:val="auto"/>
                <w:sz w:val="24"/>
                <w:szCs w:val="24"/>
              </w:rPr>
              <w:t>200mg/m</w:t>
            </w:r>
            <w:r>
              <w:rPr>
                <w:color w:val="auto"/>
                <w:sz w:val="24"/>
                <w:szCs w:val="24"/>
                <w:vertAlign w:val="superscript"/>
              </w:rPr>
              <w:t>3</w:t>
            </w:r>
            <w:r>
              <w:rPr>
                <w:rFonts w:hAnsi="宋体"/>
                <w:color w:val="auto"/>
                <w:sz w:val="24"/>
                <w:szCs w:val="24"/>
              </w:rPr>
              <w:t>、</w:t>
            </w:r>
            <w:r>
              <w:rPr>
                <w:color w:val="auto"/>
                <w:sz w:val="24"/>
                <w:szCs w:val="24"/>
                <w:lang w:val="fr-FR"/>
              </w:rPr>
              <w:t>NO</w:t>
            </w:r>
            <w:r>
              <w:rPr>
                <w:color w:val="auto"/>
                <w:sz w:val="24"/>
                <w:szCs w:val="24"/>
                <w:vertAlign w:val="subscript"/>
              </w:rPr>
              <w:t>x</w:t>
            </w:r>
            <w:r>
              <w:rPr>
                <w:rFonts w:ascii="宋体" w:hAnsi="宋体"/>
                <w:color w:val="auto"/>
                <w:sz w:val="24"/>
                <w:szCs w:val="24"/>
              </w:rPr>
              <w:t>≦</w:t>
            </w:r>
            <w:r>
              <w:rPr>
                <w:color w:val="auto"/>
                <w:sz w:val="24"/>
                <w:szCs w:val="24"/>
              </w:rPr>
              <w:t>300mg/m</w:t>
            </w:r>
            <w:r>
              <w:rPr>
                <w:color w:val="auto"/>
                <w:sz w:val="24"/>
                <w:szCs w:val="24"/>
                <w:vertAlign w:val="superscript"/>
              </w:rPr>
              <w:t>3</w:t>
            </w:r>
            <w:r>
              <w:rPr>
                <w:rFonts w:hAnsi="宋体"/>
                <w:color w:val="auto"/>
                <w:sz w:val="24"/>
                <w:szCs w:val="24"/>
              </w:rPr>
              <w:t>）</w:t>
            </w:r>
            <w:r>
              <w:rPr>
                <w:rFonts w:hint="eastAsia" w:hAnsi="宋体"/>
                <w:color w:val="auto"/>
                <w:sz w:val="24"/>
                <w:szCs w:val="24"/>
              </w:rPr>
              <w:t>，</w:t>
            </w:r>
            <w:r>
              <w:rPr>
                <w:rFonts w:hAnsi="宋体"/>
                <w:color w:val="auto"/>
                <w:kern w:val="0"/>
                <w:sz w:val="24"/>
                <w:szCs w:val="24"/>
              </w:rPr>
              <w:t>非甲烷总烃排放执行河北省地方标准《工业企业挥发性有机物排放控制标准》</w:t>
            </w:r>
            <w:r>
              <w:rPr>
                <w:color w:val="auto"/>
                <w:kern w:val="0"/>
                <w:sz w:val="24"/>
                <w:szCs w:val="24"/>
              </w:rPr>
              <w:t>(DB13/2322-2016)</w:t>
            </w:r>
            <w:r>
              <w:rPr>
                <w:rFonts w:hAnsi="宋体"/>
                <w:color w:val="auto"/>
                <w:kern w:val="0"/>
                <w:sz w:val="24"/>
                <w:szCs w:val="24"/>
              </w:rPr>
              <w:t>表</w:t>
            </w:r>
            <w:r>
              <w:rPr>
                <w:color w:val="auto"/>
                <w:kern w:val="0"/>
                <w:sz w:val="24"/>
                <w:szCs w:val="24"/>
              </w:rPr>
              <w:t>1</w:t>
            </w:r>
            <w:r>
              <w:rPr>
                <w:rFonts w:hAnsi="宋体"/>
                <w:color w:val="auto"/>
                <w:kern w:val="0"/>
                <w:sz w:val="24"/>
                <w:szCs w:val="24"/>
              </w:rPr>
              <w:t>表面涂装业有机废气排放口排放要求</w:t>
            </w:r>
            <w:r>
              <w:rPr>
                <w:rFonts w:hAnsi="宋体"/>
                <w:color w:val="auto"/>
                <w:sz w:val="24"/>
                <w:szCs w:val="24"/>
              </w:rPr>
              <w:t>；</w:t>
            </w:r>
            <w:r>
              <w:rPr>
                <w:rFonts w:hint="eastAsia" w:hAnsi="宋体"/>
                <w:color w:val="auto"/>
                <w:sz w:val="24"/>
                <w:szCs w:val="24"/>
              </w:rPr>
              <w:t>切割、打孔、焊接废气中颗粒物执行《大气污染物综合排放标准》（GB16297-1996）表2其他行业颗粒物二级标准限值要求；喷涂废气中颗粒物执行《大气污染物综合排放标准》（GB16297-1996）表2颗粒物（染料尘）二级标准限值要求；厂界无组织</w:t>
            </w:r>
            <w:r>
              <w:rPr>
                <w:rFonts w:hAnsi="宋体"/>
                <w:bCs/>
                <w:color w:val="auto"/>
                <w:sz w:val="24"/>
                <w:szCs w:val="24"/>
              </w:rPr>
              <w:t>颗粒物排放执行《大气污染物综合排放标准》（GB16297-1996）表2其他行业</w:t>
            </w:r>
            <w:r>
              <w:rPr>
                <w:rFonts w:hint="eastAsia" w:hAnsi="宋体"/>
                <w:bCs/>
                <w:color w:val="auto"/>
                <w:sz w:val="24"/>
                <w:szCs w:val="24"/>
              </w:rPr>
              <w:t>无组织排放监控浓度限值要求</w:t>
            </w:r>
            <w:r>
              <w:rPr>
                <w:rFonts w:hAnsi="宋体"/>
                <w:bCs/>
                <w:color w:val="auto"/>
                <w:sz w:val="24"/>
                <w:szCs w:val="24"/>
              </w:rPr>
              <w:t>；</w:t>
            </w:r>
            <w:r>
              <w:rPr>
                <w:rFonts w:hint="eastAsia" w:hAnsi="宋体"/>
                <w:color w:val="auto"/>
                <w:kern w:val="0"/>
                <w:sz w:val="24"/>
                <w:szCs w:val="24"/>
              </w:rPr>
              <w:t>无组织非甲烷总烃执行</w:t>
            </w:r>
            <w:r>
              <w:rPr>
                <w:rFonts w:hAnsi="宋体"/>
                <w:color w:val="auto"/>
                <w:kern w:val="0"/>
                <w:sz w:val="24"/>
                <w:szCs w:val="24"/>
              </w:rPr>
              <w:t>河北省地方标准《工业企业挥发性有机物排放控制标准》</w:t>
            </w:r>
            <w:r>
              <w:rPr>
                <w:color w:val="auto"/>
                <w:kern w:val="0"/>
                <w:sz w:val="24"/>
                <w:szCs w:val="24"/>
              </w:rPr>
              <w:t>(DB13/2322-2016)</w:t>
            </w:r>
            <w:r>
              <w:rPr>
                <w:rFonts w:hint="eastAsia" w:hAnsi="宋体"/>
                <w:color w:val="auto"/>
                <w:kern w:val="0"/>
                <w:sz w:val="24"/>
                <w:szCs w:val="24"/>
              </w:rPr>
              <w:t>表2其他企业边界限值</w:t>
            </w:r>
            <w:r>
              <w:rPr>
                <w:rFonts w:hint="eastAsia"/>
                <w:color w:val="auto"/>
                <w:sz w:val="24"/>
                <w:szCs w:val="22"/>
              </w:rPr>
              <w:t>。废气排放标准值如下表3-5：</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表3-5 废气排放标准值一览表</w:t>
            </w:r>
          </w:p>
          <w:tbl>
            <w:tblPr>
              <w:tblStyle w:val="19"/>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868"/>
              <w:gridCol w:w="947"/>
              <w:gridCol w:w="1390"/>
              <w:gridCol w:w="41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05" w:type="pct"/>
                  <w:vAlign w:val="center"/>
                </w:tcPr>
                <w:p>
                  <w:pPr>
                    <w:spacing w:line="280" w:lineRule="exact"/>
                    <w:jc w:val="center"/>
                    <w:rPr>
                      <w:color w:val="auto"/>
                      <w:szCs w:val="21"/>
                    </w:rPr>
                  </w:pPr>
                  <w:r>
                    <w:rPr>
                      <w:color w:val="auto"/>
                      <w:szCs w:val="21"/>
                    </w:rPr>
                    <w:t>类别</w:t>
                  </w:r>
                </w:p>
              </w:tc>
              <w:tc>
                <w:tcPr>
                  <w:tcW w:w="1129" w:type="pct"/>
                  <w:gridSpan w:val="2"/>
                  <w:vAlign w:val="center"/>
                </w:tcPr>
                <w:p>
                  <w:pPr>
                    <w:spacing w:line="280" w:lineRule="exact"/>
                    <w:jc w:val="center"/>
                    <w:rPr>
                      <w:color w:val="auto"/>
                      <w:szCs w:val="21"/>
                    </w:rPr>
                  </w:pPr>
                  <w:r>
                    <w:rPr>
                      <w:color w:val="auto"/>
                      <w:szCs w:val="21"/>
                    </w:rPr>
                    <w:t>项目</w:t>
                  </w:r>
                </w:p>
              </w:tc>
              <w:tc>
                <w:tcPr>
                  <w:tcW w:w="865" w:type="pct"/>
                  <w:vAlign w:val="center"/>
                </w:tcPr>
                <w:p>
                  <w:pPr>
                    <w:spacing w:line="280" w:lineRule="exact"/>
                    <w:jc w:val="center"/>
                    <w:rPr>
                      <w:color w:val="auto"/>
                      <w:szCs w:val="21"/>
                    </w:rPr>
                  </w:pPr>
                  <w:r>
                    <w:rPr>
                      <w:color w:val="auto"/>
                      <w:szCs w:val="21"/>
                    </w:rPr>
                    <w:t>标准值</w:t>
                  </w:r>
                </w:p>
              </w:tc>
              <w:tc>
                <w:tcPr>
                  <w:tcW w:w="2599" w:type="pct"/>
                  <w:vAlign w:val="center"/>
                </w:tcPr>
                <w:p>
                  <w:pPr>
                    <w:spacing w:line="280" w:lineRule="exact"/>
                    <w:jc w:val="center"/>
                    <w:rPr>
                      <w:color w:val="auto"/>
                      <w:szCs w:val="21"/>
                    </w:rPr>
                  </w:pPr>
                  <w:r>
                    <w:rPr>
                      <w:color w:val="auto"/>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restart"/>
                  <w:vAlign w:val="center"/>
                </w:tcPr>
                <w:p>
                  <w:pPr>
                    <w:spacing w:line="280" w:lineRule="exact"/>
                    <w:jc w:val="center"/>
                    <w:rPr>
                      <w:color w:val="auto"/>
                      <w:szCs w:val="21"/>
                    </w:rPr>
                  </w:pPr>
                  <w:r>
                    <w:rPr>
                      <w:rFonts w:hint="eastAsia"/>
                      <w:color w:val="auto"/>
                      <w:szCs w:val="21"/>
                      <w:lang w:val="en-US" w:eastAsia="zh-CN"/>
                    </w:rPr>
                    <w:t>运营期</w:t>
                  </w:r>
                  <w:r>
                    <w:rPr>
                      <w:color w:val="auto"/>
                      <w:szCs w:val="21"/>
                    </w:rPr>
                    <w:t>废气</w:t>
                  </w:r>
                </w:p>
              </w:tc>
              <w:tc>
                <w:tcPr>
                  <w:tcW w:w="540" w:type="pct"/>
                  <w:vMerge w:val="restart"/>
                  <w:vAlign w:val="center"/>
                </w:tcPr>
                <w:p>
                  <w:pPr>
                    <w:spacing w:line="280" w:lineRule="exact"/>
                    <w:jc w:val="center"/>
                    <w:rPr>
                      <w:bCs/>
                      <w:color w:val="auto"/>
                      <w:kern w:val="0"/>
                      <w:szCs w:val="21"/>
                    </w:rPr>
                  </w:pPr>
                  <w:r>
                    <w:rPr>
                      <w:rFonts w:hint="eastAsia"/>
                      <w:bCs/>
                      <w:color w:val="auto"/>
                      <w:kern w:val="0"/>
                      <w:szCs w:val="21"/>
                    </w:rPr>
                    <w:t>水分烘干、</w:t>
                  </w:r>
                  <w:r>
                    <w:rPr>
                      <w:bCs/>
                      <w:color w:val="auto"/>
                      <w:kern w:val="0"/>
                      <w:szCs w:val="21"/>
                    </w:rPr>
                    <w:t>固化工序</w:t>
                  </w:r>
                </w:p>
                <w:p>
                  <w:pPr>
                    <w:spacing w:line="280" w:lineRule="exact"/>
                    <w:jc w:val="center"/>
                    <w:rPr>
                      <w:color w:val="auto"/>
                      <w:szCs w:val="21"/>
                    </w:rPr>
                  </w:pPr>
                  <w:r>
                    <w:rPr>
                      <w:bCs/>
                      <w:color w:val="auto"/>
                      <w:kern w:val="0"/>
                      <w:szCs w:val="21"/>
                    </w:rPr>
                    <w:t>天然气燃烧</w:t>
                  </w:r>
                </w:p>
              </w:tc>
              <w:tc>
                <w:tcPr>
                  <w:tcW w:w="589" w:type="pct"/>
                  <w:vAlign w:val="center"/>
                </w:tcPr>
                <w:p>
                  <w:pPr>
                    <w:adjustRightInd w:val="0"/>
                    <w:snapToGrid w:val="0"/>
                    <w:spacing w:line="280" w:lineRule="exact"/>
                    <w:jc w:val="center"/>
                    <w:rPr>
                      <w:color w:val="auto"/>
                      <w:szCs w:val="21"/>
                    </w:rPr>
                  </w:pPr>
                  <w:r>
                    <w:rPr>
                      <w:color w:val="auto"/>
                      <w:szCs w:val="21"/>
                    </w:rPr>
                    <w:t>SO</w:t>
                  </w:r>
                  <w:r>
                    <w:rPr>
                      <w:color w:val="auto"/>
                      <w:szCs w:val="21"/>
                      <w:vertAlign w:val="subscript"/>
                    </w:rPr>
                    <w:t>2</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400mg/m</w:t>
                  </w:r>
                  <w:r>
                    <w:rPr>
                      <w:color w:val="auto"/>
                      <w:szCs w:val="21"/>
                      <w:vertAlign w:val="superscript"/>
                    </w:rPr>
                    <w:t>3</w:t>
                  </w:r>
                </w:p>
              </w:tc>
              <w:tc>
                <w:tcPr>
                  <w:tcW w:w="2599" w:type="pct"/>
                  <w:vMerge w:val="restart"/>
                  <w:vAlign w:val="center"/>
                </w:tcPr>
                <w:p>
                  <w:pPr>
                    <w:adjustRightInd w:val="0"/>
                    <w:snapToGrid w:val="0"/>
                    <w:spacing w:line="280" w:lineRule="exact"/>
                    <w:jc w:val="center"/>
                    <w:rPr>
                      <w:bCs/>
                      <w:color w:val="auto"/>
                      <w:szCs w:val="21"/>
                    </w:rPr>
                  </w:pPr>
                  <w:r>
                    <w:rPr>
                      <w:bCs/>
                      <w:color w:val="auto"/>
                      <w:szCs w:val="21"/>
                    </w:rPr>
                    <w:t>《工业炉窑大气污染物排放标准》（DB13/1640-2012）表1表2限值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bCs/>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NO</w:t>
                  </w:r>
                  <w:r>
                    <w:rPr>
                      <w:color w:val="auto"/>
                      <w:szCs w:val="21"/>
                      <w:vertAlign w:val="subscript"/>
                    </w:rPr>
                    <w:t>X</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400mg/m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bCs/>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color w:val="auto"/>
                      <w:szCs w:val="21"/>
                    </w:rPr>
                    <w:t>50mg/m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szCs w:val="21"/>
                    </w:rPr>
                  </w:pPr>
                </w:p>
              </w:tc>
              <w:tc>
                <w:tcPr>
                  <w:tcW w:w="589" w:type="pct"/>
                  <w:vAlign w:val="center"/>
                </w:tcPr>
                <w:p>
                  <w:pPr>
                    <w:adjustRightInd w:val="0"/>
                    <w:snapToGrid w:val="0"/>
                    <w:spacing w:line="280" w:lineRule="exact"/>
                    <w:jc w:val="center"/>
                    <w:rPr>
                      <w:color w:val="auto"/>
                      <w:szCs w:val="21"/>
                    </w:rPr>
                  </w:pPr>
                  <w:r>
                    <w:rPr>
                      <w:color w:val="auto"/>
                      <w:szCs w:val="21"/>
                    </w:rPr>
                    <w:t>SO</w:t>
                  </w:r>
                  <w:r>
                    <w:rPr>
                      <w:color w:val="auto"/>
                      <w:szCs w:val="21"/>
                      <w:vertAlign w:val="subscript"/>
                    </w:rPr>
                    <w:t>2</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200mg/m</w:t>
                  </w:r>
                  <w:r>
                    <w:rPr>
                      <w:color w:val="auto"/>
                      <w:szCs w:val="21"/>
                      <w:vertAlign w:val="superscript"/>
                    </w:rPr>
                    <w:t>3</w:t>
                  </w:r>
                </w:p>
              </w:tc>
              <w:tc>
                <w:tcPr>
                  <w:tcW w:w="2599" w:type="pct"/>
                  <w:vMerge w:val="restart"/>
                  <w:vAlign w:val="center"/>
                </w:tcPr>
                <w:p>
                  <w:pPr>
                    <w:adjustRightInd w:val="0"/>
                    <w:snapToGrid w:val="0"/>
                    <w:spacing w:line="280" w:lineRule="exact"/>
                    <w:jc w:val="center"/>
                    <w:rPr>
                      <w:bCs/>
                      <w:color w:val="auto"/>
                      <w:szCs w:val="21"/>
                    </w:rPr>
                  </w:pPr>
                  <w:r>
                    <w:rPr>
                      <w:bCs/>
                      <w:color w:val="auto"/>
                      <w:szCs w:val="21"/>
                    </w:rPr>
                    <w:t>《工业炉窑大气污染综合治理方案》（环大气【2019】56号文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NO</w:t>
                  </w:r>
                  <w:r>
                    <w:rPr>
                      <w:color w:val="auto"/>
                      <w:szCs w:val="21"/>
                      <w:vertAlign w:val="subscript"/>
                    </w:rPr>
                    <w:t>X</w:t>
                  </w:r>
                  <w:r>
                    <w:rPr>
                      <w:color w:val="auto"/>
                      <w:szCs w:val="21"/>
                    </w:rPr>
                    <w:t xml:space="preserve"> </w:t>
                  </w:r>
                </w:p>
              </w:tc>
              <w:tc>
                <w:tcPr>
                  <w:tcW w:w="865" w:type="pct"/>
                  <w:vAlign w:val="center"/>
                </w:tcPr>
                <w:p>
                  <w:pPr>
                    <w:adjustRightInd w:val="0"/>
                    <w:snapToGrid w:val="0"/>
                    <w:spacing w:line="280" w:lineRule="exact"/>
                    <w:jc w:val="center"/>
                    <w:rPr>
                      <w:color w:val="auto"/>
                      <w:szCs w:val="21"/>
                    </w:rPr>
                  </w:pPr>
                  <w:r>
                    <w:rPr>
                      <w:color w:val="auto"/>
                      <w:szCs w:val="21"/>
                    </w:rPr>
                    <w:t>300mg/m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kern w:val="0"/>
                      <w:szCs w:val="21"/>
                    </w:rPr>
                  </w:pPr>
                </w:p>
              </w:tc>
              <w:tc>
                <w:tcPr>
                  <w:tcW w:w="589" w:type="pct"/>
                  <w:vAlign w:val="center"/>
                </w:tcPr>
                <w:p>
                  <w:pPr>
                    <w:adjustRightInd w:val="0"/>
                    <w:snapToGrid w:val="0"/>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color w:val="auto"/>
                      <w:szCs w:val="21"/>
                    </w:rPr>
                    <w:t>30mg/m</w:t>
                  </w:r>
                  <w:r>
                    <w:rPr>
                      <w:color w:val="auto"/>
                      <w:szCs w:val="21"/>
                      <w:vertAlign w:val="superscript"/>
                    </w:rPr>
                    <w:t>3</w:t>
                  </w:r>
                </w:p>
              </w:tc>
              <w:tc>
                <w:tcPr>
                  <w:tcW w:w="2599" w:type="pct"/>
                  <w:vMerge w:val="continue"/>
                  <w:vAlign w:val="center"/>
                </w:tcPr>
                <w:p>
                  <w:pPr>
                    <w:adjustRightInd w:val="0"/>
                    <w:snapToGrid w:val="0"/>
                    <w:spacing w:line="280" w:lineRule="exact"/>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color w:val="auto"/>
                      <w:kern w:val="0"/>
                      <w:szCs w:val="21"/>
                    </w:rPr>
                  </w:pPr>
                </w:p>
              </w:tc>
              <w:tc>
                <w:tcPr>
                  <w:tcW w:w="589" w:type="pct"/>
                  <w:vAlign w:val="center"/>
                </w:tcPr>
                <w:p>
                  <w:pPr>
                    <w:spacing w:line="280" w:lineRule="exact"/>
                    <w:jc w:val="center"/>
                    <w:rPr>
                      <w:color w:val="auto"/>
                      <w:szCs w:val="21"/>
                    </w:rPr>
                  </w:pPr>
                  <w:r>
                    <w:rPr>
                      <w:color w:val="auto"/>
                      <w:kern w:val="0"/>
                      <w:szCs w:val="21"/>
                    </w:rPr>
                    <w:t>非甲烷总烃（有组织）</w:t>
                  </w:r>
                </w:p>
              </w:tc>
              <w:tc>
                <w:tcPr>
                  <w:tcW w:w="865" w:type="pct"/>
                  <w:vAlign w:val="center"/>
                </w:tcPr>
                <w:p>
                  <w:pPr>
                    <w:adjustRightInd w:val="0"/>
                    <w:snapToGrid w:val="0"/>
                    <w:spacing w:line="280" w:lineRule="exact"/>
                    <w:jc w:val="center"/>
                    <w:rPr>
                      <w:color w:val="auto"/>
                      <w:szCs w:val="21"/>
                    </w:rPr>
                  </w:pPr>
                  <w:r>
                    <w:rPr>
                      <w:color w:val="auto"/>
                      <w:szCs w:val="21"/>
                    </w:rPr>
                    <w:t>60mg/m</w:t>
                  </w:r>
                  <w:r>
                    <w:rPr>
                      <w:color w:val="auto"/>
                      <w:szCs w:val="21"/>
                      <w:vertAlign w:val="superscript"/>
                    </w:rPr>
                    <w:t>3</w:t>
                  </w:r>
                  <w:r>
                    <w:rPr>
                      <w:color w:val="auto"/>
                      <w:szCs w:val="21"/>
                    </w:rPr>
                    <w:t>；最低去除率70%</w:t>
                  </w:r>
                </w:p>
              </w:tc>
              <w:tc>
                <w:tcPr>
                  <w:tcW w:w="2599" w:type="pct"/>
                  <w:vAlign w:val="center"/>
                </w:tcPr>
                <w:p>
                  <w:pPr>
                    <w:adjustRightInd w:val="0"/>
                    <w:snapToGrid w:val="0"/>
                    <w:spacing w:line="280" w:lineRule="exact"/>
                    <w:jc w:val="center"/>
                    <w:rPr>
                      <w:bCs/>
                      <w:color w:val="auto"/>
                      <w:szCs w:val="21"/>
                    </w:rPr>
                  </w:pPr>
                  <w:r>
                    <w:rPr>
                      <w:bCs/>
                      <w:color w:val="auto"/>
                      <w:szCs w:val="21"/>
                    </w:rPr>
                    <w:t>《工业企业挥发性有机物排放控制标准》(DB13/2322-2016)表1表面涂装业有机废气排放口排放要求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Align w:val="center"/>
                </w:tcPr>
                <w:p>
                  <w:pPr>
                    <w:spacing w:line="280" w:lineRule="exact"/>
                    <w:jc w:val="center"/>
                    <w:rPr>
                      <w:color w:val="auto"/>
                      <w:kern w:val="0"/>
                      <w:szCs w:val="21"/>
                    </w:rPr>
                  </w:pPr>
                  <w:r>
                    <w:rPr>
                      <w:rFonts w:hint="eastAsia"/>
                      <w:color w:val="auto"/>
                      <w:kern w:val="0"/>
                      <w:szCs w:val="21"/>
                    </w:rPr>
                    <w:t>切割、打孔、焊接废气</w:t>
                  </w:r>
                </w:p>
              </w:tc>
              <w:tc>
                <w:tcPr>
                  <w:tcW w:w="589" w:type="pct"/>
                  <w:vAlign w:val="center"/>
                </w:tcPr>
                <w:p>
                  <w:pPr>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color w:val="auto"/>
                      <w:szCs w:val="21"/>
                    </w:rPr>
                    <w:t>120mg/m</w:t>
                  </w:r>
                  <w:r>
                    <w:rPr>
                      <w:color w:val="auto"/>
                      <w:szCs w:val="21"/>
                      <w:vertAlign w:val="superscript"/>
                    </w:rPr>
                    <w:t>3</w:t>
                  </w:r>
                  <w:r>
                    <w:rPr>
                      <w:color w:val="auto"/>
                      <w:szCs w:val="21"/>
                    </w:rPr>
                    <w:t>；3.5kg/h</w:t>
                  </w:r>
                </w:p>
              </w:tc>
              <w:tc>
                <w:tcPr>
                  <w:tcW w:w="2599" w:type="pct"/>
                  <w:vAlign w:val="center"/>
                </w:tcPr>
                <w:p>
                  <w:pPr>
                    <w:adjustRightInd w:val="0"/>
                    <w:snapToGrid w:val="0"/>
                    <w:spacing w:line="280" w:lineRule="exact"/>
                    <w:jc w:val="center"/>
                    <w:rPr>
                      <w:bCs/>
                      <w:color w:val="auto"/>
                      <w:szCs w:val="21"/>
                    </w:rPr>
                  </w:pPr>
                  <w:r>
                    <w:rPr>
                      <w:bCs/>
                      <w:color w:val="auto"/>
                      <w:szCs w:val="21"/>
                    </w:rPr>
                    <w:t>《大气污染物综合排放标准》（GB16297-1996）表2其他行业颗粒物二级标准限值要求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Align w:val="center"/>
                </w:tcPr>
                <w:p>
                  <w:pPr>
                    <w:spacing w:line="280" w:lineRule="exact"/>
                    <w:jc w:val="center"/>
                    <w:rPr>
                      <w:color w:val="auto"/>
                      <w:kern w:val="0"/>
                      <w:szCs w:val="21"/>
                    </w:rPr>
                  </w:pPr>
                  <w:r>
                    <w:rPr>
                      <w:rFonts w:hint="eastAsia"/>
                      <w:color w:val="auto"/>
                      <w:kern w:val="0"/>
                      <w:szCs w:val="21"/>
                    </w:rPr>
                    <w:t>喷涂废气</w:t>
                  </w:r>
                </w:p>
              </w:tc>
              <w:tc>
                <w:tcPr>
                  <w:tcW w:w="589" w:type="pct"/>
                  <w:vAlign w:val="center"/>
                </w:tcPr>
                <w:p>
                  <w:pPr>
                    <w:spacing w:line="280" w:lineRule="exact"/>
                    <w:jc w:val="center"/>
                    <w:rPr>
                      <w:color w:val="auto"/>
                      <w:szCs w:val="21"/>
                    </w:rPr>
                  </w:pPr>
                  <w:r>
                    <w:rPr>
                      <w:color w:val="auto"/>
                      <w:szCs w:val="21"/>
                    </w:rPr>
                    <w:t>颗粒物</w:t>
                  </w:r>
                </w:p>
              </w:tc>
              <w:tc>
                <w:tcPr>
                  <w:tcW w:w="865" w:type="pct"/>
                  <w:vAlign w:val="center"/>
                </w:tcPr>
                <w:p>
                  <w:pPr>
                    <w:adjustRightInd w:val="0"/>
                    <w:snapToGrid w:val="0"/>
                    <w:spacing w:line="280" w:lineRule="exact"/>
                    <w:jc w:val="center"/>
                    <w:rPr>
                      <w:color w:val="auto"/>
                      <w:szCs w:val="21"/>
                    </w:rPr>
                  </w:pPr>
                  <w:r>
                    <w:rPr>
                      <w:rFonts w:hint="eastAsia"/>
                      <w:color w:val="auto"/>
                      <w:szCs w:val="21"/>
                    </w:rPr>
                    <w:t>18</w:t>
                  </w:r>
                  <w:r>
                    <w:rPr>
                      <w:color w:val="auto"/>
                      <w:szCs w:val="21"/>
                    </w:rPr>
                    <w:t>mg/m</w:t>
                  </w:r>
                  <w:r>
                    <w:rPr>
                      <w:color w:val="auto"/>
                      <w:szCs w:val="21"/>
                      <w:vertAlign w:val="superscript"/>
                    </w:rPr>
                    <w:t>3</w:t>
                  </w:r>
                  <w:r>
                    <w:rPr>
                      <w:color w:val="auto"/>
                      <w:szCs w:val="21"/>
                    </w:rPr>
                    <w:t>；</w:t>
                  </w:r>
                  <w:r>
                    <w:rPr>
                      <w:rFonts w:hint="eastAsia"/>
                      <w:color w:val="auto"/>
                      <w:szCs w:val="21"/>
                    </w:rPr>
                    <w:t>0.51</w:t>
                  </w:r>
                  <w:r>
                    <w:rPr>
                      <w:color w:val="auto"/>
                      <w:szCs w:val="21"/>
                    </w:rPr>
                    <w:t>kg/h</w:t>
                  </w:r>
                </w:p>
              </w:tc>
              <w:tc>
                <w:tcPr>
                  <w:tcW w:w="2599" w:type="pct"/>
                  <w:vAlign w:val="center"/>
                </w:tcPr>
                <w:p>
                  <w:pPr>
                    <w:adjustRightInd w:val="0"/>
                    <w:snapToGrid w:val="0"/>
                    <w:spacing w:line="280" w:lineRule="exact"/>
                    <w:jc w:val="center"/>
                    <w:rPr>
                      <w:bCs/>
                      <w:color w:val="auto"/>
                      <w:szCs w:val="21"/>
                    </w:rPr>
                  </w:pPr>
                  <w:r>
                    <w:rPr>
                      <w:bCs/>
                      <w:color w:val="auto"/>
                      <w:szCs w:val="21"/>
                    </w:rPr>
                    <w:t>《大气污染物综合排放标准》（GB16297-1996）表2</w:t>
                  </w:r>
                  <w:r>
                    <w:rPr>
                      <w:rFonts w:hint="eastAsia"/>
                      <w:bCs/>
                      <w:color w:val="auto"/>
                      <w:szCs w:val="21"/>
                    </w:rPr>
                    <w:t>染料尘</w:t>
                  </w:r>
                  <w:r>
                    <w:rPr>
                      <w:bCs/>
                      <w:color w:val="auto"/>
                      <w:szCs w:val="21"/>
                    </w:rPr>
                    <w:t>二级标准限值要求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restart"/>
                  <w:vAlign w:val="center"/>
                </w:tcPr>
                <w:p>
                  <w:pPr>
                    <w:spacing w:line="280" w:lineRule="exact"/>
                    <w:jc w:val="center"/>
                    <w:rPr>
                      <w:color w:val="auto"/>
                      <w:kern w:val="0"/>
                      <w:szCs w:val="21"/>
                    </w:rPr>
                  </w:pPr>
                  <w:r>
                    <w:rPr>
                      <w:rFonts w:hint="eastAsia"/>
                      <w:color w:val="auto"/>
                      <w:kern w:val="0"/>
                      <w:szCs w:val="21"/>
                    </w:rPr>
                    <w:t>无组织废气</w:t>
                  </w:r>
                </w:p>
              </w:tc>
              <w:tc>
                <w:tcPr>
                  <w:tcW w:w="589" w:type="pct"/>
                  <w:vAlign w:val="center"/>
                </w:tcPr>
                <w:p>
                  <w:pPr>
                    <w:spacing w:line="280" w:lineRule="exact"/>
                    <w:jc w:val="center"/>
                    <w:rPr>
                      <w:color w:val="auto"/>
                      <w:szCs w:val="21"/>
                    </w:rPr>
                  </w:pPr>
                  <w:r>
                    <w:rPr>
                      <w:color w:val="auto"/>
                      <w:kern w:val="0"/>
                      <w:szCs w:val="21"/>
                    </w:rPr>
                    <w:t>非甲烷总烃</w:t>
                  </w:r>
                </w:p>
              </w:tc>
              <w:tc>
                <w:tcPr>
                  <w:tcW w:w="865" w:type="pct"/>
                  <w:vAlign w:val="center"/>
                </w:tcPr>
                <w:p>
                  <w:pPr>
                    <w:adjustRightInd w:val="0"/>
                    <w:snapToGrid w:val="0"/>
                    <w:spacing w:line="280" w:lineRule="exact"/>
                    <w:jc w:val="center"/>
                    <w:rPr>
                      <w:color w:val="auto"/>
                      <w:szCs w:val="21"/>
                    </w:rPr>
                  </w:pPr>
                  <w:r>
                    <w:rPr>
                      <w:color w:val="auto"/>
                      <w:szCs w:val="21"/>
                    </w:rPr>
                    <w:t>2.0mg/m</w:t>
                  </w:r>
                  <w:r>
                    <w:rPr>
                      <w:color w:val="auto"/>
                      <w:szCs w:val="21"/>
                      <w:vertAlign w:val="superscript"/>
                    </w:rPr>
                    <w:t>3</w:t>
                  </w:r>
                </w:p>
              </w:tc>
              <w:tc>
                <w:tcPr>
                  <w:tcW w:w="2599" w:type="pct"/>
                  <w:vAlign w:val="center"/>
                </w:tcPr>
                <w:p>
                  <w:pPr>
                    <w:adjustRightInd w:val="0"/>
                    <w:snapToGrid w:val="0"/>
                    <w:spacing w:line="280" w:lineRule="exact"/>
                    <w:jc w:val="center"/>
                    <w:rPr>
                      <w:bCs/>
                      <w:color w:val="auto"/>
                      <w:szCs w:val="21"/>
                    </w:rPr>
                  </w:pPr>
                  <w:r>
                    <w:rPr>
                      <w:bCs/>
                      <w:color w:val="auto"/>
                      <w:szCs w:val="21"/>
                    </w:rPr>
                    <w:t>《工业企业挥发性有机物排放控制标准》(DB13/2322-2016)表</w:t>
                  </w:r>
                  <w:r>
                    <w:rPr>
                      <w:rFonts w:hint="eastAsia"/>
                      <w:bCs/>
                      <w:color w:val="auto"/>
                      <w:szCs w:val="21"/>
                    </w:rPr>
                    <w:t>2其他企业边界限值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Merge w:val="continue"/>
                  <w:vAlign w:val="center"/>
                </w:tcPr>
                <w:p>
                  <w:pPr>
                    <w:spacing w:line="280" w:lineRule="exact"/>
                    <w:jc w:val="center"/>
                    <w:rPr>
                      <w:color w:val="auto"/>
                      <w:szCs w:val="21"/>
                    </w:rPr>
                  </w:pPr>
                </w:p>
              </w:tc>
              <w:tc>
                <w:tcPr>
                  <w:tcW w:w="540" w:type="pct"/>
                  <w:vMerge w:val="continue"/>
                  <w:vAlign w:val="center"/>
                </w:tcPr>
                <w:p>
                  <w:pPr>
                    <w:spacing w:line="280" w:lineRule="exact"/>
                    <w:jc w:val="center"/>
                    <w:rPr>
                      <w:rFonts w:hint="eastAsia"/>
                      <w:color w:val="auto"/>
                      <w:kern w:val="0"/>
                      <w:szCs w:val="21"/>
                    </w:rPr>
                  </w:pPr>
                </w:p>
              </w:tc>
              <w:tc>
                <w:tcPr>
                  <w:tcW w:w="589" w:type="pct"/>
                  <w:vAlign w:val="center"/>
                </w:tcPr>
                <w:p>
                  <w:pPr>
                    <w:spacing w:line="280" w:lineRule="exact"/>
                    <w:jc w:val="center"/>
                    <w:rPr>
                      <w:rFonts w:hint="eastAsia" w:eastAsia="宋体"/>
                      <w:color w:val="auto"/>
                      <w:kern w:val="0"/>
                      <w:szCs w:val="21"/>
                      <w:lang w:val="en-US" w:eastAsia="zh-CN"/>
                    </w:rPr>
                  </w:pPr>
                  <w:r>
                    <w:rPr>
                      <w:rFonts w:hint="eastAsia"/>
                      <w:color w:val="auto"/>
                      <w:kern w:val="0"/>
                      <w:szCs w:val="21"/>
                      <w:lang w:val="en-US" w:eastAsia="zh-CN"/>
                    </w:rPr>
                    <w:t>颗粒物</w:t>
                  </w:r>
                </w:p>
              </w:tc>
              <w:tc>
                <w:tcPr>
                  <w:tcW w:w="865" w:type="pct"/>
                  <w:vAlign w:val="center"/>
                </w:tcPr>
                <w:p>
                  <w:pPr>
                    <w:adjustRightInd w:val="0"/>
                    <w:snapToGrid w:val="0"/>
                    <w:spacing w:line="280" w:lineRule="exact"/>
                    <w:jc w:val="center"/>
                    <w:rPr>
                      <w:color w:val="auto"/>
                      <w:szCs w:val="21"/>
                    </w:rPr>
                  </w:pPr>
                  <w:r>
                    <w:rPr>
                      <w:rFonts w:hint="eastAsia"/>
                      <w:color w:val="auto"/>
                      <w:szCs w:val="21"/>
                      <w:lang w:val="en-US" w:eastAsia="zh-CN"/>
                    </w:rPr>
                    <w:t>1</w:t>
                  </w:r>
                  <w:r>
                    <w:rPr>
                      <w:color w:val="auto"/>
                      <w:szCs w:val="21"/>
                    </w:rPr>
                    <w:t>.0mg/m</w:t>
                  </w:r>
                  <w:r>
                    <w:rPr>
                      <w:color w:val="auto"/>
                      <w:szCs w:val="21"/>
                      <w:vertAlign w:val="superscript"/>
                    </w:rPr>
                    <w:t>3</w:t>
                  </w:r>
                </w:p>
              </w:tc>
              <w:tc>
                <w:tcPr>
                  <w:tcW w:w="2599" w:type="pct"/>
                  <w:vAlign w:val="center"/>
                </w:tcPr>
                <w:p>
                  <w:pPr>
                    <w:adjustRightInd w:val="0"/>
                    <w:snapToGrid w:val="0"/>
                    <w:spacing w:line="280" w:lineRule="exact"/>
                    <w:jc w:val="center"/>
                    <w:rPr>
                      <w:bCs/>
                      <w:color w:val="auto"/>
                      <w:szCs w:val="21"/>
                    </w:rPr>
                  </w:pPr>
                  <w:r>
                    <w:rPr>
                      <w:bCs/>
                      <w:color w:val="auto"/>
                      <w:szCs w:val="21"/>
                    </w:rPr>
                    <w:t>《大气污染物综合排放标准》（GB16297-1996）表2其他行业</w:t>
                  </w:r>
                  <w:r>
                    <w:rPr>
                      <w:rFonts w:hint="eastAsia"/>
                      <w:bCs/>
                      <w:color w:val="auto"/>
                      <w:szCs w:val="21"/>
                    </w:rPr>
                    <w:t>无组织排放监控浓度限值要求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Align w:val="center"/>
                </w:tcPr>
                <w:p>
                  <w:pPr>
                    <w:spacing w:line="280" w:lineRule="exact"/>
                    <w:jc w:val="center"/>
                    <w:rPr>
                      <w:rFonts w:hint="default" w:eastAsia="宋体"/>
                      <w:color w:val="auto"/>
                      <w:szCs w:val="21"/>
                      <w:lang w:val="en-US" w:eastAsia="zh-CN"/>
                    </w:rPr>
                  </w:pPr>
                  <w:r>
                    <w:rPr>
                      <w:rFonts w:hint="eastAsia"/>
                      <w:color w:val="auto"/>
                      <w:szCs w:val="21"/>
                      <w:lang w:val="en-US" w:eastAsia="zh-CN"/>
                    </w:rPr>
                    <w:t>施工期废气</w:t>
                  </w:r>
                </w:p>
              </w:tc>
              <w:tc>
                <w:tcPr>
                  <w:tcW w:w="868" w:type="dxa"/>
                  <w:vAlign w:val="center"/>
                </w:tcPr>
                <w:p>
                  <w:pPr>
                    <w:jc w:val="center"/>
                    <w:rPr>
                      <w:rFonts w:hint="eastAsia"/>
                      <w:color w:val="auto"/>
                      <w:kern w:val="0"/>
                      <w:szCs w:val="21"/>
                    </w:rPr>
                  </w:pPr>
                  <w:r>
                    <w:rPr>
                      <w:color w:val="auto"/>
                      <w:szCs w:val="21"/>
                    </w:rPr>
                    <w:t>施工扬尘</w:t>
                  </w:r>
                </w:p>
              </w:tc>
              <w:tc>
                <w:tcPr>
                  <w:tcW w:w="947" w:type="dxa"/>
                  <w:vAlign w:val="center"/>
                </w:tcPr>
                <w:p>
                  <w:pPr>
                    <w:jc w:val="center"/>
                    <w:rPr>
                      <w:rFonts w:hint="eastAsia"/>
                      <w:color w:val="auto"/>
                      <w:kern w:val="0"/>
                      <w:szCs w:val="21"/>
                      <w:lang w:val="en-US" w:eastAsia="zh-CN"/>
                    </w:rPr>
                  </w:pPr>
                  <w:r>
                    <w:rPr>
                      <w:color w:val="auto"/>
                      <w:szCs w:val="21"/>
                    </w:rPr>
                    <w:t>颗粒物</w:t>
                  </w:r>
                </w:p>
              </w:tc>
              <w:tc>
                <w:tcPr>
                  <w:tcW w:w="1390" w:type="dxa"/>
                  <w:vAlign w:val="center"/>
                </w:tcPr>
                <w:p>
                  <w:pPr>
                    <w:jc w:val="center"/>
                    <w:rPr>
                      <w:rFonts w:hint="eastAsia"/>
                      <w:color w:val="auto"/>
                      <w:szCs w:val="21"/>
                      <w:lang w:val="en-US" w:eastAsia="zh-CN"/>
                    </w:rPr>
                  </w:pPr>
                  <w:r>
                    <w:rPr>
                      <w:bCs/>
                      <w:color w:val="auto"/>
                      <w:szCs w:val="21"/>
                    </w:rPr>
                    <w:t>≤</w:t>
                  </w:r>
                  <w:r>
                    <w:rPr>
                      <w:bCs/>
                      <w:snapToGrid w:val="0"/>
                      <w:color w:val="auto"/>
                      <w:szCs w:val="21"/>
                    </w:rPr>
                    <w:t>80</w:t>
                  </w:r>
                  <w:r>
                    <w:rPr>
                      <w:bCs/>
                      <w:color w:val="auto"/>
                      <w:szCs w:val="21"/>
                    </w:rPr>
                    <w:t>μg/m</w:t>
                  </w:r>
                  <w:r>
                    <w:rPr>
                      <w:bCs/>
                      <w:color w:val="auto"/>
                      <w:szCs w:val="21"/>
                      <w:vertAlign w:val="superscript"/>
                    </w:rPr>
                    <w:t>3</w:t>
                  </w:r>
                </w:p>
              </w:tc>
              <w:tc>
                <w:tcPr>
                  <w:tcW w:w="4177" w:type="dxa"/>
                  <w:vAlign w:val="center"/>
                </w:tcPr>
                <w:p>
                  <w:pPr>
                    <w:jc w:val="center"/>
                    <w:rPr>
                      <w:bCs/>
                      <w:color w:val="auto"/>
                      <w:szCs w:val="21"/>
                    </w:rPr>
                  </w:pPr>
                  <w:r>
                    <w:rPr>
                      <w:bCs/>
                      <w:color w:val="auto"/>
                      <w:szCs w:val="21"/>
                    </w:rPr>
                    <w:t>《施工场地扬尘排放标准》（DB 13/ 2934-2019）</w:t>
                  </w:r>
                  <w:r>
                    <w:rPr>
                      <w:color w:val="auto"/>
                      <w:szCs w:val="21"/>
                    </w:rPr>
                    <w:t>表 1 标准要求</w:t>
                  </w:r>
                </w:p>
              </w:tc>
            </w:tr>
          </w:tbl>
          <w:p>
            <w:pPr>
              <w:spacing w:line="360" w:lineRule="auto"/>
              <w:ind w:firstLine="472" w:firstLineChars="200"/>
              <w:rPr>
                <w:rFonts w:eastAsiaTheme="minorEastAsia"/>
                <w:color w:val="auto"/>
                <w:sz w:val="24"/>
              </w:rPr>
            </w:pPr>
            <w:r>
              <w:rPr>
                <w:rFonts w:hint="eastAsia" w:eastAsiaTheme="minorEastAsia"/>
                <w:color w:val="auto"/>
                <w:sz w:val="24"/>
              </w:rPr>
              <w:t>2</w:t>
            </w:r>
            <w:r>
              <w:rPr>
                <w:rFonts w:hAnsiTheme="minorEastAsia" w:eastAsiaTheme="minorEastAsia"/>
                <w:color w:val="auto"/>
                <w:sz w:val="24"/>
              </w:rPr>
              <w:t>、噪声</w:t>
            </w:r>
          </w:p>
          <w:p>
            <w:pPr>
              <w:spacing w:line="360" w:lineRule="auto"/>
              <w:ind w:firstLine="472" w:firstLineChars="200"/>
              <w:rPr>
                <w:rFonts w:hAnsiTheme="minorEastAsia" w:eastAsiaTheme="minorEastAsia"/>
                <w:color w:val="auto"/>
                <w:sz w:val="24"/>
              </w:rPr>
            </w:pPr>
            <w:r>
              <w:rPr>
                <w:rFonts w:hAnsiTheme="minorEastAsia" w:eastAsiaTheme="minorEastAsia"/>
                <w:color w:val="auto"/>
                <w:sz w:val="24"/>
              </w:rPr>
              <w:t>施工期噪声执行《建筑施工场界环境噪声排放标准》</w:t>
            </w:r>
            <w:r>
              <w:rPr>
                <w:rFonts w:eastAsiaTheme="minorEastAsia"/>
                <w:color w:val="auto"/>
                <w:sz w:val="24"/>
              </w:rPr>
              <w:t>(GB12523-2011)</w:t>
            </w:r>
            <w:r>
              <w:rPr>
                <w:rFonts w:hint="eastAsia" w:eastAsiaTheme="minorEastAsia"/>
                <w:color w:val="auto"/>
                <w:sz w:val="24"/>
              </w:rPr>
              <w:t>标准限值</w:t>
            </w:r>
            <w:r>
              <w:rPr>
                <w:rFonts w:hAnsiTheme="minorEastAsia" w:eastAsiaTheme="minorEastAsia"/>
                <w:color w:val="auto"/>
                <w:sz w:val="24"/>
              </w:rPr>
              <w:t>；营运期厂界噪声执行《工业企业厂界环境噪声排放标准》</w:t>
            </w:r>
            <w:r>
              <w:rPr>
                <w:rFonts w:eastAsiaTheme="minorEastAsia"/>
                <w:color w:val="auto"/>
                <w:sz w:val="24"/>
              </w:rPr>
              <w:t>(GB12348-2008)</w:t>
            </w:r>
            <w:r>
              <w:rPr>
                <w:rFonts w:hAnsiTheme="minorEastAsia" w:eastAsiaTheme="minorEastAsia"/>
                <w:color w:val="auto"/>
                <w:sz w:val="24"/>
              </w:rPr>
              <w:t>中</w:t>
            </w:r>
            <w:r>
              <w:rPr>
                <w:rFonts w:hint="eastAsia" w:eastAsiaTheme="minorEastAsia"/>
                <w:color w:val="auto"/>
                <w:sz w:val="24"/>
              </w:rPr>
              <w:t>3</w:t>
            </w:r>
            <w:r>
              <w:rPr>
                <w:rFonts w:hAnsiTheme="minorEastAsia" w:eastAsiaTheme="minorEastAsia"/>
                <w:color w:val="auto"/>
                <w:sz w:val="24"/>
              </w:rPr>
              <w:t>类标准。</w:t>
            </w:r>
            <w:r>
              <w:rPr>
                <w:rFonts w:hint="eastAsia" w:hAnsiTheme="minorEastAsia" w:eastAsiaTheme="minorEastAsia"/>
                <w:color w:val="auto"/>
                <w:sz w:val="24"/>
              </w:rPr>
              <w:t>厂界噪声排放标准限值见表3-6。</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表3-6厂界噪声排放标准限值一览表</w:t>
            </w:r>
          </w:p>
          <w:tbl>
            <w:tblPr>
              <w:tblStyle w:val="19"/>
              <w:tblpPr w:leftFromText="181" w:rightFromText="181" w:vertAnchor="text" w:horzAnchor="page" w:tblpXSpec="center" w:tblpY="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867"/>
              <w:gridCol w:w="3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color w:val="auto"/>
                      <w:szCs w:val="21"/>
                    </w:rPr>
                    <w:t>项目</w:t>
                  </w:r>
                </w:p>
              </w:tc>
              <w:tc>
                <w:tcPr>
                  <w:tcW w:w="2867" w:type="dxa"/>
                  <w:vAlign w:val="center"/>
                </w:tcPr>
                <w:p>
                  <w:pPr>
                    <w:spacing w:line="240" w:lineRule="exact"/>
                    <w:jc w:val="center"/>
                    <w:rPr>
                      <w:color w:val="auto"/>
                      <w:szCs w:val="21"/>
                    </w:rPr>
                  </w:pPr>
                  <w:r>
                    <w:rPr>
                      <w:color w:val="auto"/>
                      <w:szCs w:val="21"/>
                    </w:rPr>
                    <w:t>标准值</w:t>
                  </w:r>
                </w:p>
              </w:tc>
              <w:tc>
                <w:tcPr>
                  <w:tcW w:w="3985" w:type="dxa"/>
                  <w:vAlign w:val="center"/>
                </w:tcPr>
                <w:p>
                  <w:pPr>
                    <w:spacing w:line="240" w:lineRule="exact"/>
                    <w:jc w:val="center"/>
                    <w:rPr>
                      <w:color w:val="auto"/>
                      <w:szCs w:val="21"/>
                    </w:rPr>
                  </w:pPr>
                  <w:r>
                    <w:rPr>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rFonts w:hint="eastAsia"/>
                      <w:color w:val="auto"/>
                      <w:szCs w:val="21"/>
                    </w:rPr>
                    <w:t>营运期</w:t>
                  </w:r>
                </w:p>
                <w:p>
                  <w:pPr>
                    <w:spacing w:line="240" w:lineRule="exact"/>
                    <w:jc w:val="center"/>
                    <w:rPr>
                      <w:color w:val="auto"/>
                      <w:szCs w:val="21"/>
                    </w:rPr>
                  </w:pPr>
                  <w:r>
                    <w:rPr>
                      <w:rFonts w:hint="eastAsia"/>
                      <w:color w:val="auto"/>
                      <w:szCs w:val="21"/>
                    </w:rPr>
                    <w:t>厂界噪声</w:t>
                  </w:r>
                </w:p>
              </w:tc>
              <w:tc>
                <w:tcPr>
                  <w:tcW w:w="2867" w:type="dxa"/>
                  <w:vAlign w:val="center"/>
                </w:tcPr>
                <w:p>
                  <w:pPr>
                    <w:spacing w:line="240" w:lineRule="exact"/>
                    <w:jc w:val="center"/>
                    <w:rPr>
                      <w:color w:val="auto"/>
                      <w:szCs w:val="21"/>
                    </w:rPr>
                  </w:pPr>
                  <w:r>
                    <w:rPr>
                      <w:color w:val="auto"/>
                      <w:szCs w:val="21"/>
                    </w:rPr>
                    <w:t>昼间≤</w:t>
                  </w:r>
                  <w:r>
                    <w:rPr>
                      <w:rFonts w:hint="eastAsia"/>
                      <w:color w:val="auto"/>
                      <w:szCs w:val="21"/>
                    </w:rPr>
                    <w:t>65</w:t>
                  </w:r>
                  <w:r>
                    <w:rPr>
                      <w:color w:val="auto"/>
                      <w:szCs w:val="21"/>
                    </w:rPr>
                    <w:t>dB(A)</w:t>
                  </w:r>
                </w:p>
                <w:p>
                  <w:pPr>
                    <w:spacing w:line="240" w:lineRule="exact"/>
                    <w:jc w:val="center"/>
                    <w:rPr>
                      <w:color w:val="auto"/>
                      <w:szCs w:val="21"/>
                    </w:rPr>
                  </w:pPr>
                  <w:r>
                    <w:rPr>
                      <w:color w:val="auto"/>
                      <w:szCs w:val="21"/>
                    </w:rPr>
                    <w:t>夜间≤</w:t>
                  </w:r>
                  <w:r>
                    <w:rPr>
                      <w:rFonts w:hint="eastAsia"/>
                      <w:color w:val="auto"/>
                      <w:szCs w:val="21"/>
                    </w:rPr>
                    <w:t>55</w:t>
                  </w:r>
                  <w:r>
                    <w:rPr>
                      <w:color w:val="auto"/>
                      <w:szCs w:val="21"/>
                    </w:rPr>
                    <w:t>dB(A)</w:t>
                  </w:r>
                </w:p>
              </w:tc>
              <w:tc>
                <w:tcPr>
                  <w:tcW w:w="3985" w:type="dxa"/>
                  <w:vAlign w:val="center"/>
                </w:tcPr>
                <w:p>
                  <w:pPr>
                    <w:spacing w:line="240" w:lineRule="exact"/>
                    <w:jc w:val="center"/>
                    <w:rPr>
                      <w:color w:val="auto"/>
                      <w:szCs w:val="21"/>
                    </w:rPr>
                  </w:pPr>
                  <w:r>
                    <w:rPr>
                      <w:color w:val="auto"/>
                      <w:szCs w:val="21"/>
                    </w:rPr>
                    <w:t>《工业企业厂界环境噪声排放标准》(GB12348-2008)</w:t>
                  </w:r>
                  <w:r>
                    <w:rPr>
                      <w:rFonts w:hint="eastAsia"/>
                      <w:color w:val="auto"/>
                      <w:szCs w:val="21"/>
                    </w:rPr>
                    <w:t>3</w:t>
                  </w:r>
                  <w:r>
                    <w:rPr>
                      <w:color w:val="auto"/>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0" w:type="dxa"/>
                  <w:vAlign w:val="center"/>
                </w:tcPr>
                <w:p>
                  <w:pPr>
                    <w:spacing w:line="240" w:lineRule="exact"/>
                    <w:jc w:val="center"/>
                    <w:rPr>
                      <w:color w:val="auto"/>
                      <w:szCs w:val="21"/>
                    </w:rPr>
                  </w:pPr>
                  <w:r>
                    <w:rPr>
                      <w:rFonts w:hint="eastAsia"/>
                      <w:color w:val="auto"/>
                      <w:szCs w:val="21"/>
                    </w:rPr>
                    <w:t>施工期</w:t>
                  </w:r>
                </w:p>
              </w:tc>
              <w:tc>
                <w:tcPr>
                  <w:tcW w:w="2867" w:type="dxa"/>
                  <w:vAlign w:val="center"/>
                </w:tcPr>
                <w:p>
                  <w:pPr>
                    <w:spacing w:line="240" w:lineRule="exact"/>
                    <w:jc w:val="center"/>
                    <w:rPr>
                      <w:color w:val="auto"/>
                      <w:szCs w:val="21"/>
                    </w:rPr>
                  </w:pPr>
                  <w:r>
                    <w:rPr>
                      <w:color w:val="auto"/>
                      <w:szCs w:val="21"/>
                    </w:rPr>
                    <w:t>昼间≤70dB（A）</w:t>
                  </w:r>
                </w:p>
                <w:p>
                  <w:pPr>
                    <w:spacing w:line="240" w:lineRule="exact"/>
                    <w:jc w:val="center"/>
                    <w:rPr>
                      <w:color w:val="auto"/>
                      <w:szCs w:val="21"/>
                    </w:rPr>
                  </w:pPr>
                  <w:r>
                    <w:rPr>
                      <w:color w:val="auto"/>
                      <w:szCs w:val="21"/>
                    </w:rPr>
                    <w:t>夜间≤55dB（A）</w:t>
                  </w:r>
                </w:p>
              </w:tc>
              <w:tc>
                <w:tcPr>
                  <w:tcW w:w="3985" w:type="dxa"/>
                  <w:vAlign w:val="center"/>
                </w:tcPr>
                <w:p>
                  <w:pPr>
                    <w:spacing w:line="240" w:lineRule="exact"/>
                    <w:jc w:val="center"/>
                    <w:rPr>
                      <w:color w:val="auto"/>
                      <w:szCs w:val="21"/>
                    </w:rPr>
                  </w:pPr>
                  <w:r>
                    <w:rPr>
                      <w:color w:val="auto"/>
                      <w:szCs w:val="21"/>
                    </w:rPr>
                    <w:t>《建筑施工场界环境噪声排放标准》(GB12523-2011)</w:t>
                  </w:r>
                </w:p>
              </w:tc>
            </w:tr>
          </w:tbl>
          <w:p>
            <w:pPr>
              <w:spacing w:line="360" w:lineRule="auto"/>
              <w:ind w:firstLine="472" w:firstLineChars="200"/>
              <w:rPr>
                <w:rFonts w:eastAsiaTheme="minorEastAsia"/>
                <w:color w:val="auto"/>
                <w:sz w:val="24"/>
              </w:rPr>
            </w:pPr>
            <w:r>
              <w:rPr>
                <w:rFonts w:hint="eastAsia" w:eastAsiaTheme="minorEastAsia"/>
                <w:color w:val="auto"/>
                <w:sz w:val="24"/>
              </w:rPr>
              <w:t>3、废水</w:t>
            </w:r>
          </w:p>
          <w:p>
            <w:pPr>
              <w:spacing w:line="360" w:lineRule="auto"/>
              <w:ind w:firstLine="472" w:firstLineChars="200"/>
              <w:rPr>
                <w:rFonts w:eastAsiaTheme="minorEastAsia"/>
                <w:color w:val="auto"/>
                <w:sz w:val="24"/>
              </w:rPr>
            </w:pPr>
            <w:r>
              <w:rPr>
                <w:rFonts w:hint="eastAsia" w:eastAsiaTheme="minorEastAsia"/>
                <w:color w:val="auto"/>
                <w:sz w:val="24"/>
              </w:rPr>
              <w:t>废水执行《污水综合排放标准》（GB 8978-1996）中三级标准，同时满足魏县经济开发区污水处理厂进水指标要求。</w:t>
            </w:r>
          </w:p>
          <w:p>
            <w:pPr>
              <w:adjustRightInd w:val="0"/>
              <w:snapToGrid w:val="0"/>
              <w:spacing w:line="360" w:lineRule="auto"/>
              <w:ind w:firstLine="472" w:firstLineChars="200"/>
              <w:jc w:val="center"/>
              <w:rPr>
                <w:rFonts w:hAnsiTheme="minorEastAsia" w:eastAsiaTheme="minorEastAsia"/>
                <w:b/>
                <w:bCs/>
                <w:color w:val="auto"/>
                <w:sz w:val="24"/>
              </w:rPr>
            </w:pPr>
            <w:r>
              <w:rPr>
                <w:rFonts w:hint="eastAsia" w:hAnsiTheme="minorEastAsia" w:eastAsiaTheme="minorEastAsia"/>
                <w:b/>
                <w:bCs/>
                <w:color w:val="auto"/>
                <w:sz w:val="24"/>
              </w:rPr>
              <w:t>表3-7废水排放标准限值一览表</w:t>
            </w:r>
          </w:p>
          <w:tbl>
            <w:tblPr>
              <w:tblStyle w:val="19"/>
              <w:tblW w:w="477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1895"/>
              <w:gridCol w:w="2061"/>
              <w:gridCol w:w="29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1" w:hRule="atLeast"/>
                <w:jc w:val="center"/>
              </w:trPr>
              <w:tc>
                <w:tcPr>
                  <w:tcW w:w="811"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污染源</w:t>
                  </w:r>
                </w:p>
              </w:tc>
              <w:tc>
                <w:tcPr>
                  <w:tcW w:w="1895"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污染物</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标准值</w:t>
                  </w:r>
                </w:p>
              </w:tc>
              <w:tc>
                <w:tcPr>
                  <w:tcW w:w="2905" w:type="dxa"/>
                  <w:tcBorders>
                    <w:tl2br w:val="nil"/>
                    <w:tr2bl w:val="nil"/>
                  </w:tcBorders>
                  <w:vAlign w:val="center"/>
                </w:tcPr>
                <w:p>
                  <w:pPr>
                    <w:pStyle w:val="16"/>
                    <w:adjustRightInd w:val="0"/>
                    <w:snapToGrid w:val="0"/>
                    <w:spacing w:before="0" w:beforeAutospacing="0" w:after="0" w:afterAutospacing="0" w:line="360" w:lineRule="exact"/>
                    <w:jc w:val="center"/>
                    <w:rPr>
                      <w:rFonts w:ascii="Times New Roman" w:hAnsi="Times New Roman"/>
                      <w:bCs/>
                      <w:color w:val="auto"/>
                      <w:sz w:val="21"/>
                      <w:szCs w:val="21"/>
                    </w:rPr>
                  </w:pPr>
                  <w:r>
                    <w:rPr>
                      <w:rFonts w:hint="eastAsia" w:ascii="Times New Roman" w:hAnsi="Times New Roman"/>
                      <w:color w:val="auto"/>
                      <w:sz w:val="21"/>
                      <w:szCs w:val="21"/>
                    </w:rPr>
                    <w:t>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restart"/>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废水</w:t>
                  </w:r>
                </w:p>
              </w:tc>
              <w:tc>
                <w:tcPr>
                  <w:tcW w:w="1895" w:type="dxa"/>
                  <w:tcBorders>
                    <w:tl2br w:val="nil"/>
                    <w:tr2bl w:val="nil"/>
                  </w:tcBorders>
                  <w:vAlign w:val="center"/>
                </w:tcPr>
                <w:p>
                  <w:pPr>
                    <w:adjustRightInd w:val="0"/>
                    <w:snapToGrid w:val="0"/>
                    <w:spacing w:line="360" w:lineRule="exact"/>
                    <w:jc w:val="center"/>
                    <w:rPr>
                      <w:color w:val="auto"/>
                      <w:szCs w:val="21"/>
                    </w:rPr>
                  </w:pPr>
                  <w:r>
                    <w:rPr>
                      <w:bCs/>
                      <w:color w:val="auto"/>
                      <w:szCs w:val="21"/>
                    </w:rPr>
                    <w:t>pH</w:t>
                  </w:r>
                </w:p>
              </w:tc>
              <w:tc>
                <w:tcPr>
                  <w:tcW w:w="2061" w:type="dxa"/>
                  <w:tcBorders>
                    <w:tl2br w:val="nil"/>
                    <w:tr2bl w:val="nil"/>
                  </w:tcBorders>
                  <w:vAlign w:val="center"/>
                </w:tcPr>
                <w:p>
                  <w:pPr>
                    <w:jc w:val="center"/>
                    <w:rPr>
                      <w:bCs/>
                      <w:color w:val="auto"/>
                      <w:szCs w:val="21"/>
                    </w:rPr>
                  </w:pPr>
                  <w:r>
                    <w:rPr>
                      <w:bCs/>
                      <w:color w:val="auto"/>
                      <w:szCs w:val="21"/>
                    </w:rPr>
                    <w:t>6</w:t>
                  </w:r>
                  <w:r>
                    <w:rPr>
                      <w:rFonts w:hint="eastAsia"/>
                      <w:bCs/>
                      <w:color w:val="auto"/>
                      <w:szCs w:val="21"/>
                    </w:rPr>
                    <w:t>～</w:t>
                  </w:r>
                  <w:r>
                    <w:rPr>
                      <w:bCs/>
                      <w:color w:val="auto"/>
                      <w:szCs w:val="21"/>
                    </w:rPr>
                    <w:t>9</w:t>
                  </w:r>
                </w:p>
              </w:tc>
              <w:tc>
                <w:tcPr>
                  <w:tcW w:w="2905" w:type="dxa"/>
                  <w:vMerge w:val="restart"/>
                  <w:tcBorders>
                    <w:tl2br w:val="nil"/>
                    <w:tr2bl w:val="nil"/>
                  </w:tcBorders>
                  <w:vAlign w:val="center"/>
                </w:tcPr>
                <w:p>
                  <w:pPr>
                    <w:jc w:val="center"/>
                    <w:rPr>
                      <w:color w:val="auto"/>
                      <w:szCs w:val="21"/>
                    </w:rPr>
                  </w:pPr>
                  <w:r>
                    <w:rPr>
                      <w:rFonts w:hint="eastAsia"/>
                      <w:bCs/>
                      <w:color w:val="auto"/>
                      <w:szCs w:val="21"/>
                    </w:rPr>
                    <w:t>《</w:t>
                  </w:r>
                  <w:r>
                    <w:rPr>
                      <w:rFonts w:hint="eastAsia"/>
                      <w:color w:val="auto"/>
                      <w:szCs w:val="21"/>
                    </w:rPr>
                    <w:t>污水综合排放标准》（</w:t>
                  </w:r>
                  <w:r>
                    <w:rPr>
                      <w:color w:val="auto"/>
                      <w:szCs w:val="21"/>
                    </w:rPr>
                    <w:t>GB8978-1996</w:t>
                  </w:r>
                  <w:r>
                    <w:rPr>
                      <w:rFonts w:hint="eastAsia"/>
                      <w:color w:val="auto"/>
                      <w:szCs w:val="21"/>
                    </w:rPr>
                    <w:t>）表</w:t>
                  </w:r>
                  <w:r>
                    <w:rPr>
                      <w:color w:val="auto"/>
                      <w:szCs w:val="21"/>
                    </w:rPr>
                    <w:t>4</w:t>
                  </w:r>
                  <w:r>
                    <w:rPr>
                      <w:rFonts w:hint="eastAsia"/>
                      <w:color w:val="auto"/>
                      <w:szCs w:val="21"/>
                    </w:rPr>
                    <w:t>三级标准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COD</w:t>
                  </w:r>
                </w:p>
              </w:tc>
              <w:tc>
                <w:tcPr>
                  <w:tcW w:w="2061"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500mg/L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SS</w:t>
                  </w:r>
                </w:p>
              </w:tc>
              <w:tc>
                <w:tcPr>
                  <w:tcW w:w="2061" w:type="dxa"/>
                  <w:tcBorders>
                    <w:tl2br w:val="nil"/>
                    <w:tr2bl w:val="nil"/>
                  </w:tcBorders>
                  <w:vAlign w:val="center"/>
                </w:tcPr>
                <w:p>
                  <w:pPr>
                    <w:adjustRightInd w:val="0"/>
                    <w:snapToGrid w:val="0"/>
                    <w:spacing w:line="360" w:lineRule="exact"/>
                    <w:jc w:val="center"/>
                    <w:rPr>
                      <w:bCs/>
                      <w:color w:val="auto"/>
                      <w:szCs w:val="21"/>
                    </w:rPr>
                  </w:pPr>
                  <w:r>
                    <w:rPr>
                      <w:bCs/>
                      <w:color w:val="auto"/>
                      <w:szCs w:val="21"/>
                    </w:rPr>
                    <w:t>400mg/L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BOD</w:t>
                  </w:r>
                  <w:r>
                    <w:rPr>
                      <w:rFonts w:hint="eastAsia"/>
                      <w:bCs/>
                      <w:color w:val="auto"/>
                      <w:szCs w:val="21"/>
                      <w:vertAlign w:val="subscript"/>
                    </w:rPr>
                    <w:t>5</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300</w:t>
                  </w:r>
                  <w:r>
                    <w:rPr>
                      <w:bCs/>
                      <w:color w:val="auto"/>
                      <w:szCs w:val="21"/>
                    </w:rPr>
                    <w:t>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石油类</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20</w:t>
                  </w:r>
                  <w:r>
                    <w:rPr>
                      <w:bCs/>
                      <w:color w:val="auto"/>
                      <w:szCs w:val="21"/>
                    </w:rPr>
                    <w:t>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bCs/>
                      <w:color w:val="auto"/>
                      <w:szCs w:val="21"/>
                    </w:rPr>
                  </w:pPr>
                  <w:r>
                    <w:rPr>
                      <w:rFonts w:hint="eastAsia"/>
                      <w:color w:val="auto"/>
                      <w:szCs w:val="21"/>
                    </w:rPr>
                    <w:t>阴离子表面活性剂</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20</w:t>
                  </w:r>
                  <w:r>
                    <w:rPr>
                      <w:bCs/>
                      <w:color w:val="auto"/>
                      <w:szCs w:val="21"/>
                    </w:rPr>
                    <w:t>mg/L</w:t>
                  </w:r>
                </w:p>
              </w:tc>
              <w:tc>
                <w:tcPr>
                  <w:tcW w:w="2905" w:type="dxa"/>
                  <w:vMerge w:val="continue"/>
                  <w:tcBorders>
                    <w:tl2br w:val="nil"/>
                    <w:tr2bl w:val="nil"/>
                  </w:tcBorders>
                  <w:vAlign w:val="center"/>
                </w:tcPr>
                <w:p>
                  <w:pPr>
                    <w:adjustRightInd w:val="0"/>
                    <w:snapToGrid w:val="0"/>
                    <w:spacing w:line="240" w:lineRule="atLeast"/>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pH</w:t>
                  </w:r>
                </w:p>
              </w:tc>
              <w:tc>
                <w:tcPr>
                  <w:tcW w:w="2061" w:type="dxa"/>
                  <w:tcBorders>
                    <w:tl2br w:val="nil"/>
                    <w:tr2bl w:val="nil"/>
                  </w:tcBorders>
                  <w:vAlign w:val="center"/>
                </w:tcPr>
                <w:p>
                  <w:pPr>
                    <w:jc w:val="center"/>
                    <w:rPr>
                      <w:bCs/>
                      <w:color w:val="auto"/>
                      <w:szCs w:val="21"/>
                    </w:rPr>
                  </w:pPr>
                  <w:r>
                    <w:rPr>
                      <w:rFonts w:hint="eastAsia"/>
                      <w:bCs/>
                      <w:color w:val="auto"/>
                      <w:szCs w:val="21"/>
                    </w:rPr>
                    <w:t>6～9</w:t>
                  </w:r>
                </w:p>
              </w:tc>
              <w:tc>
                <w:tcPr>
                  <w:tcW w:w="2905" w:type="dxa"/>
                  <w:vMerge w:val="restart"/>
                  <w:tcBorders>
                    <w:tl2br w:val="nil"/>
                    <w:tr2bl w:val="nil"/>
                  </w:tcBorders>
                  <w:vAlign w:val="center"/>
                </w:tcPr>
                <w:p>
                  <w:pPr>
                    <w:jc w:val="center"/>
                    <w:rPr>
                      <w:bCs/>
                      <w:color w:val="auto"/>
                      <w:szCs w:val="21"/>
                    </w:rPr>
                  </w:pPr>
                  <w:r>
                    <w:rPr>
                      <w:rFonts w:hint="eastAsia"/>
                      <w:bCs/>
                      <w:color w:val="auto"/>
                      <w:szCs w:val="21"/>
                    </w:rPr>
                    <w:t>魏县经济开发区污水处理厂进水指标要求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COD</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35</w:t>
                  </w:r>
                  <w:r>
                    <w:rPr>
                      <w:bCs/>
                      <w:color w:val="auto"/>
                      <w:szCs w:val="21"/>
                    </w:rPr>
                    <w:t>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SS</w:t>
                  </w:r>
                </w:p>
              </w:tc>
              <w:tc>
                <w:tcPr>
                  <w:tcW w:w="2061" w:type="dxa"/>
                  <w:tcBorders>
                    <w:tl2br w:val="nil"/>
                    <w:tr2bl w:val="nil"/>
                  </w:tcBorders>
                  <w:vAlign w:val="center"/>
                </w:tcPr>
                <w:p>
                  <w:pPr>
                    <w:adjustRightInd w:val="0"/>
                    <w:snapToGrid w:val="0"/>
                    <w:spacing w:line="360" w:lineRule="exact"/>
                    <w:jc w:val="center"/>
                    <w:rPr>
                      <w:bCs/>
                      <w:color w:val="auto"/>
                      <w:szCs w:val="21"/>
                    </w:rPr>
                  </w:pPr>
                  <w:r>
                    <w:rPr>
                      <w:rFonts w:hint="eastAsia"/>
                      <w:bCs/>
                      <w:color w:val="auto"/>
                      <w:szCs w:val="21"/>
                    </w:rPr>
                    <w:t>2</w:t>
                  </w:r>
                  <w:r>
                    <w:rPr>
                      <w:bCs/>
                      <w:color w:val="auto"/>
                      <w:szCs w:val="21"/>
                    </w:rPr>
                    <w:t>00mg/L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氨氮</w:t>
                  </w:r>
                </w:p>
              </w:tc>
              <w:tc>
                <w:tcPr>
                  <w:tcW w:w="2061" w:type="dxa"/>
                  <w:tcBorders>
                    <w:tl2br w:val="nil"/>
                    <w:tr2bl w:val="nil"/>
                  </w:tcBorders>
                  <w:vAlign w:val="center"/>
                </w:tcPr>
                <w:p>
                  <w:pPr>
                    <w:jc w:val="center"/>
                    <w:rPr>
                      <w:bCs/>
                      <w:color w:val="auto"/>
                      <w:szCs w:val="21"/>
                    </w:rPr>
                  </w:pPr>
                  <w:r>
                    <w:rPr>
                      <w:rFonts w:hint="eastAsia"/>
                      <w:bCs/>
                      <w:color w:val="auto"/>
                      <w:szCs w:val="21"/>
                    </w:rPr>
                    <w:t>35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BOD</w:t>
                  </w:r>
                  <w:r>
                    <w:rPr>
                      <w:rFonts w:hint="eastAsia"/>
                      <w:color w:val="auto"/>
                      <w:szCs w:val="21"/>
                      <w:vertAlign w:val="subscript"/>
                    </w:rPr>
                    <w:t>5</w:t>
                  </w:r>
                </w:p>
              </w:tc>
              <w:tc>
                <w:tcPr>
                  <w:tcW w:w="2061" w:type="dxa"/>
                  <w:tcBorders>
                    <w:tl2br w:val="nil"/>
                    <w:tr2bl w:val="nil"/>
                  </w:tcBorders>
                  <w:vAlign w:val="center"/>
                </w:tcPr>
                <w:p>
                  <w:pPr>
                    <w:jc w:val="center"/>
                    <w:rPr>
                      <w:bCs/>
                      <w:color w:val="auto"/>
                      <w:szCs w:val="21"/>
                    </w:rPr>
                  </w:pPr>
                  <w:r>
                    <w:rPr>
                      <w:rFonts w:hint="eastAsia"/>
                      <w:bCs/>
                      <w:color w:val="auto"/>
                      <w:szCs w:val="21"/>
                    </w:rPr>
                    <w:t>200</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总磷</w:t>
                  </w:r>
                </w:p>
              </w:tc>
              <w:tc>
                <w:tcPr>
                  <w:tcW w:w="2061" w:type="dxa"/>
                  <w:tcBorders>
                    <w:tl2br w:val="nil"/>
                    <w:tr2bl w:val="nil"/>
                  </w:tcBorders>
                  <w:vAlign w:val="center"/>
                </w:tcPr>
                <w:p>
                  <w:pPr>
                    <w:jc w:val="center"/>
                    <w:rPr>
                      <w:bCs/>
                      <w:color w:val="auto"/>
                      <w:szCs w:val="21"/>
                    </w:rPr>
                  </w:pPr>
                  <w:r>
                    <w:rPr>
                      <w:rFonts w:hint="eastAsia"/>
                      <w:bCs/>
                      <w:color w:val="auto"/>
                      <w:szCs w:val="21"/>
                    </w:rPr>
                    <w:t>4</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color w:val="auto"/>
                      <w:szCs w:val="21"/>
                    </w:rPr>
                  </w:pPr>
                  <w:r>
                    <w:rPr>
                      <w:rFonts w:hint="eastAsia"/>
                      <w:color w:val="auto"/>
                      <w:szCs w:val="21"/>
                    </w:rPr>
                    <w:t>石油类</w:t>
                  </w:r>
                </w:p>
              </w:tc>
              <w:tc>
                <w:tcPr>
                  <w:tcW w:w="2061" w:type="dxa"/>
                  <w:tcBorders>
                    <w:tl2br w:val="nil"/>
                    <w:tr2bl w:val="nil"/>
                  </w:tcBorders>
                  <w:vAlign w:val="center"/>
                </w:tcPr>
                <w:p>
                  <w:pPr>
                    <w:jc w:val="center"/>
                    <w:rPr>
                      <w:bCs/>
                      <w:color w:val="auto"/>
                      <w:szCs w:val="21"/>
                    </w:rPr>
                  </w:pPr>
                  <w:r>
                    <w:rPr>
                      <w:rFonts w:hint="eastAsia"/>
                      <w:bCs/>
                      <w:color w:val="auto"/>
                      <w:szCs w:val="21"/>
                    </w:rPr>
                    <w:t>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pH</w:t>
                  </w:r>
                </w:p>
              </w:tc>
              <w:tc>
                <w:tcPr>
                  <w:tcW w:w="2061" w:type="dxa"/>
                  <w:tcBorders>
                    <w:tl2br w:val="nil"/>
                    <w:tr2bl w:val="nil"/>
                  </w:tcBorders>
                  <w:vAlign w:val="center"/>
                </w:tcPr>
                <w:p>
                  <w:pPr>
                    <w:adjustRightInd w:val="0"/>
                    <w:snapToGrid w:val="0"/>
                    <w:spacing w:line="360" w:lineRule="exact"/>
                    <w:jc w:val="center"/>
                    <w:rPr>
                      <w:rFonts w:hint="default" w:eastAsia="宋体"/>
                      <w:bCs/>
                      <w:color w:val="auto"/>
                      <w:szCs w:val="21"/>
                      <w:lang w:val="en-US" w:eastAsia="zh-CN"/>
                    </w:rPr>
                  </w:pPr>
                  <w:r>
                    <w:rPr>
                      <w:rFonts w:hint="eastAsia"/>
                      <w:bCs/>
                      <w:color w:val="auto"/>
                      <w:szCs w:val="21"/>
                    </w:rPr>
                    <w:t>35</w:t>
                  </w:r>
                  <w:r>
                    <w:rPr>
                      <w:bCs/>
                      <w:color w:val="auto"/>
                      <w:szCs w:val="21"/>
                    </w:rPr>
                    <w:t>0mg/L</w:t>
                  </w:r>
                </w:p>
              </w:tc>
              <w:tc>
                <w:tcPr>
                  <w:tcW w:w="2905" w:type="dxa"/>
                  <w:vMerge w:val="restart"/>
                  <w:tcBorders>
                    <w:tl2br w:val="nil"/>
                    <w:tr2bl w:val="nil"/>
                  </w:tcBorders>
                  <w:vAlign w:val="center"/>
                </w:tcPr>
                <w:p>
                  <w:pPr>
                    <w:jc w:val="center"/>
                    <w:rPr>
                      <w:rFonts w:hint="default" w:eastAsia="宋体"/>
                      <w:bCs/>
                      <w:color w:val="auto"/>
                      <w:szCs w:val="21"/>
                      <w:lang w:val="en-US" w:eastAsia="zh-CN"/>
                    </w:rPr>
                  </w:pPr>
                  <w:r>
                    <w:rPr>
                      <w:rFonts w:hint="eastAsia"/>
                      <w:bCs/>
                      <w:color w:val="auto"/>
                      <w:szCs w:val="21"/>
                      <w:lang w:val="en-US" w:eastAsia="zh-CN"/>
                    </w:rPr>
                    <w:t>本项目执行标准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COD</w:t>
                  </w:r>
                </w:p>
              </w:tc>
              <w:tc>
                <w:tcPr>
                  <w:tcW w:w="2061" w:type="dxa"/>
                  <w:tcBorders>
                    <w:tl2br w:val="nil"/>
                    <w:tr2bl w:val="nil"/>
                  </w:tcBorders>
                  <w:vAlign w:val="center"/>
                </w:tcPr>
                <w:p>
                  <w:pPr>
                    <w:adjustRightInd w:val="0"/>
                    <w:snapToGrid w:val="0"/>
                    <w:spacing w:line="360" w:lineRule="exact"/>
                    <w:jc w:val="center"/>
                    <w:rPr>
                      <w:rFonts w:hint="default" w:eastAsia="宋体"/>
                      <w:bCs/>
                      <w:color w:val="auto"/>
                      <w:szCs w:val="21"/>
                      <w:lang w:val="en-US" w:eastAsia="zh-CN"/>
                    </w:rPr>
                  </w:pPr>
                  <w:r>
                    <w:rPr>
                      <w:rFonts w:hint="eastAsia"/>
                      <w:bCs/>
                      <w:color w:val="auto"/>
                      <w:szCs w:val="21"/>
                    </w:rPr>
                    <w:t>2</w:t>
                  </w:r>
                  <w:r>
                    <w:rPr>
                      <w:bCs/>
                      <w:color w:val="auto"/>
                      <w:szCs w:val="21"/>
                    </w:rPr>
                    <w:t>00mg/L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SS</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35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氨氮</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200</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BOD</w:t>
                  </w:r>
                  <w:r>
                    <w:rPr>
                      <w:rFonts w:hint="eastAsia"/>
                      <w:color w:val="auto"/>
                      <w:szCs w:val="21"/>
                      <w:vertAlign w:val="subscript"/>
                    </w:rPr>
                    <w:t>5</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4</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总磷</w:t>
                  </w:r>
                </w:p>
              </w:tc>
              <w:tc>
                <w:tcPr>
                  <w:tcW w:w="2061" w:type="dxa"/>
                  <w:tcBorders>
                    <w:tl2br w:val="nil"/>
                    <w:tr2bl w:val="nil"/>
                  </w:tcBorders>
                  <w:vAlign w:val="center"/>
                </w:tcPr>
                <w:p>
                  <w:pPr>
                    <w:jc w:val="center"/>
                    <w:rPr>
                      <w:rFonts w:hint="eastAsia"/>
                      <w:bCs/>
                      <w:color w:val="auto"/>
                      <w:szCs w:val="21"/>
                    </w:rPr>
                  </w:pPr>
                  <w:r>
                    <w:rPr>
                      <w:rFonts w:hint="eastAsia"/>
                      <w:bCs/>
                      <w:color w:val="auto"/>
                      <w:szCs w:val="21"/>
                    </w:rPr>
                    <w:t>5</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石油类</w:t>
                  </w:r>
                </w:p>
              </w:tc>
              <w:tc>
                <w:tcPr>
                  <w:tcW w:w="2061" w:type="dxa"/>
                  <w:tcBorders>
                    <w:tl2br w:val="nil"/>
                    <w:tr2bl w:val="nil"/>
                  </w:tcBorders>
                  <w:vAlign w:val="center"/>
                </w:tcPr>
                <w:p>
                  <w:pPr>
                    <w:adjustRightInd w:val="0"/>
                    <w:snapToGrid w:val="0"/>
                    <w:spacing w:line="360" w:lineRule="exact"/>
                    <w:jc w:val="center"/>
                    <w:rPr>
                      <w:rFonts w:hint="eastAsia"/>
                      <w:bCs/>
                      <w:color w:val="auto"/>
                      <w:szCs w:val="21"/>
                    </w:rPr>
                  </w:pPr>
                  <w:r>
                    <w:rPr>
                      <w:rFonts w:hint="eastAsia"/>
                      <w:bCs/>
                      <w:color w:val="auto"/>
                      <w:szCs w:val="21"/>
                    </w:rPr>
                    <w:t>35</w:t>
                  </w:r>
                  <w:r>
                    <w:rPr>
                      <w:bCs/>
                      <w:color w:val="auto"/>
                      <w:szCs w:val="21"/>
                    </w:rPr>
                    <w:t>0mg/L</w:t>
                  </w:r>
                </w:p>
              </w:tc>
              <w:tc>
                <w:tcPr>
                  <w:tcW w:w="2905" w:type="dxa"/>
                  <w:vMerge w:val="continue"/>
                  <w:tcBorders>
                    <w:tl2br w:val="nil"/>
                    <w:tr2bl w:val="nil"/>
                  </w:tcBorders>
                  <w:vAlign w:val="center"/>
                </w:tcPr>
                <w:p>
                  <w:pPr>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1" w:type="dxa"/>
                  <w:vMerge w:val="continue"/>
                  <w:tcBorders>
                    <w:tl2br w:val="nil"/>
                    <w:tr2bl w:val="nil"/>
                  </w:tcBorders>
                  <w:vAlign w:val="center"/>
                </w:tcPr>
                <w:p>
                  <w:pPr>
                    <w:adjustRightInd w:val="0"/>
                    <w:snapToGrid w:val="0"/>
                    <w:spacing w:line="360" w:lineRule="exact"/>
                    <w:jc w:val="center"/>
                    <w:rPr>
                      <w:bCs/>
                      <w:color w:val="auto"/>
                      <w:szCs w:val="21"/>
                    </w:rPr>
                  </w:pPr>
                </w:p>
              </w:tc>
              <w:tc>
                <w:tcPr>
                  <w:tcW w:w="1895" w:type="dxa"/>
                  <w:tcBorders>
                    <w:tl2br w:val="nil"/>
                    <w:tr2bl w:val="nil"/>
                  </w:tcBorders>
                  <w:vAlign w:val="center"/>
                </w:tcPr>
                <w:p>
                  <w:pPr>
                    <w:adjustRightInd w:val="0"/>
                    <w:snapToGrid w:val="0"/>
                    <w:spacing w:line="360" w:lineRule="exact"/>
                    <w:jc w:val="center"/>
                    <w:rPr>
                      <w:rFonts w:hint="eastAsia"/>
                      <w:color w:val="auto"/>
                      <w:szCs w:val="21"/>
                    </w:rPr>
                  </w:pPr>
                  <w:r>
                    <w:rPr>
                      <w:rFonts w:hint="eastAsia"/>
                      <w:color w:val="auto"/>
                      <w:szCs w:val="21"/>
                    </w:rPr>
                    <w:t>阴离子表面活性剂</w:t>
                  </w:r>
                </w:p>
              </w:tc>
              <w:tc>
                <w:tcPr>
                  <w:tcW w:w="2061" w:type="dxa"/>
                  <w:tcBorders>
                    <w:tl2br w:val="nil"/>
                    <w:tr2bl w:val="nil"/>
                  </w:tcBorders>
                  <w:vAlign w:val="center"/>
                </w:tcPr>
                <w:p>
                  <w:pPr>
                    <w:adjustRightInd w:val="0"/>
                    <w:snapToGrid w:val="0"/>
                    <w:spacing w:line="360" w:lineRule="exact"/>
                    <w:jc w:val="center"/>
                    <w:rPr>
                      <w:rFonts w:hint="eastAsia"/>
                      <w:bCs/>
                      <w:color w:val="auto"/>
                      <w:szCs w:val="21"/>
                    </w:rPr>
                  </w:pPr>
                  <w:r>
                    <w:rPr>
                      <w:rFonts w:hint="eastAsia"/>
                      <w:bCs/>
                      <w:color w:val="auto"/>
                      <w:szCs w:val="21"/>
                    </w:rPr>
                    <w:t>20</w:t>
                  </w:r>
                  <w:r>
                    <w:rPr>
                      <w:bCs/>
                      <w:color w:val="auto"/>
                      <w:szCs w:val="21"/>
                    </w:rPr>
                    <w:t>mg/L</w:t>
                  </w:r>
                </w:p>
              </w:tc>
              <w:tc>
                <w:tcPr>
                  <w:tcW w:w="2905" w:type="dxa"/>
                  <w:vMerge w:val="continue"/>
                  <w:tcBorders>
                    <w:tl2br w:val="nil"/>
                    <w:tr2bl w:val="nil"/>
                  </w:tcBorders>
                  <w:vAlign w:val="center"/>
                </w:tcPr>
                <w:p>
                  <w:pPr>
                    <w:jc w:val="center"/>
                    <w:rPr>
                      <w:bCs/>
                      <w:color w:val="auto"/>
                      <w:szCs w:val="21"/>
                    </w:rPr>
                  </w:pPr>
                </w:p>
              </w:tc>
            </w:tr>
          </w:tbl>
          <w:p>
            <w:pPr>
              <w:spacing w:line="360" w:lineRule="auto"/>
              <w:ind w:firstLine="472" w:firstLineChars="200"/>
              <w:rPr>
                <w:rFonts w:eastAsiaTheme="minorEastAsia"/>
                <w:color w:val="auto"/>
                <w:sz w:val="24"/>
              </w:rPr>
            </w:pPr>
            <w:r>
              <w:rPr>
                <w:rFonts w:hint="eastAsia" w:eastAsiaTheme="minorEastAsia"/>
                <w:color w:val="auto"/>
                <w:sz w:val="24"/>
              </w:rPr>
              <w:t>4、固废</w:t>
            </w:r>
          </w:p>
          <w:p>
            <w:pPr>
              <w:spacing w:line="360" w:lineRule="auto"/>
              <w:ind w:firstLine="472" w:firstLineChars="200"/>
              <w:rPr>
                <w:rFonts w:hint="default" w:eastAsiaTheme="minorEastAsia"/>
                <w:color w:val="auto"/>
                <w:lang w:val="en-US" w:eastAsia="zh-CN"/>
              </w:rPr>
            </w:pPr>
            <w:r>
              <w:rPr>
                <w:rFonts w:hint="eastAsia" w:eastAsiaTheme="minorEastAsia"/>
                <w:color w:val="auto"/>
                <w:sz w:val="24"/>
              </w:rPr>
              <w:t>一般工业固体废物处置按照《一般工业固体废物贮存和填埋污染控制标准》（GB18599-2020）中标准要求，危险废物管理按照《危险废物贮存污染控制标准》（GB18597-2001）及2013年修改单要求及《危险废物收集贮存运输技术规范》（HJ2025-2012）中的相关要求。</w:t>
            </w:r>
            <w:r>
              <w:rPr>
                <w:rFonts w:hint="eastAsia" w:eastAsiaTheme="minorEastAsia"/>
                <w:color w:val="auto"/>
                <w:sz w:val="24"/>
                <w:lang w:val="en-US" w:eastAsia="zh-CN"/>
              </w:rPr>
              <w:t>生活垃圾按照《中华人民共和国固体废物污染环境防治法》要求进行处置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Cs/>
                <w:color w:val="auto"/>
                <w:sz w:val="24"/>
                <w:szCs w:val="24"/>
              </w:rPr>
            </w:pPr>
            <w:r>
              <w:rPr>
                <w:bCs/>
                <w:color w:val="auto"/>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eastAsiaTheme="minorEastAsia"/>
                <w:color w:val="auto"/>
                <w:sz w:val="24"/>
                <w:highlight w:val="none"/>
              </w:rPr>
            </w:pPr>
            <w:r>
              <w:rPr>
                <w:rFonts w:hint="eastAsia" w:eastAsiaTheme="minorEastAsia"/>
                <w:color w:val="auto"/>
                <w:sz w:val="24"/>
              </w:rPr>
              <w:t>根据“十四五”期间国家及地方各级政府对主要污染物总量控制的相关规划、政策措施，结合本项目污染源及污染物排放特征，确定本项目需要实施总量控制的污染因子为：COD、氨氮、SO</w:t>
            </w:r>
            <w:r>
              <w:rPr>
                <w:rFonts w:hint="eastAsia" w:eastAsiaTheme="minorEastAsia"/>
                <w:color w:val="auto"/>
                <w:sz w:val="24"/>
                <w:vertAlign w:val="subscript"/>
              </w:rPr>
              <w:t>2</w:t>
            </w:r>
            <w:r>
              <w:rPr>
                <w:rFonts w:hint="eastAsia" w:eastAsiaTheme="minorEastAsia"/>
                <w:color w:val="auto"/>
                <w:sz w:val="24"/>
              </w:rPr>
              <w:t>、NO</w:t>
            </w:r>
            <w:r>
              <w:rPr>
                <w:rFonts w:hint="eastAsia" w:eastAsiaTheme="minorEastAsia"/>
                <w:color w:val="auto"/>
                <w:sz w:val="24"/>
                <w:vertAlign w:val="subscript"/>
              </w:rPr>
              <w:t>x</w:t>
            </w:r>
            <w:r>
              <w:rPr>
                <w:rFonts w:hint="eastAsia" w:eastAsiaTheme="minorEastAsia"/>
                <w:color w:val="auto"/>
                <w:sz w:val="24"/>
                <w:lang w:eastAsia="zh-CN"/>
              </w:rPr>
              <w:t>、</w:t>
            </w:r>
            <w:r>
              <w:rPr>
                <w:rFonts w:hint="eastAsia" w:eastAsiaTheme="minorEastAsia"/>
                <w:color w:val="auto"/>
                <w:sz w:val="24"/>
                <w:highlight w:val="none"/>
                <w:lang w:val="en-US" w:eastAsia="zh-CN"/>
              </w:rPr>
              <w:t>VOCs</w:t>
            </w:r>
            <w:r>
              <w:rPr>
                <w:rFonts w:hint="eastAsia" w:eastAsiaTheme="minorEastAsia"/>
                <w:color w:val="auto"/>
                <w:sz w:val="24"/>
                <w:highlight w:val="none"/>
                <w:lang w:val="fr-FR"/>
              </w:rPr>
              <w:t>。</w:t>
            </w:r>
          </w:p>
          <w:p>
            <w:pPr>
              <w:spacing w:line="360" w:lineRule="auto"/>
              <w:ind w:firstLine="472" w:firstLineChars="200"/>
              <w:rPr>
                <w:rFonts w:hint="eastAsia" w:hAnsi="宋体" w:eastAsiaTheme="minorEastAsia"/>
                <w:color w:val="auto"/>
                <w:sz w:val="24"/>
                <w:lang w:val="en-US" w:eastAsia="zh-CN"/>
              </w:rPr>
            </w:pPr>
            <w:r>
              <w:rPr>
                <w:rFonts w:hint="eastAsia" w:hAnsi="宋体"/>
                <w:color w:val="auto"/>
                <w:sz w:val="24"/>
                <w:lang w:val="en-US" w:eastAsia="zh-CN"/>
              </w:rPr>
              <w:t>1、废水</w:t>
            </w:r>
            <w:r>
              <w:rPr>
                <w:rFonts w:hint="eastAsia" w:eastAsiaTheme="minorEastAsia"/>
                <w:color w:val="auto"/>
                <w:sz w:val="24"/>
              </w:rPr>
              <w:t>COD、氨氮</w:t>
            </w:r>
            <w:r>
              <w:rPr>
                <w:rFonts w:hint="eastAsia" w:eastAsiaTheme="minorEastAsia"/>
                <w:color w:val="auto"/>
                <w:sz w:val="24"/>
                <w:lang w:val="en-US" w:eastAsia="zh-CN"/>
              </w:rPr>
              <w:t>总量</w:t>
            </w:r>
          </w:p>
          <w:p>
            <w:pPr>
              <w:spacing w:line="360" w:lineRule="auto"/>
              <w:ind w:firstLine="472" w:firstLineChars="200"/>
              <w:rPr>
                <w:rFonts w:hint="default" w:hAnsi="宋体" w:eastAsia="宋体"/>
                <w:color w:val="auto"/>
                <w:sz w:val="25"/>
                <w:lang w:val="en-US" w:eastAsia="zh-CN"/>
              </w:rPr>
            </w:pPr>
            <w:r>
              <w:rPr>
                <w:rFonts w:hint="eastAsia" w:hAnsi="宋体"/>
                <w:color w:val="auto"/>
                <w:sz w:val="24"/>
              </w:rPr>
              <w:t>本项目</w:t>
            </w:r>
            <w:r>
              <w:rPr>
                <w:rFonts w:hint="eastAsia"/>
                <w:color w:val="auto"/>
                <w:sz w:val="24"/>
              </w:rPr>
              <w:t>废水主要为生产废水和生活废水，</w:t>
            </w:r>
            <w:r>
              <w:rPr>
                <w:rFonts w:hint="eastAsia"/>
                <w:color w:val="auto"/>
                <w:sz w:val="24"/>
                <w:lang w:val="en-US" w:eastAsia="zh-CN"/>
              </w:rPr>
              <w:t>其中粉末喷涂线年生产100天，生产废水产生量为180m</w:t>
            </w:r>
            <w:r>
              <w:rPr>
                <w:rFonts w:hint="eastAsia"/>
                <w:color w:val="auto"/>
                <w:sz w:val="24"/>
                <w:vertAlign w:val="superscript"/>
                <w:lang w:val="en-US" w:eastAsia="zh-CN"/>
              </w:rPr>
              <w:t>3</w:t>
            </w:r>
            <w:r>
              <w:rPr>
                <w:rFonts w:hint="eastAsia"/>
                <w:color w:val="auto"/>
                <w:sz w:val="24"/>
                <w:vertAlign w:val="baseline"/>
                <w:lang w:val="en-US" w:eastAsia="zh-CN"/>
              </w:rPr>
              <w:t>/a，生活废水产生</w:t>
            </w:r>
            <w:r>
              <w:rPr>
                <w:rFonts w:hint="eastAsia" w:hAnsi="宋体"/>
                <w:color w:val="auto"/>
                <w:sz w:val="24"/>
              </w:rPr>
              <w:t>量</w:t>
            </w:r>
            <w:r>
              <w:rPr>
                <w:rFonts w:hint="eastAsia" w:hAnsi="宋体"/>
                <w:color w:val="auto"/>
                <w:sz w:val="24"/>
                <w:lang w:val="en-US" w:eastAsia="zh-CN"/>
              </w:rPr>
              <w:t>为624</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vertAlign w:val="baseline"/>
                <w:lang w:val="en-US" w:eastAsia="zh-CN"/>
              </w:rPr>
              <w:t>/a，全厂废水产生量合计</w:t>
            </w:r>
            <w:r>
              <w:rPr>
                <w:rFonts w:hint="eastAsia" w:hAnsi="宋体"/>
                <w:color w:val="auto"/>
                <w:sz w:val="24"/>
              </w:rPr>
              <w:t>为</w:t>
            </w:r>
            <w:r>
              <w:rPr>
                <w:rFonts w:hint="eastAsia" w:hAnsi="宋体"/>
                <w:color w:val="auto"/>
                <w:sz w:val="24"/>
                <w:lang w:val="en-US" w:eastAsia="zh-CN"/>
              </w:rPr>
              <w:t>804</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a，生产废水</w:t>
            </w:r>
            <w:r>
              <w:rPr>
                <w:rFonts w:hAnsi="宋体"/>
                <w:color w:val="auto"/>
                <w:sz w:val="24"/>
              </w:rPr>
              <w:t>经厂区</w:t>
            </w:r>
            <w:r>
              <w:rPr>
                <w:rFonts w:hint="eastAsia" w:hAnsi="宋体"/>
                <w:color w:val="auto"/>
                <w:sz w:val="24"/>
              </w:rPr>
              <w:t>自建</w:t>
            </w:r>
            <w:r>
              <w:rPr>
                <w:rFonts w:hAnsi="宋体"/>
                <w:color w:val="auto"/>
                <w:sz w:val="24"/>
              </w:rPr>
              <w:t>废水处理站处理后</w:t>
            </w:r>
            <w:r>
              <w:rPr>
                <w:rFonts w:hint="eastAsia" w:hAnsi="宋体"/>
                <w:color w:val="auto"/>
                <w:sz w:val="24"/>
              </w:rPr>
              <w:t>和经化粪池处理的生活废水一并排入园区污水管网，</w:t>
            </w:r>
            <w:r>
              <w:rPr>
                <w:rFonts w:hAnsi="宋体"/>
                <w:color w:val="auto"/>
                <w:sz w:val="24"/>
              </w:rPr>
              <w:t>出水水质满足</w:t>
            </w:r>
            <w:r>
              <w:rPr>
                <w:rFonts w:hint="eastAsia"/>
                <w:color w:val="auto"/>
                <w:sz w:val="24"/>
                <w:lang w:val="fr-FR"/>
              </w:rPr>
              <w:t>《污水综合排放标准》（GB8978-1996）表4中三级标准，同时满足</w:t>
            </w:r>
            <w:r>
              <w:rPr>
                <w:rFonts w:hint="eastAsia" w:hAnsi="宋体"/>
                <w:color w:val="auto"/>
                <w:sz w:val="24"/>
              </w:rPr>
              <w:t>魏县开发区污水处理厂</w:t>
            </w:r>
            <w:r>
              <w:rPr>
                <w:color w:val="auto"/>
                <w:sz w:val="24"/>
              </w:rPr>
              <w:t>进水水质要</w:t>
            </w:r>
            <w:r>
              <w:rPr>
                <w:rFonts w:hAnsi="宋体"/>
                <w:color w:val="auto"/>
                <w:sz w:val="24"/>
              </w:rPr>
              <w:t>求</w:t>
            </w:r>
            <w:r>
              <w:rPr>
                <w:color w:val="auto"/>
                <w:sz w:val="24"/>
              </w:rPr>
              <w:t>：COD</w:t>
            </w:r>
            <w:r>
              <w:rPr>
                <w:rFonts w:hint="eastAsia"/>
                <w:color w:val="auto"/>
                <w:sz w:val="24"/>
              </w:rPr>
              <w:t>3</w:t>
            </w:r>
            <w:r>
              <w:rPr>
                <w:color w:val="auto"/>
                <w:sz w:val="24"/>
              </w:rPr>
              <w:t>50mg/L、氨氮</w:t>
            </w:r>
            <w:r>
              <w:rPr>
                <w:rFonts w:hint="eastAsia"/>
                <w:color w:val="auto"/>
                <w:sz w:val="24"/>
              </w:rPr>
              <w:t>3</w:t>
            </w:r>
            <w:r>
              <w:rPr>
                <w:color w:val="auto"/>
                <w:sz w:val="24"/>
              </w:rPr>
              <w:t>5mg/L</w:t>
            </w:r>
            <w:r>
              <w:rPr>
                <w:rFonts w:hint="eastAsia"/>
                <w:color w:val="auto"/>
                <w:sz w:val="24"/>
                <w:lang w:eastAsia="zh-CN"/>
              </w:rPr>
              <w:t>，</w:t>
            </w:r>
            <w:r>
              <w:rPr>
                <w:rFonts w:hint="eastAsia"/>
                <w:color w:val="auto"/>
                <w:sz w:val="24"/>
                <w:lang w:val="en-US" w:eastAsia="zh-CN"/>
              </w:rPr>
              <w:t>则</w:t>
            </w:r>
            <w:r>
              <w:rPr>
                <w:rFonts w:hint="eastAsia" w:eastAsiaTheme="minorEastAsia"/>
                <w:color w:val="auto"/>
                <w:sz w:val="24"/>
              </w:rPr>
              <w:t>COD、氨氮</w:t>
            </w:r>
            <w:r>
              <w:rPr>
                <w:rFonts w:hint="eastAsia"/>
                <w:color w:val="auto"/>
                <w:sz w:val="24"/>
                <w:lang w:val="en-US" w:eastAsia="zh-CN"/>
              </w:rPr>
              <w:t>总量计算公式如下：</w:t>
            </w:r>
          </w:p>
          <w:p>
            <w:pPr>
              <w:pStyle w:val="24"/>
              <w:spacing w:line="360" w:lineRule="auto"/>
              <w:ind w:firstLine="472" w:firstLineChars="200"/>
              <w:rPr>
                <w:color w:val="auto"/>
              </w:rPr>
            </w:pPr>
            <w:r>
              <w:rPr>
                <w:color w:val="auto"/>
              </w:rPr>
              <w:t>COD：</w:t>
            </w:r>
            <w:r>
              <w:rPr>
                <w:rFonts w:hint="eastAsia"/>
                <w:color w:val="auto"/>
              </w:rPr>
              <w:t>3</w:t>
            </w:r>
            <w:r>
              <w:rPr>
                <w:color w:val="auto"/>
              </w:rPr>
              <w:t>50mg/L×</w:t>
            </w:r>
            <w:r>
              <w:rPr>
                <w:rFonts w:hint="eastAsia" w:hAnsi="宋体"/>
                <w:color w:val="auto"/>
                <w:lang w:val="en-US" w:eastAsia="zh-CN"/>
              </w:rPr>
              <w:t>804</w:t>
            </w:r>
            <w:r>
              <w:rPr>
                <w:color w:val="auto"/>
              </w:rPr>
              <w:t>m</w:t>
            </w:r>
            <w:r>
              <w:rPr>
                <w:color w:val="auto"/>
                <w:vertAlign w:val="superscript"/>
              </w:rPr>
              <w:t>3</w:t>
            </w:r>
            <w:r>
              <w:rPr>
                <w:color w:val="auto"/>
              </w:rPr>
              <w:t>/a×10</w:t>
            </w:r>
            <w:r>
              <w:rPr>
                <w:color w:val="auto"/>
                <w:vertAlign w:val="superscript"/>
              </w:rPr>
              <w:t>-6</w:t>
            </w:r>
            <w:r>
              <w:rPr>
                <w:color w:val="auto"/>
              </w:rPr>
              <w:t>=</w:t>
            </w:r>
            <w:r>
              <w:rPr>
                <w:rFonts w:hint="eastAsia"/>
                <w:color w:val="auto"/>
                <w:lang w:val="en-US" w:eastAsia="zh-CN"/>
              </w:rPr>
              <w:t>0.281</w:t>
            </w:r>
            <w:r>
              <w:rPr>
                <w:color w:val="auto"/>
              </w:rPr>
              <w:t>t/a</w:t>
            </w:r>
          </w:p>
          <w:p>
            <w:pPr>
              <w:pStyle w:val="24"/>
              <w:spacing w:line="360" w:lineRule="auto"/>
              <w:ind w:firstLine="472" w:firstLineChars="200"/>
              <w:rPr>
                <w:color w:val="auto"/>
              </w:rPr>
            </w:pPr>
            <w:r>
              <w:rPr>
                <w:color w:val="auto"/>
              </w:rPr>
              <w:t>氨氮：35mg/L×</w:t>
            </w:r>
            <w:r>
              <w:rPr>
                <w:rFonts w:hint="eastAsia" w:hAnsi="宋体"/>
                <w:color w:val="auto"/>
                <w:lang w:val="en-US" w:eastAsia="zh-CN"/>
              </w:rPr>
              <w:t>684</w:t>
            </w:r>
            <w:r>
              <w:rPr>
                <w:color w:val="auto"/>
              </w:rPr>
              <w:t>m</w:t>
            </w:r>
            <w:r>
              <w:rPr>
                <w:color w:val="auto"/>
                <w:vertAlign w:val="superscript"/>
              </w:rPr>
              <w:t>3</w:t>
            </w:r>
            <w:r>
              <w:rPr>
                <w:color w:val="auto"/>
              </w:rPr>
              <w:t>/a×10</w:t>
            </w:r>
            <w:r>
              <w:rPr>
                <w:color w:val="auto"/>
                <w:vertAlign w:val="superscript"/>
              </w:rPr>
              <w:t>-6</w:t>
            </w:r>
            <w:r>
              <w:rPr>
                <w:color w:val="auto"/>
              </w:rPr>
              <w:t>=</w:t>
            </w:r>
            <w:r>
              <w:rPr>
                <w:rFonts w:hint="eastAsia"/>
                <w:color w:val="auto"/>
                <w:lang w:val="en-US" w:eastAsia="zh-CN"/>
              </w:rPr>
              <w:t>0.028</w:t>
            </w:r>
            <w:r>
              <w:rPr>
                <w:color w:val="auto"/>
              </w:rPr>
              <w:t>t/a</w:t>
            </w:r>
          </w:p>
          <w:p>
            <w:pPr>
              <w:spacing w:line="360" w:lineRule="auto"/>
              <w:ind w:firstLine="472" w:firstLineChars="200"/>
              <w:rPr>
                <w:rFonts w:hint="default" w:hAnsi="宋体"/>
                <w:color w:val="auto"/>
                <w:sz w:val="24"/>
                <w:szCs w:val="24"/>
                <w:lang w:val="en-US" w:eastAsia="zh-CN"/>
              </w:rPr>
            </w:pPr>
            <w:r>
              <w:rPr>
                <w:rFonts w:hint="eastAsia"/>
                <w:color w:val="auto"/>
                <w:sz w:val="24"/>
                <w:szCs w:val="24"/>
                <w:lang w:val="en-US" w:eastAsia="zh-CN"/>
              </w:rPr>
              <w:t xml:space="preserve"> </w:t>
            </w:r>
            <w:r>
              <w:rPr>
                <w:rFonts w:hint="eastAsia" w:hAnsi="宋体"/>
                <w:color w:val="auto"/>
                <w:sz w:val="24"/>
                <w:szCs w:val="24"/>
                <w:lang w:val="en-US" w:eastAsia="zh-CN"/>
              </w:rPr>
              <w:t xml:space="preserve"> 2、废气SO2、NOx、VOCs总量</w:t>
            </w:r>
          </w:p>
          <w:p>
            <w:pPr>
              <w:spacing w:line="360" w:lineRule="auto"/>
              <w:ind w:firstLine="472" w:firstLineChars="200"/>
              <w:rPr>
                <w:rFonts w:hint="eastAsia" w:hAnsi="宋体"/>
                <w:b w:val="0"/>
                <w:bCs w:val="0"/>
                <w:color w:val="auto"/>
                <w:sz w:val="24"/>
                <w:lang w:val="en-US" w:eastAsia="zh-CN"/>
              </w:rPr>
            </w:pPr>
            <w:r>
              <w:rPr>
                <w:rFonts w:hint="eastAsia" w:hAnsi="宋体"/>
                <w:b w:val="0"/>
                <w:bCs w:val="0"/>
                <w:color w:val="auto"/>
                <w:sz w:val="24"/>
                <w:lang w:val="en-US" w:eastAsia="zh-CN"/>
              </w:rPr>
              <w:t>本项目废气主要为水洗烘干、固化工序天然气燃烧废气；喷涂废气、固化废气，污染物为颗粒物、SO</w:t>
            </w:r>
            <w:r>
              <w:rPr>
                <w:rFonts w:hint="eastAsia" w:hAnsi="宋体"/>
                <w:b w:val="0"/>
                <w:bCs w:val="0"/>
                <w:color w:val="auto"/>
                <w:sz w:val="24"/>
                <w:vertAlign w:val="subscript"/>
                <w:lang w:val="en-US" w:eastAsia="zh-CN"/>
              </w:rPr>
              <w:t>2</w:t>
            </w:r>
            <w:r>
              <w:rPr>
                <w:rFonts w:hint="eastAsia" w:hAnsi="宋体"/>
                <w:b w:val="0"/>
                <w:bCs w:val="0"/>
                <w:color w:val="auto"/>
                <w:sz w:val="24"/>
                <w:lang w:val="en-US" w:eastAsia="zh-CN"/>
              </w:rPr>
              <w:t>、NO</w:t>
            </w:r>
            <w:r>
              <w:rPr>
                <w:rFonts w:hint="eastAsia" w:hAnsi="宋体"/>
                <w:b w:val="0"/>
                <w:bCs w:val="0"/>
                <w:color w:val="auto"/>
                <w:sz w:val="24"/>
                <w:vertAlign w:val="subscript"/>
                <w:lang w:val="en-US" w:eastAsia="zh-CN"/>
              </w:rPr>
              <w:t>X</w:t>
            </w:r>
            <w:r>
              <w:rPr>
                <w:rFonts w:hint="eastAsia" w:hAnsi="宋体"/>
                <w:b w:val="0"/>
                <w:bCs w:val="0"/>
                <w:color w:val="auto"/>
                <w:sz w:val="24"/>
                <w:lang w:val="en-US" w:eastAsia="zh-CN"/>
              </w:rPr>
              <w:t>、VOCs。</w:t>
            </w:r>
          </w:p>
          <w:p>
            <w:pPr>
              <w:spacing w:line="360" w:lineRule="auto"/>
              <w:ind w:firstLine="472" w:firstLineChars="200"/>
              <w:rPr>
                <w:b/>
                <w:color w:val="auto"/>
                <w:sz w:val="24"/>
                <w:szCs w:val="24"/>
              </w:rPr>
            </w:pPr>
            <w:r>
              <w:rPr>
                <w:rFonts w:hint="eastAsia"/>
                <w:color w:val="auto"/>
                <w:sz w:val="24"/>
                <w:szCs w:val="24"/>
              </w:rPr>
              <w:t>本</w:t>
            </w:r>
            <w:r>
              <w:rPr>
                <w:rFonts w:hint="eastAsia"/>
                <w:bCs/>
                <w:color w:val="auto"/>
                <w:sz w:val="24"/>
                <w:szCs w:val="24"/>
              </w:rPr>
              <w:t>项目生产过程中喷塑生产线水洗后烘干、喷塑后固化热源采用天然气，由园区天然气管网接入，</w:t>
            </w:r>
            <w:r>
              <w:rPr>
                <w:rFonts w:hint="eastAsia"/>
                <w:bCs/>
                <w:color w:val="auto"/>
                <w:sz w:val="24"/>
                <w:szCs w:val="24"/>
                <w:highlight w:val="none"/>
              </w:rPr>
              <w:t>喷涂线设置2台天然气燃烧机（1台40万</w:t>
            </w:r>
            <w:r>
              <w:rPr>
                <w:rFonts w:hint="eastAsia"/>
                <w:bCs/>
                <w:color w:val="auto"/>
                <w:sz w:val="24"/>
                <w:szCs w:val="24"/>
              </w:rPr>
              <w:t>大卡，1台70万大卡，合计110万大卡），</w:t>
            </w:r>
            <w:r>
              <w:rPr>
                <w:rFonts w:hint="eastAsia"/>
                <w:bCs/>
                <w:color w:val="auto"/>
                <w:sz w:val="24"/>
                <w:szCs w:val="24"/>
                <w:lang w:val="en-US" w:eastAsia="zh-CN"/>
              </w:rPr>
              <w:t>1台用于水洗后烘干，1台用于喷塑后固化，同时使用。根据燃烧机天然气消耗定额经验系数</w:t>
            </w:r>
            <w:r>
              <w:rPr>
                <w:rFonts w:hint="eastAsia"/>
                <w:bCs/>
                <w:color w:val="auto"/>
                <w:sz w:val="24"/>
                <w:szCs w:val="24"/>
              </w:rPr>
              <w:t>，</w:t>
            </w:r>
            <w:r>
              <w:rPr>
                <w:rFonts w:hint="eastAsia"/>
                <w:bCs/>
                <w:color w:val="auto"/>
                <w:sz w:val="24"/>
                <w:szCs w:val="24"/>
                <w:lang w:val="en-US" w:eastAsia="zh-CN"/>
              </w:rPr>
              <w:t>每10万大卡的燃烧机满负荷状态下</w:t>
            </w:r>
            <w:r>
              <w:rPr>
                <w:rFonts w:hint="eastAsia"/>
                <w:bCs/>
                <w:color w:val="auto"/>
                <w:sz w:val="24"/>
                <w:szCs w:val="24"/>
              </w:rPr>
              <w:t>每小时天然气消耗量</w:t>
            </w:r>
            <w:r>
              <w:rPr>
                <w:rFonts w:hint="eastAsia"/>
                <w:bCs/>
                <w:color w:val="auto"/>
                <w:sz w:val="24"/>
                <w:szCs w:val="24"/>
                <w:lang w:val="en-US" w:eastAsia="zh-CN"/>
              </w:rPr>
              <w:t>约为11.6</w:t>
            </w:r>
            <w:r>
              <w:rPr>
                <w:rFonts w:hint="eastAsia"/>
                <w:bCs/>
                <w:color w:val="auto"/>
                <w:sz w:val="24"/>
                <w:szCs w:val="24"/>
              </w:rPr>
              <w:t>m³，</w:t>
            </w:r>
            <w:r>
              <w:rPr>
                <w:rFonts w:hint="eastAsia"/>
                <w:bCs/>
                <w:color w:val="auto"/>
                <w:sz w:val="24"/>
                <w:szCs w:val="24"/>
                <w:lang w:val="en-US" w:eastAsia="zh-CN"/>
              </w:rPr>
              <w:t>喷涂线全年生产800h，</w:t>
            </w:r>
            <w:r>
              <w:rPr>
                <w:rFonts w:hint="eastAsia"/>
                <w:bCs/>
                <w:color w:val="auto"/>
                <w:sz w:val="24"/>
                <w:szCs w:val="24"/>
              </w:rPr>
              <w:t>则</w:t>
            </w:r>
            <w:r>
              <w:rPr>
                <w:rFonts w:hint="eastAsia"/>
                <w:bCs/>
                <w:color w:val="auto"/>
                <w:sz w:val="24"/>
                <w:szCs w:val="24"/>
                <w:lang w:val="en-US" w:eastAsia="zh-CN"/>
              </w:rPr>
              <w:t>全</w:t>
            </w:r>
            <w:r>
              <w:rPr>
                <w:rFonts w:hint="eastAsia"/>
                <w:bCs/>
                <w:color w:val="auto"/>
                <w:sz w:val="24"/>
                <w:szCs w:val="24"/>
              </w:rPr>
              <w:t>年消耗天然气量为</w:t>
            </w:r>
            <w:r>
              <w:rPr>
                <w:rFonts w:hint="eastAsia"/>
                <w:bCs/>
                <w:color w:val="auto"/>
                <w:sz w:val="24"/>
                <w:szCs w:val="24"/>
                <w:lang w:val="en-US" w:eastAsia="zh-CN"/>
              </w:rPr>
              <w:t>10.21</w:t>
            </w:r>
            <w:r>
              <w:rPr>
                <w:rFonts w:hint="eastAsia"/>
                <w:bCs/>
                <w:color w:val="auto"/>
                <w:sz w:val="24"/>
                <w:szCs w:val="24"/>
              </w:rPr>
              <w:t>万立方米。</w:t>
            </w:r>
            <w:r>
              <w:rPr>
                <w:color w:val="auto"/>
                <w:sz w:val="24"/>
                <w:szCs w:val="24"/>
              </w:rPr>
              <w:t>根据《排放源统计调查产排污核算方法和系数手册--机械行业系数手册》，天然气工业炉窑产污系数如下：</w:t>
            </w:r>
          </w:p>
          <w:p>
            <w:pPr>
              <w:pStyle w:val="2"/>
              <w:spacing w:line="520" w:lineRule="exact"/>
              <w:ind w:left="0"/>
              <w:jc w:val="center"/>
              <w:rPr>
                <w:b/>
                <w:color w:val="auto"/>
                <w:sz w:val="24"/>
                <w:szCs w:val="24"/>
              </w:rPr>
            </w:pPr>
            <w:r>
              <w:rPr>
                <w:b/>
                <w:color w:val="auto"/>
                <w:sz w:val="24"/>
                <w:szCs w:val="24"/>
              </w:rPr>
              <w:t>表3</w:t>
            </w:r>
            <w:r>
              <w:rPr>
                <w:rFonts w:hint="eastAsia"/>
                <w:b/>
                <w:color w:val="auto"/>
                <w:sz w:val="24"/>
                <w:szCs w:val="24"/>
              </w:rPr>
              <w:t>-8</w:t>
            </w:r>
            <w:r>
              <w:rPr>
                <w:b/>
                <w:color w:val="auto"/>
                <w:sz w:val="24"/>
                <w:szCs w:val="24"/>
              </w:rPr>
              <w:t xml:space="preserve">  天然气工业炉窑产排污系数一览表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2005"/>
              <w:gridCol w:w="200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pPr>
                    <w:rPr>
                      <w:color w:val="auto"/>
                    </w:rPr>
                  </w:pPr>
                  <w:r>
                    <w:rPr>
                      <w:color w:val="auto"/>
                    </w:rPr>
                    <w:t>工艺名称</w:t>
                  </w:r>
                </w:p>
              </w:tc>
              <w:tc>
                <w:tcPr>
                  <w:tcW w:w="1249" w:type="pct"/>
                  <w:vAlign w:val="center"/>
                </w:tcPr>
                <w:p>
                  <w:pPr>
                    <w:rPr>
                      <w:color w:val="auto"/>
                    </w:rPr>
                  </w:pPr>
                  <w:r>
                    <w:rPr>
                      <w:color w:val="auto"/>
                    </w:rPr>
                    <w:t>污染物指标</w:t>
                  </w:r>
                </w:p>
              </w:tc>
              <w:tc>
                <w:tcPr>
                  <w:tcW w:w="1249" w:type="pct"/>
                  <w:vAlign w:val="center"/>
                </w:tcPr>
                <w:p>
                  <w:pPr>
                    <w:rPr>
                      <w:color w:val="auto"/>
                    </w:rPr>
                  </w:pPr>
                  <w:r>
                    <w:rPr>
                      <w:color w:val="auto"/>
                    </w:rPr>
                    <w:t>单位</w:t>
                  </w:r>
                </w:p>
              </w:tc>
              <w:tc>
                <w:tcPr>
                  <w:tcW w:w="1250" w:type="pct"/>
                  <w:vAlign w:val="center"/>
                </w:tcPr>
                <w:p>
                  <w:pPr>
                    <w:rPr>
                      <w:color w:val="auto"/>
                    </w:rPr>
                  </w:pPr>
                  <w:r>
                    <w:rPr>
                      <w:color w:val="auto"/>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vAlign w:val="center"/>
                </w:tcPr>
                <w:p>
                  <w:pPr>
                    <w:rPr>
                      <w:color w:val="auto"/>
                    </w:rPr>
                  </w:pPr>
                  <w:r>
                    <w:rPr>
                      <w:color w:val="auto"/>
                    </w:rPr>
                    <w:t>天然气工业炉窑</w:t>
                  </w:r>
                </w:p>
              </w:tc>
              <w:tc>
                <w:tcPr>
                  <w:tcW w:w="1249" w:type="pct"/>
                  <w:vAlign w:val="center"/>
                </w:tcPr>
                <w:p>
                  <w:pPr>
                    <w:rPr>
                      <w:color w:val="auto"/>
                    </w:rPr>
                  </w:pPr>
                  <w:r>
                    <w:rPr>
                      <w:color w:val="auto"/>
                    </w:rPr>
                    <w:t>工业废气量</w:t>
                  </w:r>
                </w:p>
              </w:tc>
              <w:tc>
                <w:tcPr>
                  <w:tcW w:w="1249" w:type="pct"/>
                  <w:vAlign w:val="center"/>
                </w:tcPr>
                <w:p>
                  <w:pPr>
                    <w:rPr>
                      <w:color w:val="auto"/>
                    </w:rPr>
                  </w:pPr>
                  <w:r>
                    <w:rPr>
                      <w:color w:val="auto"/>
                    </w:rPr>
                    <w:t>立方米/立方米-原料</w:t>
                  </w:r>
                </w:p>
              </w:tc>
              <w:tc>
                <w:tcPr>
                  <w:tcW w:w="1250" w:type="pct"/>
                  <w:vAlign w:val="center"/>
                </w:tcPr>
                <w:p>
                  <w:pPr>
                    <w:rPr>
                      <w:color w:val="auto"/>
                    </w:rPr>
                  </w:pPr>
                  <w:r>
                    <w:rPr>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颗粒物</w:t>
                  </w:r>
                </w:p>
              </w:tc>
              <w:tc>
                <w:tcPr>
                  <w:tcW w:w="1249" w:type="pct"/>
                  <w:vMerge w:val="restart"/>
                  <w:vAlign w:val="center"/>
                </w:tcPr>
                <w:p>
                  <w:pPr>
                    <w:rPr>
                      <w:color w:val="auto"/>
                    </w:rPr>
                  </w:pPr>
                  <w:r>
                    <w:rPr>
                      <w:color w:val="auto"/>
                    </w:rPr>
                    <w:t>千克/立方米-原料</w:t>
                  </w:r>
                </w:p>
              </w:tc>
              <w:tc>
                <w:tcPr>
                  <w:tcW w:w="1250" w:type="pct"/>
                  <w:vAlign w:val="center"/>
                </w:tcPr>
                <w:p>
                  <w:pPr>
                    <w:rPr>
                      <w:color w:val="auto"/>
                    </w:rPr>
                  </w:pPr>
                  <w:r>
                    <w:rPr>
                      <w:color w:val="auto"/>
                    </w:rPr>
                    <w:t>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二氧化硫</w:t>
                  </w:r>
                </w:p>
              </w:tc>
              <w:tc>
                <w:tcPr>
                  <w:tcW w:w="1249" w:type="pct"/>
                  <w:vMerge w:val="continue"/>
                  <w:vAlign w:val="center"/>
                </w:tcPr>
                <w:p>
                  <w:pPr>
                    <w:rPr>
                      <w:color w:val="auto"/>
                    </w:rPr>
                  </w:pPr>
                </w:p>
              </w:tc>
              <w:tc>
                <w:tcPr>
                  <w:tcW w:w="1250" w:type="pct"/>
                  <w:vAlign w:val="center"/>
                </w:tcPr>
                <w:p>
                  <w:pPr>
                    <w:rPr>
                      <w:color w:val="auto"/>
                    </w:rPr>
                  </w:pPr>
                  <w:r>
                    <w:rPr>
                      <w:color w:val="auto"/>
                    </w:rPr>
                    <w:t>0.000002S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氮氧化物</w:t>
                  </w:r>
                </w:p>
              </w:tc>
              <w:tc>
                <w:tcPr>
                  <w:tcW w:w="1249" w:type="pct"/>
                  <w:vMerge w:val="continue"/>
                  <w:vAlign w:val="center"/>
                </w:tcPr>
                <w:p>
                  <w:pPr>
                    <w:rPr>
                      <w:color w:val="auto"/>
                    </w:rPr>
                  </w:pPr>
                </w:p>
              </w:tc>
              <w:tc>
                <w:tcPr>
                  <w:tcW w:w="1250" w:type="pct"/>
                  <w:vAlign w:val="center"/>
                </w:tcPr>
                <w:p>
                  <w:pPr>
                    <w:rPr>
                      <w:color w:val="auto"/>
                    </w:rPr>
                  </w:pPr>
                  <w:r>
                    <w:rPr>
                      <w:color w:val="auto"/>
                    </w:rPr>
                    <w:t>0.00187</w:t>
                  </w:r>
                </w:p>
              </w:tc>
            </w:tr>
          </w:tbl>
          <w:p>
            <w:pPr>
              <w:widowControl/>
              <w:ind w:firstLine="412" w:firstLineChars="200"/>
              <w:rPr>
                <w:color w:val="auto"/>
                <w:szCs w:val="21"/>
              </w:rPr>
            </w:pPr>
            <w:r>
              <w:rPr>
                <w:color w:val="auto"/>
                <w:kern w:val="0"/>
                <w:szCs w:val="21"/>
                <w:lang w:bidi="ar"/>
              </w:rPr>
              <w:t>S：收到基硫分（取值范围0-100，燃料为气体时，取值范围≥0），本项目S取值按40计。</w:t>
            </w:r>
          </w:p>
          <w:p>
            <w:pPr>
              <w:spacing w:line="520" w:lineRule="exact"/>
              <w:ind w:firstLine="472" w:firstLineChars="200"/>
              <w:rPr>
                <w:rFonts w:hint="default" w:eastAsia="宋体"/>
                <w:color w:val="auto"/>
                <w:sz w:val="24"/>
                <w:szCs w:val="24"/>
                <w:vertAlign w:val="baseline"/>
                <w:lang w:val="en-US" w:eastAsia="zh-CN"/>
              </w:rPr>
            </w:pPr>
            <w:r>
              <w:rPr>
                <w:bCs/>
                <w:color w:val="auto"/>
                <w:sz w:val="24"/>
                <w:szCs w:val="24"/>
              </w:rPr>
              <w:t>根据排污系数计算及天然气成分表可知，</w:t>
            </w:r>
            <w:r>
              <w:rPr>
                <w:rFonts w:hint="eastAsia"/>
                <w:bCs/>
                <w:color w:val="auto"/>
                <w:sz w:val="24"/>
                <w:szCs w:val="24"/>
              </w:rPr>
              <w:t>本项目天然气燃烧</w:t>
            </w:r>
            <w:r>
              <w:rPr>
                <w:bCs/>
                <w:color w:val="auto"/>
                <w:sz w:val="24"/>
                <w:szCs w:val="24"/>
              </w:rPr>
              <w:t>废气产生量为</w:t>
            </w:r>
            <w:r>
              <w:rPr>
                <w:rFonts w:hint="eastAsia"/>
                <w:bCs/>
                <w:color w:val="auto"/>
                <w:sz w:val="24"/>
                <w:szCs w:val="24"/>
                <w:lang w:val="en-US" w:eastAsia="zh-CN"/>
              </w:rPr>
              <w:t>138.856</w:t>
            </w:r>
            <w:r>
              <w:rPr>
                <w:bCs/>
                <w:color w:val="auto"/>
                <w:sz w:val="24"/>
                <w:szCs w:val="24"/>
              </w:rPr>
              <w:t>万Nm</w:t>
            </w:r>
            <w:r>
              <w:rPr>
                <w:bCs/>
                <w:color w:val="auto"/>
                <w:sz w:val="24"/>
                <w:szCs w:val="24"/>
                <w:vertAlign w:val="superscript"/>
              </w:rPr>
              <w:t>3</w:t>
            </w:r>
            <w:r>
              <w:rPr>
                <w:bCs/>
                <w:color w:val="auto"/>
                <w:sz w:val="24"/>
                <w:szCs w:val="24"/>
              </w:rPr>
              <w:t>/a。</w:t>
            </w:r>
            <w:r>
              <w:rPr>
                <w:rFonts w:hint="eastAsia"/>
                <w:bCs/>
                <w:color w:val="auto"/>
                <w:sz w:val="24"/>
                <w:szCs w:val="24"/>
                <w:lang w:val="en-US" w:eastAsia="zh-CN"/>
              </w:rPr>
              <w:t>天然气燃烧废气</w:t>
            </w:r>
            <w:r>
              <w:rPr>
                <w:color w:val="auto"/>
                <w:sz w:val="24"/>
                <w:szCs w:val="24"/>
              </w:rPr>
              <w:t>SO</w:t>
            </w:r>
            <w:r>
              <w:rPr>
                <w:color w:val="auto"/>
                <w:sz w:val="24"/>
                <w:szCs w:val="24"/>
                <w:vertAlign w:val="subscript"/>
              </w:rPr>
              <w:t>2</w:t>
            </w:r>
            <w:r>
              <w:rPr>
                <w:rFonts w:hint="eastAsia"/>
                <w:color w:val="auto"/>
                <w:sz w:val="24"/>
                <w:szCs w:val="24"/>
                <w:vertAlign w:val="baseline"/>
                <w:lang w:eastAsia="zh-CN"/>
              </w:rPr>
              <w:t>、</w:t>
            </w:r>
            <w:r>
              <w:rPr>
                <w:color w:val="auto"/>
                <w:sz w:val="24"/>
                <w:szCs w:val="24"/>
              </w:rPr>
              <w:t>NO</w:t>
            </w:r>
            <w:r>
              <w:rPr>
                <w:color w:val="auto"/>
                <w:sz w:val="24"/>
                <w:szCs w:val="24"/>
                <w:vertAlign w:val="subscript"/>
              </w:rPr>
              <w:t>X</w:t>
            </w:r>
            <w:r>
              <w:rPr>
                <w:rFonts w:hint="eastAsia"/>
                <w:color w:val="auto"/>
                <w:sz w:val="24"/>
                <w:szCs w:val="24"/>
                <w:vertAlign w:val="baseline"/>
                <w:lang w:val="en-US" w:eastAsia="zh-CN"/>
              </w:rPr>
              <w:t>执行</w:t>
            </w:r>
            <w:r>
              <w:rPr>
                <w:bCs/>
                <w:color w:val="auto"/>
                <w:sz w:val="24"/>
                <w:szCs w:val="24"/>
              </w:rPr>
              <w:t>《工业炉窑大气污染物排放标准》（DB13/1640-2012）表1表2限值</w:t>
            </w:r>
            <w:r>
              <w:rPr>
                <w:rFonts w:hint="eastAsia"/>
                <w:bCs/>
                <w:color w:val="auto"/>
                <w:sz w:val="24"/>
                <w:szCs w:val="24"/>
                <w:lang w:eastAsia="zh-CN"/>
              </w:rPr>
              <w:t>，</w:t>
            </w:r>
            <w:r>
              <w:rPr>
                <w:rFonts w:hint="eastAsia"/>
                <w:bCs/>
                <w:color w:val="auto"/>
                <w:sz w:val="24"/>
                <w:szCs w:val="24"/>
                <w:lang w:val="en-US" w:eastAsia="zh-CN"/>
              </w:rPr>
              <w:t>则</w:t>
            </w:r>
            <w:r>
              <w:rPr>
                <w:color w:val="auto"/>
                <w:sz w:val="24"/>
                <w:szCs w:val="24"/>
              </w:rPr>
              <w:t>SO</w:t>
            </w:r>
            <w:r>
              <w:rPr>
                <w:color w:val="auto"/>
                <w:sz w:val="24"/>
                <w:szCs w:val="24"/>
                <w:vertAlign w:val="subscript"/>
              </w:rPr>
              <w:t>2</w:t>
            </w:r>
            <w:r>
              <w:rPr>
                <w:rFonts w:hint="eastAsia"/>
                <w:color w:val="auto"/>
                <w:sz w:val="24"/>
                <w:szCs w:val="24"/>
                <w:vertAlign w:val="baseline"/>
                <w:lang w:eastAsia="zh-CN"/>
              </w:rPr>
              <w:t>、</w:t>
            </w:r>
            <w:r>
              <w:rPr>
                <w:color w:val="auto"/>
                <w:sz w:val="24"/>
                <w:szCs w:val="24"/>
              </w:rPr>
              <w:t>NO</w:t>
            </w:r>
            <w:r>
              <w:rPr>
                <w:color w:val="auto"/>
                <w:sz w:val="24"/>
                <w:szCs w:val="24"/>
                <w:vertAlign w:val="subscript"/>
              </w:rPr>
              <w:t>X</w:t>
            </w:r>
            <w:r>
              <w:rPr>
                <w:rFonts w:hint="eastAsia"/>
                <w:color w:val="auto"/>
                <w:sz w:val="24"/>
                <w:szCs w:val="24"/>
                <w:vertAlign w:val="baseline"/>
                <w:lang w:val="en-US" w:eastAsia="zh-CN"/>
              </w:rPr>
              <w:t>总量计算公式如下：</w:t>
            </w:r>
          </w:p>
          <w:p>
            <w:pPr>
              <w:pStyle w:val="24"/>
              <w:spacing w:line="360" w:lineRule="auto"/>
              <w:ind w:firstLine="472" w:firstLineChars="200"/>
              <w:rPr>
                <w:color w:val="auto"/>
              </w:rPr>
            </w:pPr>
            <w:r>
              <w:rPr>
                <w:color w:val="auto"/>
              </w:rPr>
              <w:t>SO</w:t>
            </w:r>
            <w:r>
              <w:rPr>
                <w:color w:val="auto"/>
                <w:vertAlign w:val="subscript"/>
              </w:rPr>
              <w:t>2</w:t>
            </w:r>
            <w:r>
              <w:rPr>
                <w:color w:val="auto"/>
              </w:rPr>
              <w:t>：400mg/m³×</w:t>
            </w:r>
            <w:r>
              <w:rPr>
                <w:rFonts w:hint="eastAsia"/>
                <w:color w:val="auto"/>
                <w:lang w:val="en-US" w:eastAsia="zh-CN"/>
              </w:rPr>
              <w:t>138.856</w:t>
            </w:r>
            <w:r>
              <w:rPr>
                <w:color w:val="auto"/>
              </w:rPr>
              <w:t>万m</w:t>
            </w:r>
            <w:r>
              <w:rPr>
                <w:color w:val="auto"/>
                <w:vertAlign w:val="superscript"/>
              </w:rPr>
              <w:t>3</w:t>
            </w:r>
            <w:r>
              <w:rPr>
                <w:color w:val="auto"/>
              </w:rPr>
              <w:t>/a×10</w:t>
            </w:r>
            <w:r>
              <w:rPr>
                <w:color w:val="auto"/>
                <w:vertAlign w:val="superscript"/>
              </w:rPr>
              <w:t>-</w:t>
            </w:r>
            <w:r>
              <w:rPr>
                <w:rFonts w:hint="eastAsia"/>
                <w:color w:val="auto"/>
                <w:vertAlign w:val="superscript"/>
                <w:lang w:val="en-US" w:eastAsia="zh-CN"/>
              </w:rPr>
              <w:t>5</w:t>
            </w:r>
            <w:r>
              <w:rPr>
                <w:color w:val="auto"/>
              </w:rPr>
              <w:t>=</w:t>
            </w:r>
            <w:r>
              <w:rPr>
                <w:rFonts w:hint="eastAsia"/>
                <w:color w:val="auto"/>
                <w:lang w:val="en-US" w:eastAsia="zh-CN"/>
              </w:rPr>
              <w:t>0.555</w:t>
            </w:r>
            <w:r>
              <w:rPr>
                <w:color w:val="auto"/>
              </w:rPr>
              <w:t>t/a</w:t>
            </w:r>
          </w:p>
          <w:p>
            <w:pPr>
              <w:pStyle w:val="24"/>
              <w:spacing w:line="360" w:lineRule="auto"/>
              <w:ind w:firstLine="472" w:firstLineChars="200"/>
              <w:rPr>
                <w:color w:val="auto"/>
              </w:rPr>
            </w:pPr>
            <w:r>
              <w:rPr>
                <w:color w:val="auto"/>
              </w:rPr>
              <w:t>NO</w:t>
            </w:r>
            <w:r>
              <w:rPr>
                <w:color w:val="auto"/>
                <w:vertAlign w:val="subscript"/>
              </w:rPr>
              <w:t>X</w:t>
            </w:r>
            <w:r>
              <w:rPr>
                <w:color w:val="auto"/>
              </w:rPr>
              <w:t>：400mg/m³×</w:t>
            </w:r>
            <w:r>
              <w:rPr>
                <w:rFonts w:hint="eastAsia"/>
                <w:color w:val="auto"/>
                <w:lang w:val="en-US" w:eastAsia="zh-CN"/>
              </w:rPr>
              <w:t>138.856</w:t>
            </w:r>
            <w:r>
              <w:rPr>
                <w:color w:val="auto"/>
              </w:rPr>
              <w:t>万m</w:t>
            </w:r>
            <w:r>
              <w:rPr>
                <w:color w:val="auto"/>
                <w:vertAlign w:val="superscript"/>
              </w:rPr>
              <w:t>3</w:t>
            </w:r>
            <w:r>
              <w:rPr>
                <w:color w:val="auto"/>
              </w:rPr>
              <w:t>/a×10</w:t>
            </w:r>
            <w:r>
              <w:rPr>
                <w:color w:val="auto"/>
                <w:vertAlign w:val="superscript"/>
              </w:rPr>
              <w:t>-</w:t>
            </w:r>
            <w:r>
              <w:rPr>
                <w:rFonts w:hint="eastAsia"/>
                <w:color w:val="auto"/>
                <w:vertAlign w:val="superscript"/>
                <w:lang w:val="en-US" w:eastAsia="zh-CN"/>
              </w:rPr>
              <w:t>5</w:t>
            </w:r>
            <w:r>
              <w:rPr>
                <w:color w:val="auto"/>
              </w:rPr>
              <w:t>=</w:t>
            </w:r>
            <w:r>
              <w:rPr>
                <w:rFonts w:hint="eastAsia"/>
                <w:color w:val="auto"/>
                <w:lang w:val="en-US" w:eastAsia="zh-CN"/>
              </w:rPr>
              <w:t>0.555</w:t>
            </w:r>
            <w:r>
              <w:rPr>
                <w:color w:val="auto"/>
              </w:rPr>
              <w:t>t/a</w:t>
            </w:r>
          </w:p>
          <w:p>
            <w:pPr>
              <w:spacing w:line="360" w:lineRule="auto"/>
              <w:ind w:firstLine="480"/>
              <w:rPr>
                <w:rFonts w:hint="eastAsia" w:hAnsi="宋体"/>
                <w:color w:val="auto"/>
                <w:sz w:val="24"/>
                <w:szCs w:val="24"/>
                <w:lang w:val="en-US" w:eastAsia="zh-CN"/>
              </w:rPr>
            </w:pPr>
            <w:r>
              <w:rPr>
                <w:rFonts w:hint="eastAsia"/>
                <w:color w:val="auto"/>
                <w:sz w:val="24"/>
                <w:szCs w:val="24"/>
                <w:lang w:val="en-US" w:eastAsia="zh-CN"/>
              </w:rPr>
              <w:t>本项目自动喷涂线固化工序和手喷件固化烘箱会产生</w:t>
            </w:r>
            <w:r>
              <w:rPr>
                <w:rFonts w:hint="eastAsia" w:hAnsi="宋体"/>
                <w:color w:val="auto"/>
                <w:sz w:val="24"/>
                <w:szCs w:val="24"/>
                <w:lang w:val="en-US" w:eastAsia="zh-CN"/>
              </w:rPr>
              <w:t>VOCs，废气治理设施引风机设计风量合计为15000m</w:t>
            </w:r>
            <w:r>
              <w:rPr>
                <w:rFonts w:hint="eastAsia" w:hAnsi="宋体"/>
                <w:color w:val="auto"/>
                <w:sz w:val="24"/>
                <w:szCs w:val="24"/>
                <w:vertAlign w:val="superscript"/>
                <w:lang w:val="en-US" w:eastAsia="zh-CN"/>
              </w:rPr>
              <w:t>3</w:t>
            </w:r>
            <w:r>
              <w:rPr>
                <w:rFonts w:hint="eastAsia" w:hAnsi="宋体"/>
                <w:color w:val="auto"/>
                <w:sz w:val="24"/>
                <w:szCs w:val="24"/>
                <w:lang w:val="en-US" w:eastAsia="zh-CN"/>
              </w:rPr>
              <w:t>/h，全年喷涂线生产时间为800h，则本项目VOCs废气产生量为1200万Nm</w:t>
            </w:r>
            <w:r>
              <w:rPr>
                <w:rFonts w:hint="eastAsia" w:hAnsi="宋体"/>
                <w:color w:val="auto"/>
                <w:sz w:val="24"/>
                <w:szCs w:val="24"/>
                <w:vertAlign w:val="superscript"/>
                <w:lang w:val="en-US" w:eastAsia="zh-CN"/>
              </w:rPr>
              <w:t>3</w:t>
            </w:r>
            <w:r>
              <w:rPr>
                <w:rFonts w:hint="eastAsia" w:hAnsi="宋体"/>
                <w:color w:val="auto"/>
                <w:sz w:val="24"/>
                <w:szCs w:val="24"/>
                <w:lang w:val="en-US" w:eastAsia="zh-CN"/>
              </w:rPr>
              <w:t>/a，VOCs（以非甲烷总烃计）执行《工业企业挥发性有机物排放控制标准》(DB13/2322-2016)表1表面涂装业有机废气排放口排放要求：VOCs（以非甲烷总烃计）60</w:t>
            </w:r>
            <w:r>
              <w:rPr>
                <w:color w:val="auto"/>
              </w:rPr>
              <w:t>mg/m³</w:t>
            </w:r>
            <w:r>
              <w:rPr>
                <w:rFonts w:hint="eastAsia"/>
                <w:color w:val="auto"/>
                <w:lang w:eastAsia="zh-CN"/>
              </w:rPr>
              <w:t>，</w:t>
            </w:r>
            <w:r>
              <w:rPr>
                <w:rFonts w:hint="eastAsia"/>
                <w:color w:val="auto"/>
                <w:lang w:val="en-US" w:eastAsia="zh-CN"/>
              </w:rPr>
              <w:t>则</w:t>
            </w:r>
            <w:r>
              <w:rPr>
                <w:rFonts w:hint="eastAsia" w:hAnsi="宋体"/>
                <w:color w:val="auto"/>
                <w:sz w:val="24"/>
                <w:szCs w:val="24"/>
                <w:lang w:val="en-US" w:eastAsia="zh-CN"/>
              </w:rPr>
              <w:t>VOCs计算公示如下：</w:t>
            </w:r>
          </w:p>
          <w:p>
            <w:pPr>
              <w:pStyle w:val="24"/>
              <w:spacing w:line="360" w:lineRule="auto"/>
              <w:ind w:firstLine="472" w:firstLineChars="200"/>
              <w:rPr>
                <w:color w:val="auto"/>
              </w:rPr>
            </w:pPr>
            <w:r>
              <w:rPr>
                <w:rFonts w:hint="eastAsia" w:hAnsi="宋体"/>
                <w:color w:val="auto"/>
                <w:sz w:val="24"/>
                <w:szCs w:val="24"/>
                <w:lang w:val="en-US" w:eastAsia="zh-CN"/>
              </w:rPr>
              <w:t xml:space="preserve"> VOCs：</w:t>
            </w:r>
            <w:r>
              <w:rPr>
                <w:rFonts w:hint="eastAsia"/>
                <w:color w:val="auto"/>
                <w:lang w:val="en-US" w:eastAsia="zh-CN"/>
              </w:rPr>
              <w:t>60</w:t>
            </w:r>
            <w:r>
              <w:rPr>
                <w:color w:val="auto"/>
              </w:rPr>
              <w:t>mg/m³×</w:t>
            </w:r>
            <w:r>
              <w:rPr>
                <w:rFonts w:hint="eastAsia"/>
                <w:color w:val="auto"/>
                <w:lang w:val="en-US" w:eastAsia="zh-CN"/>
              </w:rPr>
              <w:t>1200</w:t>
            </w:r>
            <w:r>
              <w:rPr>
                <w:color w:val="auto"/>
              </w:rPr>
              <w:t>万m</w:t>
            </w:r>
            <w:r>
              <w:rPr>
                <w:color w:val="auto"/>
                <w:vertAlign w:val="superscript"/>
              </w:rPr>
              <w:t>3</w:t>
            </w:r>
            <w:r>
              <w:rPr>
                <w:color w:val="auto"/>
              </w:rPr>
              <w:t>/a×10</w:t>
            </w:r>
            <w:r>
              <w:rPr>
                <w:color w:val="auto"/>
                <w:vertAlign w:val="superscript"/>
              </w:rPr>
              <w:t>-</w:t>
            </w:r>
            <w:r>
              <w:rPr>
                <w:rFonts w:hint="eastAsia"/>
                <w:color w:val="auto"/>
                <w:vertAlign w:val="superscript"/>
                <w:lang w:val="en-US" w:eastAsia="zh-CN"/>
              </w:rPr>
              <w:t>5</w:t>
            </w:r>
            <w:r>
              <w:rPr>
                <w:color w:val="auto"/>
              </w:rPr>
              <w:t>=</w:t>
            </w:r>
            <w:r>
              <w:rPr>
                <w:rFonts w:hint="eastAsia"/>
                <w:color w:val="auto"/>
                <w:lang w:val="en-US" w:eastAsia="zh-CN"/>
              </w:rPr>
              <w:t>0.720</w:t>
            </w:r>
            <w:r>
              <w:rPr>
                <w:color w:val="auto"/>
              </w:rPr>
              <w:t>t/a</w:t>
            </w:r>
          </w:p>
          <w:p>
            <w:pPr>
              <w:pStyle w:val="24"/>
              <w:spacing w:line="360" w:lineRule="auto"/>
              <w:ind w:firstLine="472" w:firstLineChars="200"/>
              <w:rPr>
                <w:rFonts w:hint="eastAsia" w:eastAsia="宋体"/>
                <w:color w:val="auto"/>
                <w:lang w:val="en-US" w:eastAsia="zh-CN"/>
              </w:rPr>
            </w:pPr>
            <w:r>
              <w:rPr>
                <w:color w:val="auto"/>
                <w:sz w:val="24"/>
                <w:szCs w:val="24"/>
              </w:rPr>
              <w:t>综上，</w:t>
            </w:r>
            <w:r>
              <w:rPr>
                <w:rFonts w:hint="eastAsia"/>
                <w:color w:val="auto"/>
                <w:sz w:val="24"/>
                <w:szCs w:val="24"/>
              </w:rPr>
              <w:t>本项目</w:t>
            </w:r>
            <w:r>
              <w:rPr>
                <w:color w:val="auto"/>
                <w:sz w:val="24"/>
                <w:szCs w:val="24"/>
              </w:rPr>
              <w:t>污染物排放总量控制指标建议值为</w:t>
            </w:r>
            <w:r>
              <w:rPr>
                <w:color w:val="auto"/>
                <w:sz w:val="24"/>
                <w:szCs w:val="24"/>
                <w:lang w:val="fr-FR"/>
              </w:rPr>
              <w:t>COD：</w:t>
            </w:r>
            <w:r>
              <w:rPr>
                <w:rFonts w:hint="eastAsia"/>
                <w:color w:val="auto"/>
                <w:sz w:val="24"/>
                <w:szCs w:val="24"/>
                <w:lang w:val="en-US" w:eastAsia="zh-CN"/>
              </w:rPr>
              <w:t>0.281</w:t>
            </w:r>
            <w:r>
              <w:rPr>
                <w:color w:val="auto"/>
                <w:sz w:val="24"/>
                <w:szCs w:val="24"/>
                <w:lang w:val="fr-FR"/>
              </w:rPr>
              <w:t>t/a；</w:t>
            </w:r>
            <w:r>
              <w:rPr>
                <w:color w:val="auto"/>
                <w:sz w:val="24"/>
                <w:szCs w:val="24"/>
              </w:rPr>
              <w:t>氨氮</w:t>
            </w:r>
            <w:r>
              <w:rPr>
                <w:color w:val="auto"/>
                <w:sz w:val="24"/>
                <w:szCs w:val="24"/>
                <w:lang w:val="fr-FR"/>
              </w:rPr>
              <w:t>：</w:t>
            </w:r>
            <w:r>
              <w:rPr>
                <w:rFonts w:hint="eastAsia"/>
                <w:color w:val="auto"/>
                <w:sz w:val="24"/>
                <w:szCs w:val="24"/>
                <w:lang w:val="en-US" w:eastAsia="zh-CN"/>
              </w:rPr>
              <w:t>0.028</w:t>
            </w:r>
            <w:r>
              <w:rPr>
                <w:color w:val="auto"/>
                <w:sz w:val="24"/>
                <w:szCs w:val="24"/>
                <w:lang w:val="fr-FR"/>
              </w:rPr>
              <w:t>t/a； SO</w:t>
            </w:r>
            <w:r>
              <w:rPr>
                <w:color w:val="auto"/>
                <w:sz w:val="24"/>
                <w:szCs w:val="24"/>
                <w:vertAlign w:val="subscript"/>
                <w:lang w:val="fr-FR"/>
              </w:rPr>
              <w:t>2</w:t>
            </w:r>
            <w:r>
              <w:rPr>
                <w:color w:val="auto"/>
                <w:sz w:val="24"/>
                <w:szCs w:val="24"/>
                <w:lang w:val="fr-FR"/>
              </w:rPr>
              <w:t>：</w:t>
            </w:r>
            <w:r>
              <w:rPr>
                <w:rFonts w:hint="eastAsia"/>
                <w:color w:val="auto"/>
                <w:sz w:val="24"/>
                <w:szCs w:val="24"/>
                <w:lang w:val="en-US" w:eastAsia="zh-CN"/>
              </w:rPr>
              <w:t>0.555</w:t>
            </w:r>
            <w:r>
              <w:rPr>
                <w:color w:val="auto"/>
                <w:sz w:val="24"/>
                <w:szCs w:val="24"/>
                <w:lang w:val="fr-FR"/>
              </w:rPr>
              <w:t>t/a；NO</w:t>
            </w:r>
            <w:r>
              <w:rPr>
                <w:color w:val="auto"/>
                <w:sz w:val="24"/>
                <w:szCs w:val="24"/>
                <w:vertAlign w:val="subscript"/>
                <w:lang w:val="fr-FR"/>
              </w:rPr>
              <w:t>X</w:t>
            </w:r>
            <w:r>
              <w:rPr>
                <w:color w:val="auto"/>
                <w:sz w:val="24"/>
                <w:szCs w:val="24"/>
                <w:lang w:val="fr-FR"/>
              </w:rPr>
              <w:t>：</w:t>
            </w:r>
            <w:r>
              <w:rPr>
                <w:rFonts w:hint="eastAsia"/>
                <w:color w:val="auto"/>
                <w:sz w:val="24"/>
                <w:szCs w:val="24"/>
                <w:lang w:val="en-US" w:eastAsia="zh-CN"/>
              </w:rPr>
              <w:t>0.555</w:t>
            </w:r>
            <w:r>
              <w:rPr>
                <w:color w:val="auto"/>
                <w:sz w:val="24"/>
                <w:szCs w:val="24"/>
                <w:lang w:val="fr-FR"/>
              </w:rPr>
              <w:t>t/a</w:t>
            </w:r>
            <w:r>
              <w:rPr>
                <w:rFonts w:hint="eastAsia"/>
                <w:color w:val="auto"/>
                <w:sz w:val="24"/>
                <w:szCs w:val="24"/>
                <w:lang w:val="fr-FR" w:eastAsia="zh-CN"/>
              </w:rPr>
              <w:t>；</w:t>
            </w:r>
            <w:r>
              <w:rPr>
                <w:rFonts w:hint="eastAsia" w:hAnsi="宋体"/>
                <w:color w:val="auto"/>
                <w:sz w:val="24"/>
                <w:szCs w:val="24"/>
                <w:lang w:val="en-US" w:eastAsia="zh-CN"/>
              </w:rPr>
              <w:t xml:space="preserve"> VOCs：</w:t>
            </w:r>
            <w:r>
              <w:rPr>
                <w:rFonts w:hint="eastAsia"/>
                <w:color w:val="auto"/>
                <w:lang w:val="en-US" w:eastAsia="zh-CN"/>
              </w:rPr>
              <w:t>0.720</w:t>
            </w:r>
            <w:r>
              <w:rPr>
                <w:color w:val="auto"/>
              </w:rPr>
              <w:t>t/a</w:t>
            </w:r>
            <w:r>
              <w:rPr>
                <w:rFonts w:hint="eastAsia"/>
                <w:color w:val="auto"/>
                <w:lang w:val="en-US" w:eastAsia="zh-CN"/>
              </w:rPr>
              <w:t>.</w:t>
            </w:r>
          </w:p>
          <w:p>
            <w:pPr>
              <w:spacing w:line="360" w:lineRule="auto"/>
              <w:ind w:firstLine="480"/>
              <w:rPr>
                <w:rFonts w:hint="eastAsia" w:eastAsia="宋体"/>
                <w:color w:val="auto"/>
                <w:lang w:eastAsia="zh-CN"/>
              </w:rPr>
            </w:pPr>
          </w:p>
        </w:tc>
      </w:tr>
    </w:tbl>
    <w:p>
      <w:pPr>
        <w:rPr>
          <w:rFonts w:eastAsia="黑体"/>
          <w:sz w:val="28"/>
        </w:rPr>
        <w:sectPr>
          <w:pgSz w:w="11906" w:h="16838"/>
          <w:pgMar w:top="1304" w:right="1701" w:bottom="1418" w:left="1701" w:header="851" w:footer="851" w:gutter="0"/>
          <w:pgBorders>
            <w:top w:val="none" w:sz="0" w:space="0"/>
            <w:left w:val="none" w:sz="0" w:space="0"/>
            <w:bottom w:val="none" w:sz="0" w:space="0"/>
            <w:right w:val="none" w:sz="0" w:space="0"/>
          </w:pgBorders>
          <w:cols w:space="720" w:num="1"/>
          <w:docGrid w:type="linesAndChars" w:linePitch="380" w:charSpace="-948"/>
        </w:sectPr>
      </w:pPr>
    </w:p>
    <w:p>
      <w:pPr>
        <w:jc w:val="center"/>
        <w:rPr>
          <w:rFonts w:eastAsia="黑体"/>
          <w:b/>
          <w:sz w:val="32"/>
          <w:szCs w:val="32"/>
        </w:rPr>
      </w:pPr>
      <w:r>
        <w:rPr>
          <w:rFonts w:hint="eastAsia" w:eastAsia="黑体"/>
          <w:b/>
          <w:sz w:val="32"/>
          <w:szCs w:val="32"/>
        </w:rPr>
        <w:t>四、主要环境影响和保护措施</w:t>
      </w:r>
    </w:p>
    <w:tbl>
      <w:tblPr>
        <w:tblStyle w:val="1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pPr>
              <w:jc w:val="center"/>
              <w:rPr>
                <w:rFonts w:eastAsia="黑体"/>
                <w:color w:val="auto"/>
                <w:sz w:val="28"/>
              </w:rPr>
            </w:pPr>
            <w:r>
              <w:rPr>
                <w:rFonts w:hint="eastAsia" w:ascii="宋体" w:hAnsi="宋体" w:cs="宋体"/>
                <w:bCs/>
                <w:color w:val="auto"/>
                <w:sz w:val="24"/>
                <w:szCs w:val="24"/>
              </w:rPr>
              <w:t>施工期环境保护措施</w:t>
            </w:r>
          </w:p>
        </w:tc>
        <w:tc>
          <w:tcPr>
            <w:tcW w:w="4684" w:type="pct"/>
            <w:vAlign w:val="center"/>
          </w:tcPr>
          <w:p>
            <w:pPr>
              <w:spacing w:line="360" w:lineRule="auto"/>
              <w:jc w:val="left"/>
              <w:rPr>
                <w:color w:val="auto"/>
              </w:rPr>
            </w:pPr>
            <w:r>
              <w:rPr>
                <w:color w:val="auto"/>
              </w:rPr>
              <w:t>施工期环境影响分析：</w:t>
            </w:r>
          </w:p>
          <w:p>
            <w:pPr>
              <w:spacing w:line="500" w:lineRule="exact"/>
              <w:ind w:firstLine="472" w:firstLineChars="200"/>
              <w:rPr>
                <w:rFonts w:ascii="宋体" w:hAnsi="宋体"/>
                <w:bCs/>
                <w:snapToGrid w:val="0"/>
                <w:color w:val="auto"/>
                <w:sz w:val="24"/>
                <w:szCs w:val="24"/>
              </w:rPr>
            </w:pPr>
            <w:r>
              <w:rPr>
                <w:rFonts w:hint="eastAsia" w:ascii="宋体" w:hAnsi="宋体"/>
                <w:color w:val="auto"/>
                <w:sz w:val="24"/>
                <w:lang w:val="fr-FR"/>
              </w:rPr>
              <w:t>本项目为</w:t>
            </w:r>
            <w:r>
              <w:rPr>
                <w:rFonts w:hint="eastAsia" w:ascii="宋体" w:hAnsi="宋体"/>
                <w:color w:val="auto"/>
                <w:sz w:val="24"/>
              </w:rPr>
              <w:t>新建</w:t>
            </w:r>
            <w:r>
              <w:rPr>
                <w:rFonts w:hint="eastAsia" w:ascii="宋体" w:hAnsi="宋体"/>
                <w:color w:val="auto"/>
                <w:sz w:val="24"/>
                <w:lang w:val="fr-FR"/>
              </w:rPr>
              <w:t>项目，</w:t>
            </w:r>
            <w:r>
              <w:rPr>
                <w:rFonts w:hint="eastAsia" w:ascii="宋体" w:hAnsi="宋体"/>
                <w:color w:val="auto"/>
                <w:sz w:val="24"/>
              </w:rPr>
              <w:t>租赁聚银公司C厂区</w:t>
            </w:r>
            <w:r>
              <w:rPr>
                <w:rFonts w:hint="eastAsia" w:eastAsiaTheme="minorEastAsia"/>
                <w:color w:val="auto"/>
                <w:sz w:val="24"/>
                <w:szCs w:val="24"/>
              </w:rPr>
              <w:t>内现有厂房</w:t>
            </w:r>
            <w:r>
              <w:rPr>
                <w:rFonts w:hint="eastAsia"/>
                <w:color w:val="auto"/>
                <w:sz w:val="24"/>
                <w:szCs w:val="24"/>
              </w:rPr>
              <w:t>，</w:t>
            </w:r>
            <w:r>
              <w:rPr>
                <w:rFonts w:hint="eastAsia"/>
                <w:color w:val="auto"/>
                <w:kern w:val="1"/>
                <w:sz w:val="24"/>
                <w:szCs w:val="24"/>
              </w:rPr>
              <w:t>只是设备购置和安装，土建施工主要是一体化污水处理设施的改造、危废间地面的防渗改造，位于租赁车间内。施工期主要是设备安装和调试，</w:t>
            </w:r>
            <w:r>
              <w:rPr>
                <w:color w:val="auto"/>
                <w:kern w:val="1"/>
                <w:sz w:val="24"/>
                <w:szCs w:val="24"/>
              </w:rPr>
              <w:t>环境影响主要为设备安装和调试</w:t>
            </w:r>
            <w:r>
              <w:rPr>
                <w:rFonts w:hint="eastAsia"/>
                <w:color w:val="auto"/>
                <w:kern w:val="1"/>
                <w:sz w:val="24"/>
                <w:szCs w:val="24"/>
              </w:rPr>
              <w:t>噪声、废包装物。</w:t>
            </w:r>
          </w:p>
          <w:p>
            <w:pPr>
              <w:spacing w:line="360" w:lineRule="auto"/>
              <w:ind w:firstLine="472" w:firstLineChars="200"/>
              <w:rPr>
                <w:color w:val="auto"/>
                <w:sz w:val="24"/>
              </w:rPr>
            </w:pPr>
            <w:r>
              <w:rPr>
                <w:color w:val="auto"/>
                <w:sz w:val="24"/>
              </w:rPr>
              <w:t>1</w:t>
            </w:r>
            <w:r>
              <w:rPr>
                <w:rFonts w:hAnsi="宋体"/>
                <w:color w:val="auto"/>
                <w:sz w:val="24"/>
              </w:rPr>
              <w:t>、大气环境影响分析</w:t>
            </w:r>
          </w:p>
          <w:p>
            <w:pPr>
              <w:spacing w:line="360" w:lineRule="auto"/>
              <w:ind w:firstLine="472" w:firstLineChars="200"/>
              <w:rPr>
                <w:color w:val="auto"/>
                <w:sz w:val="24"/>
              </w:rPr>
            </w:pPr>
            <w:r>
              <w:rPr>
                <w:rFonts w:hAnsi="宋体"/>
                <w:color w:val="auto"/>
                <w:sz w:val="24"/>
              </w:rPr>
              <w:t>项目施工期对大气环境的影响主要为</w:t>
            </w:r>
            <w:r>
              <w:rPr>
                <w:rFonts w:hAnsi="宋体"/>
                <w:bCs/>
                <w:snapToGrid w:val="0"/>
                <w:color w:val="auto"/>
                <w:sz w:val="24"/>
                <w:szCs w:val="24"/>
              </w:rPr>
              <w:t>施工和运输过程产生的扬尘</w:t>
            </w:r>
            <w:r>
              <w:rPr>
                <w:rFonts w:hAnsi="宋体"/>
                <w:color w:val="auto"/>
                <w:sz w:val="24"/>
              </w:rPr>
              <w:t>。为减轻项目施工对周围环境的影响，建议采取如下措施：</w:t>
            </w:r>
          </w:p>
          <w:p>
            <w:pPr>
              <w:spacing w:line="360" w:lineRule="auto"/>
              <w:ind w:firstLine="236" w:firstLineChars="100"/>
              <w:rPr>
                <w:color w:val="auto"/>
                <w:sz w:val="24"/>
              </w:rPr>
            </w:pPr>
            <w:r>
              <w:rPr>
                <w:rFonts w:hAnsi="宋体"/>
                <w:color w:val="auto"/>
                <w:sz w:val="24"/>
              </w:rPr>
              <w:t>（</w:t>
            </w:r>
            <w:r>
              <w:rPr>
                <w:color w:val="auto"/>
                <w:sz w:val="24"/>
              </w:rPr>
              <w:t>1</w:t>
            </w:r>
            <w:r>
              <w:rPr>
                <w:rFonts w:hAnsi="宋体"/>
                <w:color w:val="auto"/>
                <w:sz w:val="24"/>
              </w:rPr>
              <w:t>）项目施工过程中建筑材料应严密遮盖，使用时不得凌空抛掷、抛洒。</w:t>
            </w:r>
          </w:p>
          <w:p>
            <w:pPr>
              <w:spacing w:line="360" w:lineRule="auto"/>
              <w:ind w:firstLine="236" w:firstLineChars="100"/>
              <w:rPr>
                <w:color w:val="auto"/>
                <w:sz w:val="24"/>
              </w:rPr>
            </w:pPr>
            <w:r>
              <w:rPr>
                <w:rFonts w:hAnsi="宋体"/>
                <w:color w:val="auto"/>
                <w:sz w:val="24"/>
              </w:rPr>
              <w:t>（</w:t>
            </w:r>
            <w:r>
              <w:rPr>
                <w:color w:val="auto"/>
                <w:sz w:val="24"/>
              </w:rPr>
              <w:t>2</w:t>
            </w:r>
            <w:r>
              <w:rPr>
                <w:rFonts w:hAnsi="宋体"/>
                <w:color w:val="auto"/>
                <w:sz w:val="24"/>
              </w:rPr>
              <w:t>）建筑材料运输中要采取遮盖措施或利用密闭性运输车，采用苫布覆盖时，苫布边缘至少要遮住槽帮上沿以下</w:t>
            </w:r>
            <w:r>
              <w:rPr>
                <w:color w:val="auto"/>
                <w:sz w:val="24"/>
              </w:rPr>
              <w:t>15cm</w:t>
            </w:r>
            <w:r>
              <w:rPr>
                <w:rFonts w:hAnsi="宋体"/>
                <w:color w:val="auto"/>
                <w:sz w:val="24"/>
              </w:rPr>
              <w:t>。建筑垃圾等废弃物料采用专用运输车辆，车辆应按照批准的路线和时间进行建筑垃圾的运输，行驶路线要避开居民区等环境敏感目标，并限制运输车辆的车速。</w:t>
            </w:r>
          </w:p>
          <w:p>
            <w:pPr>
              <w:spacing w:line="360" w:lineRule="auto"/>
              <w:ind w:firstLine="472" w:firstLineChars="200"/>
              <w:rPr>
                <w:rFonts w:hAnsi="宋体"/>
                <w:bCs/>
                <w:snapToGrid w:val="0"/>
                <w:color w:val="auto"/>
                <w:sz w:val="24"/>
                <w:szCs w:val="24"/>
              </w:rPr>
            </w:pPr>
            <w:r>
              <w:rPr>
                <w:rFonts w:hAnsi="宋体"/>
                <w:bCs/>
                <w:snapToGrid w:val="0"/>
                <w:color w:val="auto"/>
                <w:sz w:val="24"/>
                <w:szCs w:val="24"/>
              </w:rPr>
              <w:t>施工现场必须严格按照《河北省建筑施工扬尘防治强化措施18条》要求，采取有效措施，最大程度的减轻施工期扬尘对环境的影响，使施工期</w:t>
            </w:r>
            <w:r>
              <w:rPr>
                <w:rFonts w:hint="eastAsia" w:hAnsi="宋体"/>
                <w:bCs/>
                <w:snapToGrid w:val="0"/>
                <w:color w:val="auto"/>
                <w:sz w:val="24"/>
                <w:szCs w:val="24"/>
              </w:rPr>
              <w:t>颗粒物（PM</w:t>
            </w:r>
            <w:r>
              <w:rPr>
                <w:rFonts w:hint="eastAsia" w:hAnsi="宋体"/>
                <w:bCs/>
                <w:snapToGrid w:val="0"/>
                <w:color w:val="auto"/>
                <w:sz w:val="24"/>
                <w:szCs w:val="24"/>
                <w:vertAlign w:val="subscript"/>
              </w:rPr>
              <w:t>10</w:t>
            </w:r>
            <w:r>
              <w:rPr>
                <w:rFonts w:hint="eastAsia" w:hAnsi="宋体"/>
                <w:bCs/>
                <w:snapToGrid w:val="0"/>
                <w:color w:val="auto"/>
                <w:sz w:val="24"/>
                <w:szCs w:val="24"/>
              </w:rPr>
              <w:t>）</w:t>
            </w:r>
            <w:r>
              <w:rPr>
                <w:rFonts w:hAnsi="宋体"/>
                <w:bCs/>
                <w:snapToGrid w:val="0"/>
                <w:color w:val="auto"/>
                <w:sz w:val="24"/>
                <w:szCs w:val="24"/>
              </w:rPr>
              <w:t>满足《施工场地扬尘排放标准》(DB13/2934-2019)表1中扬尘排放浓度限值。</w:t>
            </w:r>
          </w:p>
          <w:p>
            <w:pPr>
              <w:spacing w:line="360" w:lineRule="auto"/>
              <w:ind w:firstLine="472" w:firstLineChars="200"/>
              <w:rPr>
                <w:rFonts w:hAnsi="宋体"/>
                <w:bCs/>
                <w:snapToGrid w:val="0"/>
                <w:color w:val="auto"/>
                <w:sz w:val="24"/>
                <w:szCs w:val="24"/>
              </w:rPr>
            </w:pPr>
            <w:r>
              <w:rPr>
                <w:rFonts w:hAnsi="宋体"/>
                <w:bCs/>
                <w:snapToGrid w:val="0"/>
                <w:color w:val="auto"/>
                <w:sz w:val="24"/>
                <w:szCs w:val="24"/>
              </w:rPr>
              <w:t>2、施工噪声</w:t>
            </w:r>
          </w:p>
          <w:p>
            <w:pPr>
              <w:spacing w:line="360" w:lineRule="auto"/>
              <w:ind w:firstLine="472" w:firstLineChars="200"/>
              <w:rPr>
                <w:bCs/>
                <w:snapToGrid w:val="0"/>
                <w:color w:val="auto"/>
                <w:sz w:val="24"/>
                <w:szCs w:val="24"/>
              </w:rPr>
            </w:pPr>
            <w:r>
              <w:rPr>
                <w:rFonts w:hAnsi="宋体"/>
                <w:bCs/>
                <w:snapToGrid w:val="0"/>
                <w:color w:val="auto"/>
                <w:sz w:val="24"/>
                <w:szCs w:val="24"/>
              </w:rPr>
              <w:t>施工期间噪声影响主要来自施工机械噪声，噪声源强在</w:t>
            </w:r>
            <w:r>
              <w:rPr>
                <w:bCs/>
                <w:snapToGrid w:val="0"/>
                <w:color w:val="auto"/>
                <w:sz w:val="24"/>
                <w:szCs w:val="24"/>
              </w:rPr>
              <w:t>80~105dB(A)</w:t>
            </w:r>
            <w:r>
              <w:rPr>
                <w:rFonts w:hAnsi="宋体"/>
                <w:bCs/>
                <w:snapToGrid w:val="0"/>
                <w:color w:val="auto"/>
                <w:sz w:val="24"/>
                <w:szCs w:val="24"/>
              </w:rPr>
              <w:t>之间，为了避免施工过程中产生的噪声对周围环境敏感点的影响，本评价要求施工单位在施工期间严格执行《建筑施工场界环境噪声排放标准》（</w:t>
            </w:r>
            <w:r>
              <w:rPr>
                <w:bCs/>
                <w:snapToGrid w:val="0"/>
                <w:color w:val="auto"/>
                <w:sz w:val="24"/>
                <w:szCs w:val="24"/>
              </w:rPr>
              <w:t>GB12523-2011</w:t>
            </w:r>
            <w:r>
              <w:rPr>
                <w:rFonts w:hAnsi="宋体"/>
                <w:bCs/>
                <w:snapToGrid w:val="0"/>
                <w:color w:val="auto"/>
                <w:sz w:val="24"/>
                <w:szCs w:val="24"/>
              </w:rPr>
              <w:t>）中的有关规定，各种噪声设备禁止夜间作业，尽量减小由于施工而给周边环境造成的影响。施工噪声对周边环境的影响会随施工的结束而消失。</w:t>
            </w:r>
          </w:p>
          <w:p>
            <w:pPr>
              <w:spacing w:line="360" w:lineRule="auto"/>
              <w:ind w:firstLine="472" w:firstLineChars="200"/>
              <w:rPr>
                <w:bCs/>
                <w:snapToGrid w:val="0"/>
                <w:color w:val="auto"/>
                <w:sz w:val="24"/>
                <w:szCs w:val="24"/>
              </w:rPr>
            </w:pPr>
            <w:r>
              <w:rPr>
                <w:bCs/>
                <w:snapToGrid w:val="0"/>
                <w:color w:val="auto"/>
                <w:sz w:val="24"/>
                <w:szCs w:val="24"/>
              </w:rPr>
              <w:t>3</w:t>
            </w:r>
            <w:r>
              <w:rPr>
                <w:rFonts w:hAnsi="宋体"/>
                <w:bCs/>
                <w:snapToGrid w:val="0"/>
                <w:color w:val="auto"/>
                <w:sz w:val="24"/>
                <w:szCs w:val="24"/>
              </w:rPr>
              <w:t>、建筑垃圾</w:t>
            </w:r>
          </w:p>
          <w:p>
            <w:pPr>
              <w:spacing w:line="360" w:lineRule="auto"/>
              <w:ind w:firstLine="472" w:firstLineChars="200"/>
              <w:rPr>
                <w:bCs/>
                <w:snapToGrid w:val="0"/>
                <w:color w:val="auto"/>
                <w:sz w:val="24"/>
                <w:szCs w:val="24"/>
              </w:rPr>
            </w:pPr>
            <w:r>
              <w:rPr>
                <w:rFonts w:hAnsi="宋体"/>
                <w:bCs/>
                <w:snapToGrid w:val="0"/>
                <w:color w:val="auto"/>
                <w:sz w:val="24"/>
                <w:szCs w:val="24"/>
              </w:rPr>
              <w:t>（</w:t>
            </w:r>
            <w:r>
              <w:rPr>
                <w:bCs/>
                <w:snapToGrid w:val="0"/>
                <w:color w:val="auto"/>
                <w:sz w:val="24"/>
                <w:szCs w:val="24"/>
              </w:rPr>
              <w:t>1</w:t>
            </w:r>
            <w:r>
              <w:rPr>
                <w:rFonts w:hAnsi="宋体"/>
                <w:bCs/>
                <w:snapToGrid w:val="0"/>
                <w:color w:val="auto"/>
                <w:sz w:val="24"/>
                <w:szCs w:val="24"/>
              </w:rPr>
              <w:t>）施工现场应设置具备喷淋功能的密闭式</w:t>
            </w:r>
            <w:r>
              <w:rPr>
                <w:rFonts w:hint="eastAsia" w:hAnsi="宋体"/>
                <w:bCs/>
                <w:snapToGrid w:val="0"/>
                <w:color w:val="auto"/>
                <w:sz w:val="24"/>
                <w:szCs w:val="24"/>
                <w:lang w:eastAsia="zh-CN"/>
              </w:rPr>
              <w:t>垃圾</w:t>
            </w:r>
            <w:r>
              <w:rPr>
                <w:rFonts w:hAnsi="宋体"/>
                <w:bCs/>
                <w:snapToGrid w:val="0"/>
                <w:color w:val="auto"/>
                <w:sz w:val="24"/>
                <w:szCs w:val="24"/>
              </w:rPr>
              <w:t>池，生活垃圾和施工垃圾必须分开存放，垃圾池容量应满足施工现场垃圾处理使用需求。</w:t>
            </w:r>
            <w:r>
              <w:rPr>
                <w:bCs/>
                <w:snapToGrid w:val="0"/>
                <w:color w:val="auto"/>
                <w:sz w:val="24"/>
                <w:szCs w:val="24"/>
              </w:rPr>
              <w:t xml:space="preserve"> </w:t>
            </w:r>
          </w:p>
          <w:p>
            <w:pPr>
              <w:spacing w:line="360" w:lineRule="auto"/>
              <w:ind w:firstLine="472" w:firstLineChars="200"/>
              <w:rPr>
                <w:bCs/>
                <w:snapToGrid w:val="0"/>
                <w:color w:val="auto"/>
                <w:sz w:val="24"/>
                <w:szCs w:val="24"/>
              </w:rPr>
            </w:pPr>
            <w:r>
              <w:rPr>
                <w:rFonts w:hAnsi="宋体"/>
                <w:bCs/>
                <w:snapToGrid w:val="0"/>
                <w:color w:val="auto"/>
                <w:sz w:val="24"/>
                <w:szCs w:val="24"/>
              </w:rPr>
              <w:t>（</w:t>
            </w:r>
            <w:r>
              <w:rPr>
                <w:bCs/>
                <w:snapToGrid w:val="0"/>
                <w:color w:val="auto"/>
                <w:sz w:val="24"/>
                <w:szCs w:val="24"/>
              </w:rPr>
              <w:t>2</w:t>
            </w:r>
            <w:r>
              <w:rPr>
                <w:rFonts w:hAnsi="宋体"/>
                <w:bCs/>
                <w:snapToGrid w:val="0"/>
                <w:color w:val="auto"/>
                <w:sz w:val="24"/>
                <w:szCs w:val="24"/>
              </w:rPr>
              <w:t>）施工单位应安排专人负责对现场</w:t>
            </w:r>
            <w:r>
              <w:rPr>
                <w:rFonts w:hint="eastAsia" w:hAnsi="宋体"/>
                <w:bCs/>
                <w:snapToGrid w:val="0"/>
                <w:color w:val="auto"/>
                <w:sz w:val="24"/>
                <w:szCs w:val="24"/>
                <w:lang w:eastAsia="zh-CN"/>
              </w:rPr>
              <w:t>垃圾</w:t>
            </w:r>
            <w:r>
              <w:rPr>
                <w:rFonts w:hAnsi="宋体"/>
                <w:bCs/>
                <w:snapToGrid w:val="0"/>
                <w:color w:val="auto"/>
                <w:sz w:val="24"/>
                <w:szCs w:val="24"/>
              </w:rPr>
              <w:t>进行管理，通过具备垃圾消纳资格的达标运输车辆每晚对垃圾池进行清理，将垃圾运送到指定的垃圾处理场所。</w:t>
            </w:r>
            <w:r>
              <w:rPr>
                <w:bCs/>
                <w:snapToGrid w:val="0"/>
                <w:color w:val="auto"/>
                <w:sz w:val="24"/>
                <w:szCs w:val="24"/>
              </w:rPr>
              <w:t xml:space="preserve"> </w:t>
            </w:r>
          </w:p>
          <w:p>
            <w:pPr>
              <w:spacing w:line="360" w:lineRule="auto"/>
              <w:ind w:firstLine="472" w:firstLineChars="200"/>
              <w:rPr>
                <w:bCs/>
                <w:snapToGrid w:val="0"/>
                <w:color w:val="auto"/>
                <w:sz w:val="24"/>
                <w:szCs w:val="24"/>
              </w:rPr>
            </w:pPr>
            <w:r>
              <w:rPr>
                <w:bCs/>
                <w:snapToGrid w:val="0"/>
                <w:color w:val="auto"/>
                <w:sz w:val="24"/>
                <w:szCs w:val="24"/>
              </w:rPr>
              <w:t>4</w:t>
            </w:r>
            <w:r>
              <w:rPr>
                <w:rFonts w:hAnsi="宋体"/>
                <w:bCs/>
                <w:snapToGrid w:val="0"/>
                <w:color w:val="auto"/>
                <w:sz w:val="24"/>
                <w:szCs w:val="24"/>
              </w:rPr>
              <w:t>、废水</w:t>
            </w:r>
          </w:p>
          <w:p>
            <w:pPr>
              <w:spacing w:line="360" w:lineRule="auto"/>
              <w:ind w:firstLine="472" w:firstLineChars="200"/>
              <w:rPr>
                <w:bCs/>
                <w:snapToGrid w:val="0"/>
                <w:color w:val="auto"/>
                <w:sz w:val="24"/>
                <w:szCs w:val="24"/>
              </w:rPr>
            </w:pPr>
            <w:r>
              <w:rPr>
                <w:rFonts w:hAnsi="宋体"/>
                <w:bCs/>
                <w:snapToGrid w:val="0"/>
                <w:color w:val="auto"/>
                <w:sz w:val="24"/>
                <w:szCs w:val="24"/>
              </w:rPr>
              <w:t>项目施工期间废水主要为施工人员生活污水和建筑物养护用水。生活污水产生量较小，全部用于泼洒道路防止扬尘。</w:t>
            </w:r>
          </w:p>
          <w:p>
            <w:pPr>
              <w:pStyle w:val="24"/>
              <w:spacing w:line="360" w:lineRule="auto"/>
              <w:ind w:firstLine="472" w:firstLineChars="200"/>
              <w:rPr>
                <w:color w:val="auto"/>
              </w:rPr>
            </w:pPr>
            <w:r>
              <w:rPr>
                <w:rFonts w:hAnsi="宋体"/>
                <w:bCs/>
                <w:snapToGrid w:val="0"/>
                <w:color w:val="auto"/>
                <w:szCs w:val="24"/>
              </w:rPr>
              <w:t>总之，只要加强管理，切实落实好以上措施，施工期对环境的影响将会大大降低，其对环境的影响也将随施工的结束而消失</w:t>
            </w:r>
            <w:r>
              <w:rPr>
                <w:rFonts w:hint="eastAsia" w:hAnsi="宋体"/>
                <w:bCs/>
                <w:snapToGrid w:val="0"/>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pPr>
              <w:jc w:val="center"/>
              <w:rPr>
                <w:rFonts w:eastAsia="黑体"/>
                <w:color w:val="auto"/>
                <w:sz w:val="28"/>
              </w:rPr>
            </w:pPr>
            <w:r>
              <w:rPr>
                <w:rFonts w:hint="eastAsia" w:ascii="宋体" w:hAnsi="宋体" w:cs="宋体"/>
                <w:color w:val="auto"/>
                <w:sz w:val="24"/>
                <w:szCs w:val="24"/>
              </w:rPr>
              <w:t>运营期环境影响和保护措施</w:t>
            </w:r>
          </w:p>
        </w:tc>
        <w:tc>
          <w:tcPr>
            <w:tcW w:w="4684" w:type="pct"/>
            <w:vAlign w:val="center"/>
          </w:tcPr>
          <w:p>
            <w:pPr>
              <w:spacing w:line="460" w:lineRule="exact"/>
              <w:ind w:firstLine="472" w:firstLineChars="200"/>
              <w:rPr>
                <w:b/>
                <w:bCs/>
                <w:color w:val="auto"/>
                <w:kern w:val="1"/>
                <w:sz w:val="24"/>
                <w:szCs w:val="24"/>
              </w:rPr>
            </w:pPr>
            <w:r>
              <w:rPr>
                <w:b/>
                <w:bCs/>
                <w:color w:val="auto"/>
                <w:kern w:val="1"/>
                <w:sz w:val="24"/>
                <w:szCs w:val="24"/>
              </w:rPr>
              <w:t>一、大气环境影响分析</w:t>
            </w:r>
          </w:p>
          <w:p>
            <w:pPr>
              <w:spacing w:line="360" w:lineRule="auto"/>
              <w:rPr>
                <w:b/>
                <w:color w:val="auto"/>
                <w:sz w:val="24"/>
              </w:rPr>
            </w:pPr>
            <w:r>
              <w:rPr>
                <w:rFonts w:hint="eastAsia"/>
                <w:b/>
                <w:color w:val="auto"/>
                <w:sz w:val="24"/>
              </w:rPr>
              <w:t>1、污染物排放源</w:t>
            </w:r>
          </w:p>
          <w:p>
            <w:pPr>
              <w:spacing w:line="360" w:lineRule="auto"/>
              <w:jc w:val="center"/>
              <w:rPr>
                <w:b/>
                <w:color w:val="auto"/>
                <w:sz w:val="24"/>
              </w:rPr>
            </w:pPr>
          </w:p>
          <w:p>
            <w:pPr>
              <w:spacing w:line="360" w:lineRule="auto"/>
              <w:jc w:val="center"/>
              <w:rPr>
                <w:b/>
                <w:color w:val="auto"/>
                <w:sz w:val="24"/>
              </w:rPr>
            </w:pPr>
          </w:p>
          <w:p>
            <w:pPr>
              <w:spacing w:line="360" w:lineRule="auto"/>
              <w:jc w:val="center"/>
              <w:rPr>
                <w:b/>
                <w:color w:val="auto"/>
                <w:sz w:val="24"/>
                <w:highlight w:val="none"/>
              </w:rPr>
            </w:pPr>
            <w:r>
              <w:rPr>
                <w:b/>
                <w:color w:val="auto"/>
                <w:sz w:val="24"/>
                <w:highlight w:val="none"/>
              </w:rPr>
              <w:t>表</w:t>
            </w:r>
            <w:r>
              <w:rPr>
                <w:rFonts w:hint="eastAsia"/>
                <w:b/>
                <w:color w:val="auto"/>
                <w:sz w:val="24"/>
                <w:highlight w:val="none"/>
              </w:rPr>
              <w:t>4-1</w:t>
            </w:r>
            <w:r>
              <w:rPr>
                <w:b/>
                <w:color w:val="auto"/>
                <w:sz w:val="24"/>
                <w:highlight w:val="none"/>
              </w:rPr>
              <w:t>废气产排污节点、污染物及污染治理设施信息表</w:t>
            </w:r>
          </w:p>
          <w:tbl>
            <w:tblPr>
              <w:tblStyle w:val="2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416"/>
              <w:gridCol w:w="1037"/>
              <w:gridCol w:w="1006"/>
              <w:gridCol w:w="1456"/>
              <w:gridCol w:w="998"/>
              <w:gridCol w:w="916"/>
              <w:gridCol w:w="1248"/>
              <w:gridCol w:w="1014"/>
              <w:gridCol w:w="1543"/>
              <w:gridCol w:w="100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5"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序号</w:t>
                  </w:r>
                </w:p>
              </w:tc>
              <w:tc>
                <w:tcPr>
                  <w:tcW w:w="538"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产排污环节</w:t>
                  </w:r>
                </w:p>
              </w:tc>
              <w:tc>
                <w:tcPr>
                  <w:tcW w:w="394" w:type="pct"/>
                  <w:vMerge w:val="restart"/>
                  <w:vAlign w:val="center"/>
                </w:tcPr>
                <w:p>
                  <w:pPr>
                    <w:pStyle w:val="24"/>
                    <w:snapToGrid w:val="0"/>
                    <w:spacing w:line="300" w:lineRule="exact"/>
                    <w:jc w:val="center"/>
                    <w:rPr>
                      <w:color w:val="auto"/>
                      <w:spacing w:val="-10"/>
                      <w:sz w:val="21"/>
                      <w:szCs w:val="21"/>
                    </w:rPr>
                  </w:pPr>
                  <w:r>
                    <w:rPr>
                      <w:color w:val="auto"/>
                      <w:spacing w:val="-10"/>
                      <w:sz w:val="21"/>
                      <w:szCs w:val="21"/>
                    </w:rPr>
                    <w:t>污染物种类</w:t>
                  </w:r>
                </w:p>
              </w:tc>
              <w:tc>
                <w:tcPr>
                  <w:tcW w:w="2521" w:type="pct"/>
                  <w:gridSpan w:val="6"/>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污染治理设施</w:t>
                  </w:r>
                </w:p>
              </w:tc>
              <w:tc>
                <w:tcPr>
                  <w:tcW w:w="586"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有组织排放口名称</w:t>
                  </w:r>
                </w:p>
              </w:tc>
              <w:tc>
                <w:tcPr>
                  <w:tcW w:w="381"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有组织排放口编号</w:t>
                  </w:r>
                </w:p>
              </w:tc>
              <w:tc>
                <w:tcPr>
                  <w:tcW w:w="361"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5" w:type="pct"/>
                  <w:vMerge w:val="continue"/>
                  <w:vAlign w:val="center"/>
                </w:tcPr>
                <w:p>
                  <w:pPr>
                    <w:pStyle w:val="24"/>
                    <w:snapToGrid w:val="0"/>
                    <w:spacing w:line="300" w:lineRule="exact"/>
                    <w:jc w:val="center"/>
                    <w:rPr>
                      <w:color w:val="auto"/>
                      <w:spacing w:val="-10"/>
                      <w:sz w:val="21"/>
                      <w:szCs w:val="21"/>
                    </w:rPr>
                  </w:pPr>
                </w:p>
              </w:tc>
              <w:tc>
                <w:tcPr>
                  <w:tcW w:w="538" w:type="pct"/>
                  <w:vMerge w:val="continue"/>
                  <w:vAlign w:val="center"/>
                </w:tcPr>
                <w:p>
                  <w:pPr>
                    <w:pStyle w:val="24"/>
                    <w:snapToGrid w:val="0"/>
                    <w:spacing w:line="300" w:lineRule="exact"/>
                    <w:jc w:val="center"/>
                    <w:rPr>
                      <w:color w:val="auto"/>
                      <w:spacing w:val="-10"/>
                      <w:sz w:val="21"/>
                      <w:szCs w:val="21"/>
                    </w:rPr>
                  </w:pPr>
                </w:p>
              </w:tc>
              <w:tc>
                <w:tcPr>
                  <w:tcW w:w="394" w:type="pct"/>
                  <w:vMerge w:val="continue"/>
                  <w:vAlign w:val="center"/>
                </w:tcPr>
                <w:p>
                  <w:pPr>
                    <w:pStyle w:val="24"/>
                    <w:snapToGrid w:val="0"/>
                    <w:spacing w:line="300" w:lineRule="exact"/>
                    <w:jc w:val="center"/>
                    <w:rPr>
                      <w:color w:val="auto"/>
                      <w:spacing w:val="-10"/>
                      <w:sz w:val="21"/>
                      <w:szCs w:val="21"/>
                    </w:rPr>
                  </w:pPr>
                </w:p>
              </w:tc>
              <w:tc>
                <w:tcPr>
                  <w:tcW w:w="382" w:type="pct"/>
                  <w:vAlign w:val="center"/>
                </w:tcPr>
                <w:p>
                  <w:pPr>
                    <w:pStyle w:val="24"/>
                    <w:snapToGrid w:val="0"/>
                    <w:spacing w:line="300" w:lineRule="exact"/>
                    <w:jc w:val="center"/>
                    <w:rPr>
                      <w:color w:val="auto"/>
                      <w:spacing w:val="-10"/>
                      <w:sz w:val="21"/>
                      <w:szCs w:val="21"/>
                    </w:rPr>
                  </w:pPr>
                  <w:r>
                    <w:rPr>
                      <w:color w:val="auto"/>
                      <w:spacing w:val="-10"/>
                      <w:sz w:val="21"/>
                      <w:szCs w:val="21"/>
                    </w:rPr>
                    <w:t>排放形式</w:t>
                  </w:r>
                </w:p>
              </w:tc>
              <w:tc>
                <w:tcPr>
                  <w:tcW w:w="553"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污染治理设施名称</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处理能力(</w:t>
                  </w:r>
                  <w:r>
                    <w:rPr>
                      <w:color w:val="auto"/>
                      <w:spacing w:val="-10"/>
                      <w:sz w:val="21"/>
                      <w:szCs w:val="21"/>
                    </w:rPr>
                    <w:t>m</w:t>
                  </w:r>
                  <w:r>
                    <w:rPr>
                      <w:color w:val="auto"/>
                      <w:spacing w:val="-10"/>
                      <w:sz w:val="21"/>
                      <w:szCs w:val="21"/>
                      <w:vertAlign w:val="superscript"/>
                    </w:rPr>
                    <w:t>3</w:t>
                  </w:r>
                  <w:r>
                    <w:rPr>
                      <w:color w:val="auto"/>
                      <w:spacing w:val="-10"/>
                      <w:sz w:val="21"/>
                      <w:szCs w:val="21"/>
                    </w:rPr>
                    <w:t>/h)</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收集效率（%）</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治理工艺去除率（%）</w:t>
                  </w:r>
                </w:p>
              </w:tc>
              <w:tc>
                <w:tcPr>
                  <w:tcW w:w="38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是否为可行技术</w:t>
                  </w:r>
                </w:p>
              </w:tc>
              <w:tc>
                <w:tcPr>
                  <w:tcW w:w="586" w:type="pct"/>
                  <w:vMerge w:val="continue"/>
                  <w:vAlign w:val="center"/>
                </w:tcPr>
                <w:p>
                  <w:pPr>
                    <w:tabs>
                      <w:tab w:val="left" w:pos="1617"/>
                    </w:tabs>
                    <w:adjustRightInd w:val="0"/>
                    <w:snapToGrid w:val="0"/>
                    <w:spacing w:line="400" w:lineRule="exact"/>
                    <w:jc w:val="center"/>
                    <w:rPr>
                      <w:color w:val="auto"/>
                      <w:szCs w:val="21"/>
                    </w:rPr>
                  </w:pPr>
                </w:p>
              </w:tc>
              <w:tc>
                <w:tcPr>
                  <w:tcW w:w="381" w:type="pct"/>
                  <w:vMerge w:val="continue"/>
                  <w:vAlign w:val="center"/>
                </w:tcPr>
                <w:p>
                  <w:pPr>
                    <w:tabs>
                      <w:tab w:val="left" w:pos="1617"/>
                    </w:tabs>
                    <w:adjustRightInd w:val="0"/>
                    <w:snapToGrid w:val="0"/>
                    <w:spacing w:line="400" w:lineRule="exact"/>
                    <w:jc w:val="center"/>
                    <w:rPr>
                      <w:color w:val="auto"/>
                      <w:szCs w:val="21"/>
                    </w:rPr>
                  </w:pPr>
                </w:p>
              </w:tc>
              <w:tc>
                <w:tcPr>
                  <w:tcW w:w="361" w:type="pct"/>
                  <w:vMerge w:val="continue"/>
                  <w:vAlign w:val="center"/>
                </w:tcPr>
                <w:p>
                  <w:pPr>
                    <w:tabs>
                      <w:tab w:val="left" w:pos="1617"/>
                    </w:tabs>
                    <w:adjustRightInd w:val="0"/>
                    <w:snapToGrid w:val="0"/>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w:t>
                  </w:r>
                </w:p>
              </w:tc>
              <w:tc>
                <w:tcPr>
                  <w:tcW w:w="538" w:type="pct"/>
                  <w:vAlign w:val="center"/>
                </w:tcPr>
                <w:p>
                  <w:pPr>
                    <w:spacing w:line="300" w:lineRule="exact"/>
                    <w:jc w:val="center"/>
                    <w:rPr>
                      <w:color w:val="auto"/>
                      <w:spacing w:val="-10"/>
                      <w:szCs w:val="21"/>
                    </w:rPr>
                  </w:pPr>
                  <w:r>
                    <w:rPr>
                      <w:rFonts w:hint="eastAsia"/>
                      <w:color w:val="auto"/>
                      <w:szCs w:val="21"/>
                    </w:rPr>
                    <w:t>切割、打孔、焊接工序排气筒</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lang w:val="en-US" w:eastAsia="zh-CN"/>
                    </w:rPr>
                    <w:t>有</w:t>
                  </w:r>
                  <w:r>
                    <w:rPr>
                      <w:rFonts w:hint="eastAsia"/>
                      <w:color w:val="auto"/>
                      <w:spacing w:val="-10"/>
                      <w:sz w:val="21"/>
                      <w:szCs w:val="21"/>
                    </w:rPr>
                    <w:t>组织</w:t>
                  </w:r>
                </w:p>
              </w:tc>
              <w:tc>
                <w:tcPr>
                  <w:tcW w:w="553" w:type="pct"/>
                  <w:vAlign w:val="center"/>
                </w:tcPr>
                <w:p>
                  <w:pPr>
                    <w:spacing w:line="300" w:lineRule="exact"/>
                    <w:jc w:val="center"/>
                    <w:rPr>
                      <w:color w:val="auto"/>
                      <w:spacing w:val="-10"/>
                      <w:szCs w:val="21"/>
                    </w:rPr>
                  </w:pPr>
                  <w:r>
                    <w:rPr>
                      <w:rFonts w:hint="eastAsia"/>
                      <w:color w:val="auto"/>
                      <w:spacing w:val="-10"/>
                      <w:szCs w:val="21"/>
                    </w:rPr>
                    <w:t>布袋除尘器</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99</w:t>
                  </w:r>
                </w:p>
              </w:tc>
              <w:tc>
                <w:tcPr>
                  <w:tcW w:w="38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是</w:t>
                  </w:r>
                </w:p>
              </w:tc>
              <w:tc>
                <w:tcPr>
                  <w:tcW w:w="586" w:type="pct"/>
                  <w:vAlign w:val="center"/>
                </w:tcPr>
                <w:p>
                  <w:pPr>
                    <w:spacing w:line="300" w:lineRule="exact"/>
                    <w:jc w:val="center"/>
                    <w:rPr>
                      <w:color w:val="auto"/>
                      <w:szCs w:val="21"/>
                    </w:rPr>
                  </w:pPr>
                  <w:r>
                    <w:rPr>
                      <w:rFonts w:hint="eastAsia"/>
                      <w:color w:val="auto"/>
                      <w:szCs w:val="21"/>
                      <w:highlight w:val="none"/>
                    </w:rPr>
                    <w:t>切割、打孔、焊接工序排气筒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DA001</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w:t>
                  </w:r>
                </w:p>
              </w:tc>
              <w:tc>
                <w:tcPr>
                  <w:tcW w:w="538" w:type="pct"/>
                  <w:vAlign w:val="center"/>
                </w:tcPr>
                <w:p>
                  <w:pPr>
                    <w:spacing w:line="300" w:lineRule="exact"/>
                    <w:jc w:val="center"/>
                    <w:rPr>
                      <w:color w:val="auto"/>
                      <w:spacing w:val="-10"/>
                      <w:szCs w:val="21"/>
                    </w:rPr>
                  </w:pPr>
                  <w:r>
                    <w:rPr>
                      <w:rFonts w:hint="eastAsia"/>
                      <w:color w:val="auto"/>
                      <w:szCs w:val="21"/>
                    </w:rPr>
                    <w:t>天然气燃烧机</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颗粒物、SO</w:t>
                  </w:r>
                  <w:r>
                    <w:rPr>
                      <w:rFonts w:hint="eastAsia"/>
                      <w:color w:val="auto"/>
                      <w:spacing w:val="-10"/>
                      <w:sz w:val="21"/>
                      <w:szCs w:val="21"/>
                      <w:vertAlign w:val="subscript"/>
                    </w:rPr>
                    <w:t>2</w:t>
                  </w:r>
                  <w:r>
                    <w:rPr>
                      <w:rFonts w:hint="eastAsia"/>
                      <w:color w:val="auto"/>
                      <w:spacing w:val="-10"/>
                      <w:sz w:val="21"/>
                      <w:szCs w:val="21"/>
                    </w:rPr>
                    <w:t>、NOx</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pacing w:val="-10"/>
                      <w:szCs w:val="21"/>
                    </w:rPr>
                    <w:t>/</w:t>
                  </w:r>
                </w:p>
              </w:tc>
              <w:tc>
                <w:tcPr>
                  <w:tcW w:w="379" w:type="pct"/>
                  <w:vAlign w:val="center"/>
                </w:tcPr>
                <w:p>
                  <w:pPr>
                    <w:pStyle w:val="24"/>
                    <w:snapToGrid w:val="0"/>
                    <w:spacing w:line="300" w:lineRule="exact"/>
                    <w:jc w:val="center"/>
                    <w:rPr>
                      <w:rFonts w:hint="default" w:eastAsia="宋体"/>
                      <w:color w:val="auto"/>
                      <w:spacing w:val="-10"/>
                      <w:sz w:val="21"/>
                      <w:szCs w:val="21"/>
                      <w:lang w:val="en-US" w:eastAsia="zh-CN"/>
                    </w:rPr>
                  </w:pPr>
                  <w:r>
                    <w:rPr>
                      <w:rFonts w:hint="eastAsia"/>
                      <w:color w:val="auto"/>
                      <w:spacing w:val="-10"/>
                      <w:sz w:val="21"/>
                      <w:szCs w:val="21"/>
                      <w:lang w:val="en-US" w:eastAsia="zh-CN"/>
                    </w:rPr>
                    <w:t>1736</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w:t>
                  </w:r>
                </w:p>
              </w:tc>
              <w:tc>
                <w:tcPr>
                  <w:tcW w:w="38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是</w:t>
                  </w:r>
                </w:p>
              </w:tc>
              <w:tc>
                <w:tcPr>
                  <w:tcW w:w="586" w:type="pct"/>
                  <w:vAlign w:val="center"/>
                </w:tcPr>
                <w:p>
                  <w:pPr>
                    <w:spacing w:line="300" w:lineRule="exact"/>
                    <w:jc w:val="center"/>
                    <w:rPr>
                      <w:color w:val="auto"/>
                      <w:szCs w:val="21"/>
                    </w:rPr>
                  </w:pPr>
                  <w:r>
                    <w:rPr>
                      <w:rFonts w:hint="eastAsia"/>
                      <w:color w:val="auto"/>
                      <w:szCs w:val="21"/>
                    </w:rPr>
                    <w:t>天然气燃烧机排气筒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DA002</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w:t>
                  </w:r>
                </w:p>
              </w:tc>
              <w:tc>
                <w:tcPr>
                  <w:tcW w:w="538" w:type="pct"/>
                  <w:vAlign w:val="center"/>
                </w:tcPr>
                <w:p>
                  <w:pPr>
                    <w:spacing w:line="300" w:lineRule="exact"/>
                    <w:jc w:val="center"/>
                    <w:rPr>
                      <w:color w:val="auto"/>
                      <w:spacing w:val="-10"/>
                      <w:szCs w:val="21"/>
                    </w:rPr>
                  </w:pPr>
                  <w:r>
                    <w:rPr>
                      <w:rFonts w:hint="eastAsia"/>
                      <w:color w:val="auto"/>
                      <w:szCs w:val="21"/>
                    </w:rPr>
                    <w:t>喷涂工序</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rFonts w:hint="default" w:eastAsia="宋体"/>
                      <w:color w:val="auto"/>
                      <w:spacing w:val="-10"/>
                      <w:szCs w:val="21"/>
                      <w:lang w:val="en-US" w:eastAsia="zh-CN"/>
                    </w:rPr>
                  </w:pPr>
                  <w:r>
                    <w:rPr>
                      <w:rFonts w:hint="eastAsia"/>
                      <w:color w:val="auto"/>
                      <w:szCs w:val="21"/>
                    </w:rPr>
                    <w:t>密闭负压粉房+二级滤芯回收系统</w:t>
                  </w:r>
                  <w:r>
                    <w:rPr>
                      <w:rFonts w:hint="eastAsia"/>
                      <w:color w:val="auto"/>
                      <w:szCs w:val="21"/>
                      <w:lang w:val="en-US" w:eastAsia="zh-CN"/>
                    </w:rPr>
                    <w:t>+布袋除尘器</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99</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喷涂工序排气筒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DA003</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4</w:t>
                  </w:r>
                </w:p>
              </w:tc>
              <w:tc>
                <w:tcPr>
                  <w:tcW w:w="538" w:type="pct"/>
                  <w:vAlign w:val="center"/>
                </w:tcPr>
                <w:p>
                  <w:pPr>
                    <w:spacing w:line="300" w:lineRule="exact"/>
                    <w:jc w:val="center"/>
                    <w:rPr>
                      <w:color w:val="auto"/>
                      <w:spacing w:val="-10"/>
                      <w:szCs w:val="21"/>
                    </w:rPr>
                  </w:pPr>
                  <w:r>
                    <w:rPr>
                      <w:rFonts w:hint="eastAsia"/>
                      <w:color w:val="auto"/>
                      <w:szCs w:val="21"/>
                    </w:rPr>
                    <w:t>固化工序</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zCs w:val="21"/>
                    </w:rPr>
                    <w:t>烘干窑头窑尾集气罩+旋流塔+干湿过滤箱+活性炭吸附浓缩+催化燃烧装置</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固化工序排气筒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DA004</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w:t>
                  </w:r>
                </w:p>
              </w:tc>
              <w:tc>
                <w:tcPr>
                  <w:tcW w:w="538" w:type="pct"/>
                  <w:vAlign w:val="center"/>
                </w:tcPr>
                <w:p>
                  <w:pPr>
                    <w:spacing w:line="300" w:lineRule="exact"/>
                    <w:jc w:val="center"/>
                    <w:rPr>
                      <w:color w:val="auto"/>
                      <w:spacing w:val="-10"/>
                      <w:szCs w:val="21"/>
                    </w:rPr>
                  </w:pPr>
                  <w:r>
                    <w:rPr>
                      <w:rFonts w:hint="eastAsia"/>
                      <w:color w:val="auto"/>
                      <w:szCs w:val="21"/>
                    </w:rPr>
                    <w:t>手动喷粉室</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zCs w:val="21"/>
                    </w:rPr>
                    <w:t>密闭负压粉房+布袋除尘器</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100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99</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手动喷粉室排气筒</w:t>
                  </w:r>
                </w:p>
              </w:tc>
              <w:tc>
                <w:tcPr>
                  <w:tcW w:w="38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DA005</w:t>
                  </w:r>
                </w:p>
              </w:tc>
              <w:tc>
                <w:tcPr>
                  <w:tcW w:w="361" w:type="pct"/>
                  <w:vAlign w:val="center"/>
                </w:tcPr>
                <w:p>
                  <w:pPr>
                    <w:pStyle w:val="24"/>
                    <w:snapToGrid w:val="0"/>
                    <w:spacing w:line="300" w:lineRule="exact"/>
                    <w:jc w:val="center"/>
                    <w:rPr>
                      <w:rFonts w:ascii="Times New Roman" w:hAnsi="Times New Roman" w:eastAsia="宋体" w:cs="Times New Roman"/>
                      <w:color w:val="auto"/>
                      <w:spacing w:val="-10"/>
                      <w:kern w:val="2"/>
                      <w:sz w:val="21"/>
                      <w:szCs w:val="21"/>
                      <w:lang w:val="en-US" w:eastAsia="zh-CN" w:bidi="ar-SA"/>
                    </w:rPr>
                  </w:pPr>
                  <w:r>
                    <w:rPr>
                      <w:rFonts w:hint="eastAsia"/>
                      <w:color w:val="auto"/>
                      <w:spacing w:val="-1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6</w:t>
                  </w:r>
                </w:p>
              </w:tc>
              <w:tc>
                <w:tcPr>
                  <w:tcW w:w="538" w:type="pct"/>
                  <w:vAlign w:val="center"/>
                </w:tcPr>
                <w:p>
                  <w:pPr>
                    <w:spacing w:line="300" w:lineRule="exact"/>
                    <w:jc w:val="center"/>
                    <w:rPr>
                      <w:color w:val="auto"/>
                      <w:spacing w:val="-10"/>
                      <w:szCs w:val="21"/>
                    </w:rPr>
                  </w:pPr>
                  <w:r>
                    <w:rPr>
                      <w:rFonts w:hint="eastAsia"/>
                      <w:color w:val="auto"/>
                      <w:szCs w:val="21"/>
                    </w:rPr>
                    <w:t>手喷件固化烘箱</w:t>
                  </w:r>
                </w:p>
              </w:tc>
              <w:tc>
                <w:tcPr>
                  <w:tcW w:w="39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2"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有组织</w:t>
                  </w:r>
                </w:p>
              </w:tc>
              <w:tc>
                <w:tcPr>
                  <w:tcW w:w="553" w:type="pct"/>
                  <w:vAlign w:val="center"/>
                </w:tcPr>
                <w:p>
                  <w:pPr>
                    <w:spacing w:line="300" w:lineRule="exact"/>
                    <w:jc w:val="center"/>
                    <w:rPr>
                      <w:color w:val="auto"/>
                      <w:spacing w:val="-10"/>
                      <w:szCs w:val="21"/>
                    </w:rPr>
                  </w:pPr>
                  <w:r>
                    <w:rPr>
                      <w:rFonts w:hint="eastAsia"/>
                      <w:color w:val="auto"/>
                      <w:szCs w:val="21"/>
                    </w:rPr>
                    <w:t>集气罩+二级活性炭吸附</w:t>
                  </w:r>
                </w:p>
              </w:tc>
              <w:tc>
                <w:tcPr>
                  <w:tcW w:w="3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5000</w:t>
                  </w:r>
                </w:p>
              </w:tc>
              <w:tc>
                <w:tcPr>
                  <w:tcW w:w="3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90</w:t>
                  </w:r>
                </w:p>
              </w:tc>
              <w:tc>
                <w:tcPr>
                  <w:tcW w:w="47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80</w:t>
                  </w:r>
                </w:p>
              </w:tc>
              <w:tc>
                <w:tcPr>
                  <w:tcW w:w="385" w:type="pct"/>
                  <w:vAlign w:val="center"/>
                </w:tcPr>
                <w:p>
                  <w:pPr>
                    <w:snapToGrid w:val="0"/>
                    <w:spacing w:line="300" w:lineRule="exact"/>
                    <w:jc w:val="center"/>
                    <w:rPr>
                      <w:color w:val="auto"/>
                      <w:spacing w:val="-10"/>
                      <w:szCs w:val="21"/>
                    </w:rPr>
                  </w:pPr>
                  <w:r>
                    <w:rPr>
                      <w:rFonts w:hint="eastAsia"/>
                      <w:color w:val="auto"/>
                      <w:spacing w:val="-10"/>
                      <w:szCs w:val="21"/>
                    </w:rPr>
                    <w:t>是</w:t>
                  </w:r>
                </w:p>
              </w:tc>
              <w:tc>
                <w:tcPr>
                  <w:tcW w:w="586" w:type="pct"/>
                  <w:vAlign w:val="center"/>
                </w:tcPr>
                <w:p>
                  <w:pPr>
                    <w:spacing w:line="300" w:lineRule="exact"/>
                    <w:jc w:val="center"/>
                    <w:rPr>
                      <w:color w:val="auto"/>
                      <w:szCs w:val="21"/>
                    </w:rPr>
                  </w:pPr>
                  <w:r>
                    <w:rPr>
                      <w:rFonts w:hint="eastAsia"/>
                      <w:color w:val="auto"/>
                      <w:szCs w:val="21"/>
                    </w:rPr>
                    <w:t>手喷件固化烘箱排气筒</w:t>
                  </w:r>
                </w:p>
              </w:tc>
              <w:tc>
                <w:tcPr>
                  <w:tcW w:w="381" w:type="pct"/>
                  <w:vAlign w:val="center"/>
                </w:tcPr>
                <w:p>
                  <w:pPr>
                    <w:pStyle w:val="24"/>
                    <w:snapToGrid w:val="0"/>
                    <w:spacing w:line="300" w:lineRule="exact"/>
                    <w:jc w:val="center"/>
                    <w:rPr>
                      <w:rFonts w:hint="default" w:eastAsia="宋体"/>
                      <w:color w:val="auto"/>
                      <w:spacing w:val="-10"/>
                      <w:sz w:val="21"/>
                      <w:szCs w:val="21"/>
                      <w:lang w:val="en-US" w:eastAsia="zh-CN"/>
                    </w:rPr>
                  </w:pPr>
                  <w:r>
                    <w:rPr>
                      <w:rFonts w:hint="eastAsia"/>
                      <w:color w:val="auto"/>
                      <w:spacing w:val="-10"/>
                      <w:sz w:val="21"/>
                      <w:szCs w:val="21"/>
                      <w:lang w:val="en-US" w:eastAsia="zh-CN"/>
                    </w:rPr>
                    <w:t>DA006</w:t>
                  </w:r>
                </w:p>
              </w:tc>
              <w:tc>
                <w:tcPr>
                  <w:tcW w:w="36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一般排放口</w:t>
                  </w:r>
                </w:p>
              </w:tc>
            </w:tr>
          </w:tbl>
          <w:p>
            <w:pPr>
              <w:pStyle w:val="32"/>
              <w:ind w:left="560" w:firstLine="0" w:firstLineChars="0"/>
              <w:jc w:val="center"/>
              <w:rPr>
                <w:b/>
                <w:color w:val="auto"/>
              </w:rPr>
            </w:pPr>
          </w:p>
          <w:p>
            <w:pPr>
              <w:pStyle w:val="32"/>
              <w:ind w:left="560" w:firstLine="0" w:firstLineChars="0"/>
              <w:jc w:val="center"/>
              <w:rPr>
                <w:rFonts w:ascii="Calibri" w:hAnsi="Calibri" w:cs="Calibri"/>
                <w:b/>
                <w:bCs/>
                <w:color w:val="auto"/>
              </w:rPr>
            </w:pPr>
            <w:r>
              <w:rPr>
                <w:rFonts w:hint="eastAsia"/>
                <w:b/>
                <w:color w:val="auto"/>
              </w:rPr>
              <w:t>表4-2  项目废气产排情况一览表</w:t>
            </w:r>
            <w:r>
              <w:rPr>
                <w:rFonts w:ascii="Calibri" w:hAnsi="Calibri" w:cs="Calibri"/>
                <w:b/>
                <w:bCs/>
                <w:color w:val="auto"/>
              </w:rPr>
              <w:t>（正常情况下）</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442"/>
              <w:gridCol w:w="1263"/>
              <w:gridCol w:w="1049"/>
              <w:gridCol w:w="949"/>
              <w:gridCol w:w="1020"/>
              <w:gridCol w:w="1010"/>
              <w:gridCol w:w="1305"/>
              <w:gridCol w:w="1305"/>
              <w:gridCol w:w="1168"/>
              <w:gridCol w:w="1131"/>
              <w:gridCol w:w="9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 w:type="pct"/>
                  <w:vMerge w:val="restart"/>
                  <w:vAlign w:val="center"/>
                </w:tcPr>
                <w:p>
                  <w:pPr>
                    <w:tabs>
                      <w:tab w:val="left" w:pos="1617"/>
                    </w:tabs>
                    <w:adjustRightInd w:val="0"/>
                    <w:snapToGrid w:val="0"/>
                    <w:spacing w:line="400" w:lineRule="exact"/>
                    <w:jc w:val="center"/>
                    <w:rPr>
                      <w:color w:val="auto"/>
                      <w:szCs w:val="21"/>
                    </w:rPr>
                  </w:pPr>
                  <w:r>
                    <w:rPr>
                      <w:rFonts w:hint="eastAsia"/>
                      <w:color w:val="auto"/>
                      <w:szCs w:val="21"/>
                    </w:rPr>
                    <w:t>序号</w:t>
                  </w:r>
                </w:p>
              </w:tc>
              <w:tc>
                <w:tcPr>
                  <w:tcW w:w="547" w:type="pct"/>
                  <w:vMerge w:val="restart"/>
                  <w:vAlign w:val="center"/>
                </w:tcPr>
                <w:p>
                  <w:pPr>
                    <w:tabs>
                      <w:tab w:val="left" w:pos="1617"/>
                    </w:tabs>
                    <w:adjustRightInd w:val="0"/>
                    <w:snapToGrid w:val="0"/>
                    <w:spacing w:line="400" w:lineRule="exact"/>
                    <w:jc w:val="center"/>
                    <w:rPr>
                      <w:color w:val="auto"/>
                      <w:spacing w:val="-10"/>
                      <w:szCs w:val="21"/>
                    </w:rPr>
                  </w:pPr>
                  <w:r>
                    <w:rPr>
                      <w:rFonts w:hint="eastAsia"/>
                      <w:color w:val="auto"/>
                      <w:szCs w:val="21"/>
                    </w:rPr>
                    <w:t>产排污环节</w:t>
                  </w:r>
                </w:p>
              </w:tc>
              <w:tc>
                <w:tcPr>
                  <w:tcW w:w="479"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污染物种类</w:t>
                  </w:r>
                </w:p>
              </w:tc>
              <w:tc>
                <w:tcPr>
                  <w:tcW w:w="1528" w:type="pct"/>
                  <w:gridSpan w:val="4"/>
                  <w:vAlign w:val="center"/>
                </w:tcPr>
                <w:p>
                  <w:pPr>
                    <w:pStyle w:val="24"/>
                    <w:snapToGrid w:val="0"/>
                    <w:spacing w:line="300" w:lineRule="exact"/>
                    <w:jc w:val="center"/>
                    <w:rPr>
                      <w:color w:val="auto"/>
                      <w:spacing w:val="-10"/>
                      <w:sz w:val="21"/>
                      <w:szCs w:val="21"/>
                    </w:rPr>
                  </w:pPr>
                  <w:r>
                    <w:rPr>
                      <w:color w:val="auto"/>
                      <w:spacing w:val="-10"/>
                      <w:sz w:val="21"/>
                      <w:szCs w:val="21"/>
                    </w:rPr>
                    <w:t>污染物产生</w:t>
                  </w:r>
                </w:p>
              </w:tc>
              <w:tc>
                <w:tcPr>
                  <w:tcW w:w="2238" w:type="pct"/>
                  <w:gridSpan w:val="5"/>
                  <w:vAlign w:val="center"/>
                </w:tcPr>
                <w:p>
                  <w:pPr>
                    <w:pStyle w:val="24"/>
                    <w:snapToGrid w:val="0"/>
                    <w:spacing w:line="300" w:lineRule="exact"/>
                    <w:jc w:val="center"/>
                    <w:rPr>
                      <w:color w:val="auto"/>
                      <w:spacing w:val="-10"/>
                      <w:sz w:val="21"/>
                      <w:szCs w:val="21"/>
                    </w:rPr>
                  </w:pPr>
                  <w:r>
                    <w:rPr>
                      <w:color w:val="auto"/>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 w:type="pct"/>
                  <w:vMerge w:val="continue"/>
                  <w:vAlign w:val="center"/>
                </w:tcPr>
                <w:p>
                  <w:pPr>
                    <w:pStyle w:val="24"/>
                    <w:snapToGrid w:val="0"/>
                    <w:spacing w:line="300" w:lineRule="exact"/>
                    <w:jc w:val="center"/>
                    <w:rPr>
                      <w:color w:val="auto"/>
                      <w:spacing w:val="-10"/>
                      <w:sz w:val="21"/>
                      <w:szCs w:val="21"/>
                    </w:rPr>
                  </w:pPr>
                </w:p>
              </w:tc>
              <w:tc>
                <w:tcPr>
                  <w:tcW w:w="547" w:type="pct"/>
                  <w:vMerge w:val="continue"/>
                  <w:vAlign w:val="center"/>
                </w:tcPr>
                <w:p>
                  <w:pPr>
                    <w:pStyle w:val="24"/>
                    <w:snapToGrid w:val="0"/>
                    <w:spacing w:line="300" w:lineRule="exact"/>
                    <w:jc w:val="center"/>
                    <w:rPr>
                      <w:color w:val="auto"/>
                      <w:spacing w:val="-10"/>
                      <w:sz w:val="21"/>
                      <w:szCs w:val="21"/>
                    </w:rPr>
                  </w:pPr>
                </w:p>
              </w:tc>
              <w:tc>
                <w:tcPr>
                  <w:tcW w:w="479" w:type="pct"/>
                  <w:vMerge w:val="continue"/>
                  <w:vAlign w:val="center"/>
                </w:tcPr>
                <w:p>
                  <w:pPr>
                    <w:pStyle w:val="24"/>
                    <w:snapToGrid w:val="0"/>
                    <w:spacing w:line="300" w:lineRule="exact"/>
                    <w:jc w:val="center"/>
                    <w:rPr>
                      <w:color w:val="auto"/>
                      <w:spacing w:val="-10"/>
                      <w:sz w:val="21"/>
                      <w:szCs w:val="21"/>
                    </w:rPr>
                  </w:pPr>
                </w:p>
              </w:tc>
              <w:tc>
                <w:tcPr>
                  <w:tcW w:w="398" w:type="pct"/>
                  <w:vAlign w:val="center"/>
                </w:tcPr>
                <w:p>
                  <w:pPr>
                    <w:pStyle w:val="24"/>
                    <w:snapToGrid w:val="0"/>
                    <w:spacing w:line="300" w:lineRule="exact"/>
                    <w:jc w:val="center"/>
                    <w:rPr>
                      <w:color w:val="auto"/>
                      <w:spacing w:val="-10"/>
                      <w:sz w:val="21"/>
                      <w:szCs w:val="21"/>
                    </w:rPr>
                  </w:pPr>
                  <w:r>
                    <w:rPr>
                      <w:color w:val="auto"/>
                      <w:spacing w:val="-10"/>
                      <w:sz w:val="21"/>
                      <w:szCs w:val="21"/>
                    </w:rPr>
                    <w:t>废气</w:t>
                  </w:r>
                  <w:r>
                    <w:rPr>
                      <w:rFonts w:hint="eastAsia"/>
                      <w:color w:val="auto"/>
                      <w:spacing w:val="-10"/>
                      <w:sz w:val="21"/>
                      <w:szCs w:val="21"/>
                    </w:rPr>
                    <w:t>产生</w:t>
                  </w:r>
                  <w:r>
                    <w:rPr>
                      <w:color w:val="auto"/>
                      <w:spacing w:val="-10"/>
                      <w:sz w:val="21"/>
                      <w:szCs w:val="21"/>
                    </w:rPr>
                    <w:t>量(m</w:t>
                  </w:r>
                  <w:r>
                    <w:rPr>
                      <w:color w:val="auto"/>
                      <w:spacing w:val="-10"/>
                      <w:sz w:val="21"/>
                      <w:szCs w:val="21"/>
                      <w:vertAlign w:val="superscript"/>
                    </w:rPr>
                    <w:t>3</w:t>
                  </w:r>
                  <w:r>
                    <w:rPr>
                      <w:color w:val="auto"/>
                      <w:spacing w:val="-10"/>
                      <w:sz w:val="21"/>
                      <w:szCs w:val="21"/>
                    </w:rPr>
                    <w:t>/h)</w:t>
                  </w:r>
                </w:p>
              </w:tc>
              <w:tc>
                <w:tcPr>
                  <w:tcW w:w="360" w:type="pct"/>
                  <w:vAlign w:val="center"/>
                </w:tcPr>
                <w:p>
                  <w:pPr>
                    <w:pStyle w:val="24"/>
                    <w:snapToGrid w:val="0"/>
                    <w:spacing w:line="300" w:lineRule="exact"/>
                    <w:jc w:val="center"/>
                    <w:rPr>
                      <w:color w:val="auto"/>
                      <w:spacing w:val="-10"/>
                      <w:sz w:val="21"/>
                      <w:szCs w:val="21"/>
                    </w:rPr>
                  </w:pPr>
                  <w:r>
                    <w:rPr>
                      <w:color w:val="auto"/>
                      <w:spacing w:val="-10"/>
                      <w:sz w:val="21"/>
                      <w:szCs w:val="21"/>
                    </w:rPr>
                    <w:t>产生量</w:t>
                  </w:r>
                </w:p>
                <w:p>
                  <w:pPr>
                    <w:pStyle w:val="24"/>
                    <w:snapToGrid w:val="0"/>
                    <w:spacing w:line="300" w:lineRule="exact"/>
                    <w:jc w:val="center"/>
                    <w:rPr>
                      <w:color w:val="auto"/>
                      <w:spacing w:val="-10"/>
                      <w:sz w:val="21"/>
                      <w:szCs w:val="21"/>
                    </w:rPr>
                  </w:pPr>
                  <w:r>
                    <w:rPr>
                      <w:color w:val="auto"/>
                      <w:spacing w:val="-10"/>
                      <w:sz w:val="21"/>
                      <w:szCs w:val="21"/>
                    </w:rPr>
                    <w:t>(t/a)</w:t>
                  </w:r>
                </w:p>
              </w:tc>
              <w:tc>
                <w:tcPr>
                  <w:tcW w:w="387"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产生速率（kg/h)</w:t>
                  </w:r>
                </w:p>
              </w:tc>
              <w:tc>
                <w:tcPr>
                  <w:tcW w:w="383" w:type="pct"/>
                  <w:vAlign w:val="center"/>
                </w:tcPr>
                <w:p>
                  <w:pPr>
                    <w:pStyle w:val="24"/>
                    <w:snapToGrid w:val="0"/>
                    <w:spacing w:line="300" w:lineRule="exact"/>
                    <w:jc w:val="center"/>
                    <w:rPr>
                      <w:color w:val="auto"/>
                      <w:spacing w:val="-10"/>
                      <w:sz w:val="21"/>
                      <w:szCs w:val="21"/>
                    </w:rPr>
                  </w:pPr>
                  <w:r>
                    <w:rPr>
                      <w:color w:val="auto"/>
                      <w:spacing w:val="-10"/>
                      <w:sz w:val="21"/>
                      <w:szCs w:val="21"/>
                    </w:rPr>
                    <w:t>产生浓度(mg/m</w:t>
                  </w:r>
                  <w:r>
                    <w:rPr>
                      <w:color w:val="auto"/>
                      <w:spacing w:val="-10"/>
                      <w:sz w:val="21"/>
                      <w:szCs w:val="21"/>
                      <w:vertAlign w:val="superscript"/>
                    </w:rPr>
                    <w:t>3</w:t>
                  </w:r>
                  <w:r>
                    <w:rPr>
                      <w:color w:val="auto"/>
                      <w:spacing w:val="-10"/>
                      <w:sz w:val="21"/>
                      <w:szCs w:val="21"/>
                    </w:rPr>
                    <w:t>)</w:t>
                  </w:r>
                </w:p>
              </w:tc>
              <w:tc>
                <w:tcPr>
                  <w:tcW w:w="495" w:type="pct"/>
                  <w:vAlign w:val="center"/>
                </w:tcPr>
                <w:p>
                  <w:pPr>
                    <w:pStyle w:val="24"/>
                    <w:snapToGrid w:val="0"/>
                    <w:spacing w:line="300" w:lineRule="exact"/>
                    <w:jc w:val="center"/>
                    <w:rPr>
                      <w:color w:val="auto"/>
                      <w:spacing w:val="-10"/>
                      <w:sz w:val="21"/>
                      <w:szCs w:val="21"/>
                    </w:rPr>
                  </w:pPr>
                  <w:r>
                    <w:rPr>
                      <w:color w:val="auto"/>
                      <w:spacing w:val="-10"/>
                      <w:sz w:val="21"/>
                      <w:szCs w:val="21"/>
                    </w:rPr>
                    <w:t>废气</w:t>
                  </w:r>
                  <w:r>
                    <w:rPr>
                      <w:rFonts w:hint="eastAsia"/>
                      <w:color w:val="auto"/>
                      <w:spacing w:val="-10"/>
                      <w:sz w:val="21"/>
                      <w:szCs w:val="21"/>
                    </w:rPr>
                    <w:t>排放</w:t>
                  </w:r>
                  <w:r>
                    <w:rPr>
                      <w:color w:val="auto"/>
                      <w:spacing w:val="-10"/>
                      <w:sz w:val="21"/>
                      <w:szCs w:val="21"/>
                    </w:rPr>
                    <w:t>量(m</w:t>
                  </w:r>
                  <w:r>
                    <w:rPr>
                      <w:color w:val="auto"/>
                      <w:spacing w:val="-10"/>
                      <w:sz w:val="21"/>
                      <w:szCs w:val="21"/>
                      <w:vertAlign w:val="superscript"/>
                    </w:rPr>
                    <w:t>3</w:t>
                  </w:r>
                  <w:r>
                    <w:rPr>
                      <w:color w:val="auto"/>
                      <w:spacing w:val="-10"/>
                      <w:sz w:val="21"/>
                      <w:szCs w:val="21"/>
                    </w:rPr>
                    <w:t>/h)</w:t>
                  </w:r>
                </w:p>
              </w:tc>
              <w:tc>
                <w:tcPr>
                  <w:tcW w:w="495" w:type="pct"/>
                  <w:vAlign w:val="center"/>
                </w:tcPr>
                <w:p>
                  <w:pPr>
                    <w:pStyle w:val="24"/>
                    <w:snapToGrid w:val="0"/>
                    <w:spacing w:line="300" w:lineRule="exact"/>
                    <w:jc w:val="center"/>
                    <w:rPr>
                      <w:color w:val="auto"/>
                      <w:spacing w:val="-10"/>
                      <w:sz w:val="21"/>
                      <w:szCs w:val="21"/>
                    </w:rPr>
                  </w:pPr>
                  <w:r>
                    <w:rPr>
                      <w:color w:val="auto"/>
                      <w:spacing w:val="-10"/>
                      <w:sz w:val="21"/>
                      <w:szCs w:val="21"/>
                    </w:rPr>
                    <w:t>排放量(t/a)</w:t>
                  </w:r>
                </w:p>
              </w:tc>
              <w:tc>
                <w:tcPr>
                  <w:tcW w:w="443" w:type="pct"/>
                  <w:vAlign w:val="center"/>
                </w:tcPr>
                <w:p>
                  <w:pPr>
                    <w:pStyle w:val="24"/>
                    <w:snapToGrid w:val="0"/>
                    <w:spacing w:line="300" w:lineRule="exact"/>
                    <w:jc w:val="center"/>
                    <w:rPr>
                      <w:color w:val="auto"/>
                      <w:spacing w:val="-10"/>
                      <w:sz w:val="21"/>
                      <w:szCs w:val="21"/>
                    </w:rPr>
                  </w:pPr>
                  <w:r>
                    <w:rPr>
                      <w:color w:val="auto"/>
                      <w:spacing w:val="-10"/>
                      <w:sz w:val="21"/>
                      <w:szCs w:val="21"/>
                    </w:rPr>
                    <w:t>排放浓度(mg/m</w:t>
                  </w:r>
                  <w:r>
                    <w:rPr>
                      <w:color w:val="auto"/>
                      <w:spacing w:val="-10"/>
                      <w:sz w:val="21"/>
                      <w:szCs w:val="21"/>
                      <w:vertAlign w:val="superscript"/>
                    </w:rPr>
                    <w:t>3</w:t>
                  </w:r>
                  <w:r>
                    <w:rPr>
                      <w:color w:val="auto"/>
                      <w:spacing w:val="-10"/>
                      <w:sz w:val="21"/>
                      <w:szCs w:val="21"/>
                    </w:rPr>
                    <w:t>)</w:t>
                  </w:r>
                </w:p>
              </w:tc>
              <w:tc>
                <w:tcPr>
                  <w:tcW w:w="42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排放速率（kg/h)</w:t>
                  </w:r>
                </w:p>
              </w:tc>
              <w:tc>
                <w:tcPr>
                  <w:tcW w:w="37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18"/>
                      <w:szCs w:val="18"/>
                    </w:rPr>
                  </w:pPr>
                  <w:r>
                    <w:rPr>
                      <w:rFonts w:hint="eastAsia"/>
                      <w:color w:val="auto"/>
                      <w:spacing w:val="-10"/>
                      <w:sz w:val="21"/>
                      <w:szCs w:val="21"/>
                    </w:rPr>
                    <w:t>1</w:t>
                  </w:r>
                </w:p>
              </w:tc>
              <w:tc>
                <w:tcPr>
                  <w:tcW w:w="547" w:type="pct"/>
                  <w:vAlign w:val="center"/>
                </w:tcPr>
                <w:p>
                  <w:pPr>
                    <w:spacing w:line="300" w:lineRule="exact"/>
                    <w:jc w:val="center"/>
                    <w:rPr>
                      <w:color w:val="auto"/>
                      <w:spacing w:val="-10"/>
                      <w:sz w:val="18"/>
                      <w:szCs w:val="18"/>
                    </w:rPr>
                  </w:pPr>
                  <w:r>
                    <w:rPr>
                      <w:rFonts w:hint="eastAsia"/>
                      <w:color w:val="auto"/>
                      <w:szCs w:val="21"/>
                    </w:rPr>
                    <w:t>切割、打孔、焊接工序</w:t>
                  </w:r>
                </w:p>
              </w:tc>
              <w:tc>
                <w:tcPr>
                  <w:tcW w:w="479" w:type="pct"/>
                  <w:vAlign w:val="center"/>
                </w:tcPr>
                <w:p>
                  <w:pPr>
                    <w:pStyle w:val="24"/>
                    <w:snapToGrid w:val="0"/>
                    <w:spacing w:line="300" w:lineRule="exact"/>
                    <w:jc w:val="center"/>
                    <w:rPr>
                      <w:color w:val="auto"/>
                      <w:spacing w:val="-10"/>
                      <w:sz w:val="18"/>
                      <w:szCs w:val="18"/>
                    </w:rPr>
                  </w:pPr>
                  <w:r>
                    <w:rPr>
                      <w:rFonts w:hint="eastAsia"/>
                      <w:color w:val="auto"/>
                      <w:spacing w:val="-10"/>
                      <w:sz w:val="21"/>
                      <w:szCs w:val="21"/>
                    </w:rPr>
                    <w:t>颗粒物</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2.89</w:t>
                  </w:r>
                </w:p>
              </w:tc>
              <w:tc>
                <w:tcPr>
                  <w:tcW w:w="387"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1.20</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0.0289</w:t>
                  </w:r>
                </w:p>
              </w:tc>
              <w:tc>
                <w:tcPr>
                  <w:tcW w:w="44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w:t>
                  </w:r>
                </w:p>
              </w:tc>
              <w:tc>
                <w:tcPr>
                  <w:tcW w:w="42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0.012</w:t>
                  </w:r>
                </w:p>
              </w:tc>
              <w:tc>
                <w:tcPr>
                  <w:tcW w:w="376"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06"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w:t>
                  </w:r>
                </w:p>
              </w:tc>
              <w:tc>
                <w:tcPr>
                  <w:tcW w:w="547" w:type="pct"/>
                  <w:vMerge w:val="restart"/>
                  <w:vAlign w:val="center"/>
                </w:tcPr>
                <w:p>
                  <w:pPr>
                    <w:spacing w:line="300" w:lineRule="exact"/>
                    <w:jc w:val="center"/>
                    <w:rPr>
                      <w:color w:val="auto"/>
                      <w:spacing w:val="-10"/>
                      <w:szCs w:val="21"/>
                    </w:rPr>
                  </w:pPr>
                  <w:r>
                    <w:rPr>
                      <w:rFonts w:hint="eastAsia"/>
                      <w:color w:val="auto"/>
                      <w:szCs w:val="21"/>
                    </w:rPr>
                    <w:t>天然气燃烧机</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Merge w:val="restar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1736</w:t>
                  </w:r>
                </w:p>
              </w:tc>
              <w:tc>
                <w:tcPr>
                  <w:tcW w:w="360"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0.029</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0.036</w:t>
                  </w:r>
                </w:p>
              </w:tc>
              <w:tc>
                <w:tcPr>
                  <w:tcW w:w="383"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20.7</w:t>
                  </w:r>
                </w:p>
              </w:tc>
              <w:tc>
                <w:tcPr>
                  <w:tcW w:w="495" w:type="pct"/>
                  <w:vMerge w:val="restar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1736</w:t>
                  </w:r>
                </w:p>
              </w:tc>
              <w:tc>
                <w:tcPr>
                  <w:tcW w:w="1305"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0.029</w:t>
                  </w:r>
                </w:p>
              </w:tc>
              <w:tc>
                <w:tcPr>
                  <w:tcW w:w="1168"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20.7</w:t>
                  </w:r>
                </w:p>
              </w:tc>
              <w:tc>
                <w:tcPr>
                  <w:tcW w:w="1131"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0.036</w:t>
                  </w:r>
                </w:p>
              </w:tc>
              <w:tc>
                <w:tcPr>
                  <w:tcW w:w="376" w:type="pct"/>
                  <w:vMerge w:val="restar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06" w:type="pct"/>
                  <w:vMerge w:val="continue"/>
                  <w:vAlign w:val="center"/>
                </w:tcPr>
                <w:p>
                  <w:pPr>
                    <w:pStyle w:val="24"/>
                    <w:snapToGrid w:val="0"/>
                    <w:spacing w:line="300" w:lineRule="exact"/>
                    <w:jc w:val="center"/>
                    <w:rPr>
                      <w:color w:val="auto"/>
                    </w:rPr>
                  </w:pPr>
                </w:p>
              </w:tc>
              <w:tc>
                <w:tcPr>
                  <w:tcW w:w="547" w:type="pct"/>
                  <w:vMerge w:val="continue"/>
                  <w:vAlign w:val="center"/>
                </w:tcPr>
                <w:p>
                  <w:pPr>
                    <w:pStyle w:val="24"/>
                    <w:snapToGrid w:val="0"/>
                    <w:spacing w:line="300" w:lineRule="exact"/>
                    <w:jc w:val="center"/>
                    <w:rPr>
                      <w:color w:val="auto"/>
                    </w:rPr>
                  </w:pP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SO</w:t>
                  </w:r>
                  <w:r>
                    <w:rPr>
                      <w:rFonts w:hint="eastAsia"/>
                      <w:color w:val="auto"/>
                      <w:spacing w:val="-10"/>
                      <w:sz w:val="21"/>
                      <w:szCs w:val="21"/>
                      <w:vertAlign w:val="subscript"/>
                    </w:rPr>
                    <w:t>2</w:t>
                  </w:r>
                </w:p>
              </w:tc>
              <w:tc>
                <w:tcPr>
                  <w:tcW w:w="398" w:type="pct"/>
                  <w:vMerge w:val="continue"/>
                  <w:vAlign w:val="center"/>
                </w:tcPr>
                <w:p>
                  <w:pPr>
                    <w:pStyle w:val="24"/>
                    <w:snapToGrid w:val="0"/>
                    <w:spacing w:line="300" w:lineRule="exact"/>
                    <w:jc w:val="center"/>
                    <w:rPr>
                      <w:color w:val="auto"/>
                      <w:spacing w:val="-10"/>
                      <w:sz w:val="18"/>
                      <w:szCs w:val="18"/>
                    </w:rPr>
                  </w:pPr>
                </w:p>
              </w:tc>
              <w:tc>
                <w:tcPr>
                  <w:tcW w:w="360"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0.008</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0.01</w:t>
                  </w:r>
                </w:p>
              </w:tc>
              <w:tc>
                <w:tcPr>
                  <w:tcW w:w="383"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5.76</w:t>
                  </w:r>
                </w:p>
              </w:tc>
              <w:tc>
                <w:tcPr>
                  <w:tcW w:w="495" w:type="pct"/>
                  <w:vMerge w:val="continue"/>
                  <w:vAlign w:val="center"/>
                </w:tcPr>
                <w:p>
                  <w:pPr>
                    <w:pStyle w:val="24"/>
                    <w:snapToGrid w:val="0"/>
                    <w:spacing w:line="300" w:lineRule="exact"/>
                    <w:jc w:val="center"/>
                    <w:rPr>
                      <w:color w:val="auto"/>
                      <w:spacing w:val="-10"/>
                      <w:sz w:val="18"/>
                      <w:szCs w:val="18"/>
                    </w:rPr>
                  </w:pPr>
                </w:p>
              </w:tc>
              <w:tc>
                <w:tcPr>
                  <w:tcW w:w="1305"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0.008</w:t>
                  </w:r>
                </w:p>
              </w:tc>
              <w:tc>
                <w:tcPr>
                  <w:tcW w:w="1168"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5.76</w:t>
                  </w:r>
                </w:p>
              </w:tc>
              <w:tc>
                <w:tcPr>
                  <w:tcW w:w="1131"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0.01</w:t>
                  </w:r>
                </w:p>
              </w:tc>
              <w:tc>
                <w:tcPr>
                  <w:tcW w:w="376" w:type="pct"/>
                  <w:vMerge w:val="continue"/>
                  <w:vAlign w:val="center"/>
                </w:tcPr>
                <w:p>
                  <w:pPr>
                    <w:pStyle w:val="24"/>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06" w:type="pct"/>
                  <w:vMerge w:val="continue"/>
                  <w:vAlign w:val="center"/>
                </w:tcPr>
                <w:p>
                  <w:pPr>
                    <w:pStyle w:val="24"/>
                    <w:snapToGrid w:val="0"/>
                    <w:spacing w:line="300" w:lineRule="exact"/>
                    <w:jc w:val="center"/>
                    <w:rPr>
                      <w:color w:val="auto"/>
                      <w:spacing w:val="-10"/>
                      <w:sz w:val="21"/>
                      <w:szCs w:val="21"/>
                    </w:rPr>
                  </w:pPr>
                </w:p>
              </w:tc>
              <w:tc>
                <w:tcPr>
                  <w:tcW w:w="547" w:type="pct"/>
                  <w:vMerge w:val="continue"/>
                  <w:vAlign w:val="center"/>
                </w:tcPr>
                <w:p>
                  <w:pPr>
                    <w:pStyle w:val="24"/>
                    <w:snapToGrid w:val="0"/>
                    <w:spacing w:line="300" w:lineRule="exact"/>
                    <w:jc w:val="center"/>
                    <w:rPr>
                      <w:color w:val="auto"/>
                      <w:spacing w:val="-10"/>
                      <w:sz w:val="21"/>
                      <w:szCs w:val="21"/>
                    </w:rPr>
                  </w:pP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NOx</w:t>
                  </w:r>
                </w:p>
              </w:tc>
              <w:tc>
                <w:tcPr>
                  <w:tcW w:w="398" w:type="pct"/>
                  <w:vMerge w:val="continue"/>
                  <w:vAlign w:val="center"/>
                </w:tcPr>
                <w:p>
                  <w:pPr>
                    <w:pStyle w:val="24"/>
                    <w:snapToGrid w:val="0"/>
                    <w:spacing w:line="300" w:lineRule="exact"/>
                    <w:jc w:val="center"/>
                    <w:rPr>
                      <w:color w:val="auto"/>
                      <w:spacing w:val="-10"/>
                      <w:sz w:val="18"/>
                      <w:szCs w:val="18"/>
                    </w:rPr>
                  </w:pPr>
                </w:p>
              </w:tc>
              <w:tc>
                <w:tcPr>
                  <w:tcW w:w="360"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0.191</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0.239</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137.7</w:t>
                  </w:r>
                </w:p>
              </w:tc>
              <w:tc>
                <w:tcPr>
                  <w:tcW w:w="495" w:type="pct"/>
                  <w:vMerge w:val="continue"/>
                  <w:vAlign w:val="center"/>
                </w:tcPr>
                <w:p>
                  <w:pPr>
                    <w:pStyle w:val="24"/>
                    <w:snapToGrid w:val="0"/>
                    <w:spacing w:line="300" w:lineRule="exact"/>
                    <w:jc w:val="center"/>
                    <w:rPr>
                      <w:color w:val="auto"/>
                      <w:spacing w:val="-10"/>
                      <w:sz w:val="18"/>
                      <w:szCs w:val="18"/>
                    </w:rPr>
                  </w:pPr>
                </w:p>
              </w:tc>
              <w:tc>
                <w:tcPr>
                  <w:tcW w:w="1305"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0.191</w:t>
                  </w:r>
                </w:p>
              </w:tc>
              <w:tc>
                <w:tcPr>
                  <w:tcW w:w="1168"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137.7</w:t>
                  </w:r>
                </w:p>
              </w:tc>
              <w:tc>
                <w:tcPr>
                  <w:tcW w:w="1131"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0.239</w:t>
                  </w:r>
                </w:p>
              </w:tc>
              <w:tc>
                <w:tcPr>
                  <w:tcW w:w="376" w:type="pct"/>
                  <w:vMerge w:val="continue"/>
                  <w:vAlign w:val="center"/>
                </w:tcPr>
                <w:p>
                  <w:pPr>
                    <w:pStyle w:val="24"/>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w:t>
                  </w:r>
                </w:p>
              </w:tc>
              <w:tc>
                <w:tcPr>
                  <w:tcW w:w="547" w:type="pct"/>
                  <w:vAlign w:val="center"/>
                </w:tcPr>
                <w:p>
                  <w:pPr>
                    <w:spacing w:line="300" w:lineRule="exact"/>
                    <w:jc w:val="center"/>
                    <w:rPr>
                      <w:color w:val="auto"/>
                      <w:spacing w:val="-10"/>
                      <w:szCs w:val="21"/>
                    </w:rPr>
                  </w:pPr>
                  <w:r>
                    <w:rPr>
                      <w:rFonts w:hint="eastAsia"/>
                      <w:color w:val="auto"/>
                      <w:szCs w:val="21"/>
                    </w:rPr>
                    <w:t>喷涂工序</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8.1</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10.125 </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1012.5</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10.13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0.101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4</w:t>
                  </w:r>
                </w:p>
              </w:tc>
              <w:tc>
                <w:tcPr>
                  <w:tcW w:w="547" w:type="pct"/>
                  <w:vAlign w:val="center"/>
                </w:tcPr>
                <w:p>
                  <w:pPr>
                    <w:spacing w:line="300" w:lineRule="exact"/>
                    <w:jc w:val="center"/>
                    <w:rPr>
                      <w:color w:val="auto"/>
                      <w:spacing w:val="-10"/>
                      <w:szCs w:val="21"/>
                    </w:rPr>
                  </w:pPr>
                  <w:r>
                    <w:rPr>
                      <w:rFonts w:hint="eastAsia"/>
                      <w:color w:val="auto"/>
                      <w:szCs w:val="21"/>
                    </w:rPr>
                    <w:t>固化工序</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0.656</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0.820</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82</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0.0656</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8.20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0.082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w:t>
                  </w:r>
                </w:p>
              </w:tc>
              <w:tc>
                <w:tcPr>
                  <w:tcW w:w="547" w:type="pct"/>
                  <w:vAlign w:val="center"/>
                </w:tcPr>
                <w:p>
                  <w:pPr>
                    <w:spacing w:line="300" w:lineRule="exact"/>
                    <w:jc w:val="center"/>
                    <w:rPr>
                      <w:color w:val="auto"/>
                      <w:spacing w:val="-10"/>
                      <w:szCs w:val="21"/>
                    </w:rPr>
                  </w:pPr>
                  <w:r>
                    <w:rPr>
                      <w:rFonts w:hint="eastAsia"/>
                      <w:color w:val="auto"/>
                      <w:szCs w:val="21"/>
                    </w:rPr>
                    <w:t>手动喷粉室</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0.9</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1.125 </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225</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0.009</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2.25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0.011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6</w:t>
                  </w:r>
                </w:p>
              </w:tc>
              <w:tc>
                <w:tcPr>
                  <w:tcW w:w="547" w:type="pct"/>
                  <w:vAlign w:val="center"/>
                </w:tcPr>
                <w:p>
                  <w:pPr>
                    <w:spacing w:line="300" w:lineRule="exact"/>
                    <w:jc w:val="center"/>
                    <w:rPr>
                      <w:color w:val="auto"/>
                      <w:spacing w:val="-10"/>
                      <w:szCs w:val="21"/>
                    </w:rPr>
                  </w:pPr>
                  <w:r>
                    <w:rPr>
                      <w:rFonts w:hint="eastAsia"/>
                      <w:color w:val="auto"/>
                      <w:szCs w:val="21"/>
                    </w:rPr>
                    <w:t>手喷件固化烘箱</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98"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0.0729</w:t>
                  </w:r>
                </w:p>
              </w:tc>
              <w:tc>
                <w:tcPr>
                  <w:tcW w:w="102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0.091 </w:t>
                  </w:r>
                </w:p>
              </w:tc>
              <w:tc>
                <w:tcPr>
                  <w:tcW w:w="1010"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18.23 </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0.015</w:t>
                  </w:r>
                </w:p>
              </w:tc>
              <w:tc>
                <w:tcPr>
                  <w:tcW w:w="1168" w:type="dxa"/>
                  <w:vAlign w:val="center"/>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3.75 </w:t>
                  </w:r>
                </w:p>
              </w:tc>
              <w:tc>
                <w:tcPr>
                  <w:tcW w:w="1131" w:type="dxa"/>
                  <w:vAlign w:val="center"/>
                </w:tcPr>
                <w:p>
                  <w:pPr>
                    <w:pStyle w:val="24"/>
                    <w:snapToGrid w:val="0"/>
                    <w:spacing w:line="300" w:lineRule="exact"/>
                    <w:jc w:val="center"/>
                    <w:rPr>
                      <w:rFonts w:hint="eastAsia"/>
                      <w:color w:val="auto"/>
                      <w:spacing w:val="-10"/>
                      <w:sz w:val="18"/>
                      <w:szCs w:val="18"/>
                    </w:rPr>
                  </w:pPr>
                  <w:r>
                    <w:rPr>
                      <w:rFonts w:hint="eastAsia"/>
                      <w:color w:val="auto"/>
                      <w:spacing w:val="-10"/>
                      <w:sz w:val="18"/>
                      <w:szCs w:val="18"/>
                      <w:lang w:val="en-US" w:eastAsia="zh-CN"/>
                    </w:rPr>
                    <w:t xml:space="preserve">0.019 </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7</w:t>
                  </w:r>
                </w:p>
              </w:tc>
              <w:tc>
                <w:tcPr>
                  <w:tcW w:w="547"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厂界</w:t>
                  </w: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98" w:type="pct"/>
                  <w:vMerge w:val="restar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0.3206</w:t>
                  </w:r>
                </w:p>
              </w:tc>
              <w:tc>
                <w:tcPr>
                  <w:tcW w:w="387"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0.134</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495" w:type="pct"/>
                  <w:vMerge w:val="restar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0.3206</w:t>
                  </w:r>
                </w:p>
              </w:tc>
              <w:tc>
                <w:tcPr>
                  <w:tcW w:w="443" w:type="pct"/>
                  <w:vAlign w:val="center"/>
                </w:tcPr>
                <w:p>
                  <w:pPr>
                    <w:pStyle w:val="24"/>
                    <w:snapToGrid w:val="0"/>
                    <w:spacing w:line="300" w:lineRule="exact"/>
                    <w:jc w:val="center"/>
                    <w:rPr>
                      <w:color w:val="auto"/>
                      <w:spacing w:val="-10"/>
                      <w:sz w:val="18"/>
                      <w:szCs w:val="18"/>
                    </w:rPr>
                  </w:pPr>
                  <w:r>
                    <w:rPr>
                      <w:rFonts w:ascii="Arial" w:hAnsi="Arial" w:cs="Arial"/>
                      <w:color w:val="auto"/>
                      <w:spacing w:val="-10"/>
                      <w:sz w:val="18"/>
                      <w:szCs w:val="18"/>
                    </w:rPr>
                    <w:t>≤</w:t>
                  </w:r>
                  <w:r>
                    <w:rPr>
                      <w:rFonts w:hint="eastAsia"/>
                      <w:color w:val="auto"/>
                      <w:spacing w:val="-10"/>
                      <w:sz w:val="18"/>
                      <w:szCs w:val="18"/>
                    </w:rPr>
                    <w:t>1</w:t>
                  </w:r>
                </w:p>
              </w:tc>
              <w:tc>
                <w:tcPr>
                  <w:tcW w:w="42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0.134</w:t>
                  </w:r>
                </w:p>
              </w:tc>
              <w:tc>
                <w:tcPr>
                  <w:tcW w:w="376"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6" w:type="pct"/>
                  <w:vMerge w:val="continue"/>
                  <w:vAlign w:val="center"/>
                </w:tcPr>
                <w:p>
                  <w:pPr>
                    <w:pStyle w:val="24"/>
                    <w:snapToGrid w:val="0"/>
                    <w:spacing w:line="300" w:lineRule="exact"/>
                    <w:jc w:val="center"/>
                    <w:rPr>
                      <w:color w:val="auto"/>
                      <w:spacing w:val="-10"/>
                      <w:sz w:val="21"/>
                      <w:szCs w:val="21"/>
                    </w:rPr>
                  </w:pPr>
                </w:p>
              </w:tc>
              <w:tc>
                <w:tcPr>
                  <w:tcW w:w="547" w:type="pct"/>
                  <w:vMerge w:val="continue"/>
                  <w:vAlign w:val="center"/>
                </w:tcPr>
                <w:p>
                  <w:pPr>
                    <w:pStyle w:val="24"/>
                    <w:snapToGrid w:val="0"/>
                    <w:spacing w:line="300" w:lineRule="exact"/>
                    <w:jc w:val="center"/>
                    <w:rPr>
                      <w:color w:val="auto"/>
                      <w:spacing w:val="-10"/>
                      <w:sz w:val="21"/>
                      <w:szCs w:val="21"/>
                    </w:rPr>
                  </w:pPr>
                </w:p>
              </w:tc>
              <w:tc>
                <w:tcPr>
                  <w:tcW w:w="479"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98" w:type="pct"/>
                  <w:vMerge w:val="continue"/>
                  <w:vAlign w:val="center"/>
                </w:tcPr>
                <w:p>
                  <w:pPr>
                    <w:pStyle w:val="24"/>
                    <w:snapToGrid w:val="0"/>
                    <w:spacing w:line="300" w:lineRule="exact"/>
                    <w:jc w:val="center"/>
                    <w:rPr>
                      <w:color w:val="auto"/>
                      <w:spacing w:val="-10"/>
                      <w:sz w:val="18"/>
                      <w:szCs w:val="18"/>
                    </w:rPr>
                  </w:pPr>
                </w:p>
              </w:tc>
              <w:tc>
                <w:tcPr>
                  <w:tcW w:w="360"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387"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0.101</w:t>
                  </w:r>
                </w:p>
              </w:tc>
              <w:tc>
                <w:tcPr>
                  <w:tcW w:w="383"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w:t>
                  </w:r>
                </w:p>
              </w:tc>
              <w:tc>
                <w:tcPr>
                  <w:tcW w:w="495" w:type="pct"/>
                  <w:vMerge w:val="continue"/>
                  <w:vAlign w:val="center"/>
                </w:tcPr>
                <w:p>
                  <w:pPr>
                    <w:pStyle w:val="24"/>
                    <w:snapToGrid w:val="0"/>
                    <w:spacing w:line="300" w:lineRule="exact"/>
                    <w:jc w:val="center"/>
                    <w:rPr>
                      <w:color w:val="auto"/>
                      <w:spacing w:val="-10"/>
                      <w:sz w:val="18"/>
                      <w:szCs w:val="18"/>
                    </w:rPr>
                  </w:pPr>
                </w:p>
              </w:tc>
              <w:tc>
                <w:tcPr>
                  <w:tcW w:w="495"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443" w:type="pct"/>
                  <w:vAlign w:val="center"/>
                </w:tcPr>
                <w:p>
                  <w:pPr>
                    <w:pStyle w:val="24"/>
                    <w:snapToGrid w:val="0"/>
                    <w:spacing w:line="300" w:lineRule="exact"/>
                    <w:jc w:val="center"/>
                    <w:rPr>
                      <w:color w:val="auto"/>
                      <w:spacing w:val="-10"/>
                      <w:sz w:val="18"/>
                      <w:szCs w:val="18"/>
                    </w:rPr>
                  </w:pPr>
                  <w:r>
                    <w:rPr>
                      <w:rFonts w:ascii="Arial" w:hAnsi="Arial" w:cs="Arial"/>
                      <w:color w:val="auto"/>
                      <w:spacing w:val="-10"/>
                      <w:sz w:val="18"/>
                      <w:szCs w:val="18"/>
                    </w:rPr>
                    <w:t>≤</w:t>
                  </w:r>
                  <w:r>
                    <w:rPr>
                      <w:rFonts w:hint="eastAsia" w:ascii="Arial" w:hAnsi="Arial" w:cs="Arial"/>
                      <w:color w:val="auto"/>
                      <w:spacing w:val="-10"/>
                      <w:sz w:val="18"/>
                      <w:szCs w:val="18"/>
                    </w:rPr>
                    <w:t>2</w:t>
                  </w:r>
                </w:p>
              </w:tc>
              <w:tc>
                <w:tcPr>
                  <w:tcW w:w="429"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0.101</w:t>
                  </w:r>
                </w:p>
              </w:tc>
              <w:tc>
                <w:tcPr>
                  <w:tcW w:w="376" w:type="pct"/>
                  <w:vAlign w:val="center"/>
                </w:tcPr>
                <w:p>
                  <w:pPr>
                    <w:pStyle w:val="24"/>
                    <w:snapToGrid w:val="0"/>
                    <w:spacing w:line="300" w:lineRule="exact"/>
                    <w:jc w:val="center"/>
                    <w:rPr>
                      <w:rFonts w:hint="default" w:eastAsia="宋体"/>
                      <w:color w:val="auto"/>
                      <w:spacing w:val="-10"/>
                      <w:sz w:val="18"/>
                      <w:szCs w:val="18"/>
                      <w:lang w:val="en-US" w:eastAsia="zh-CN"/>
                    </w:rPr>
                  </w:pPr>
                  <w:r>
                    <w:rPr>
                      <w:rFonts w:hint="eastAsia"/>
                      <w:color w:val="auto"/>
                      <w:spacing w:val="-10"/>
                      <w:sz w:val="18"/>
                      <w:szCs w:val="18"/>
                      <w:lang w:val="en-US" w:eastAsia="zh-CN"/>
                    </w:rPr>
                    <w:t>800</w:t>
                  </w:r>
                </w:p>
              </w:tc>
            </w:tr>
          </w:tbl>
          <w:p>
            <w:pPr>
              <w:pStyle w:val="33"/>
              <w:adjustRightInd w:val="0"/>
              <w:snapToGrid w:val="0"/>
              <w:spacing w:line="360" w:lineRule="auto"/>
              <w:ind w:firstLine="472" w:firstLineChars="200"/>
              <w:rPr>
                <w:rFonts w:eastAsia="宋体"/>
                <w:b/>
                <w:bCs/>
                <w:color w:val="auto"/>
                <w:szCs w:val="24"/>
              </w:rPr>
            </w:pPr>
            <w:r>
              <w:rPr>
                <w:rFonts w:eastAsia="宋体"/>
                <w:b/>
                <w:bCs/>
                <w:color w:val="auto"/>
                <w:szCs w:val="24"/>
              </w:rPr>
              <w:t>表</w:t>
            </w:r>
            <w:r>
              <w:rPr>
                <w:rFonts w:hint="eastAsia" w:eastAsia="宋体"/>
                <w:b/>
                <w:bCs/>
                <w:color w:val="auto"/>
                <w:szCs w:val="24"/>
              </w:rPr>
              <w:t>4-3</w:t>
            </w:r>
            <w:r>
              <w:rPr>
                <w:rFonts w:eastAsia="宋体"/>
                <w:b/>
                <w:bCs/>
                <w:color w:val="auto"/>
                <w:szCs w:val="24"/>
              </w:rPr>
              <w:t>项目废气污染物排放情况（非正常情况下）</w:t>
            </w:r>
          </w:p>
          <w:tbl>
            <w:tblPr>
              <w:tblStyle w:val="19"/>
              <w:tblW w:w="4993"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479"/>
              <w:gridCol w:w="2374"/>
              <w:gridCol w:w="1004"/>
              <w:gridCol w:w="1412"/>
              <w:gridCol w:w="1170"/>
              <w:gridCol w:w="1315"/>
              <w:gridCol w:w="975"/>
              <w:gridCol w:w="16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adjustRightInd w:val="0"/>
                    <w:jc w:val="center"/>
                    <w:textAlignment w:val="baseline"/>
                    <w:rPr>
                      <w:rFonts w:ascii="Calibri" w:hAnsi="Calibri" w:cs="Calibri"/>
                      <w:color w:val="auto"/>
                    </w:rPr>
                  </w:pPr>
                  <w:r>
                    <w:rPr>
                      <w:rFonts w:ascii="Calibri" w:hAnsi="Calibri" w:cs="Calibri"/>
                      <w:color w:val="auto"/>
                    </w:rPr>
                    <w:t>序号</w:t>
                  </w:r>
                </w:p>
              </w:tc>
              <w:tc>
                <w:tcPr>
                  <w:tcW w:w="941" w:type="pct"/>
                  <w:vAlign w:val="center"/>
                </w:tcPr>
                <w:p>
                  <w:pPr>
                    <w:jc w:val="center"/>
                    <w:rPr>
                      <w:rFonts w:ascii="Calibri" w:hAnsi="Calibri" w:cs="Calibri"/>
                      <w:color w:val="auto"/>
                    </w:rPr>
                  </w:pPr>
                  <w:r>
                    <w:rPr>
                      <w:rFonts w:hint="eastAsia"/>
                      <w:color w:val="auto"/>
                      <w:szCs w:val="21"/>
                    </w:rPr>
                    <w:t>产排污环节</w:t>
                  </w:r>
                </w:p>
              </w:tc>
              <w:tc>
                <w:tcPr>
                  <w:tcW w:w="901" w:type="pct"/>
                  <w:vAlign w:val="center"/>
                </w:tcPr>
                <w:p>
                  <w:pPr>
                    <w:tabs>
                      <w:tab w:val="left" w:pos="1617"/>
                    </w:tabs>
                    <w:adjustRightInd w:val="0"/>
                    <w:snapToGrid w:val="0"/>
                    <w:spacing w:line="400" w:lineRule="exact"/>
                    <w:jc w:val="center"/>
                    <w:rPr>
                      <w:rFonts w:ascii="Calibri" w:hAnsi="Calibri" w:cs="Calibri"/>
                      <w:color w:val="auto"/>
                    </w:rPr>
                  </w:pPr>
                  <w:r>
                    <w:rPr>
                      <w:color w:val="auto"/>
                      <w:szCs w:val="21"/>
                    </w:rPr>
                    <w:t>污染物种类</w:t>
                  </w:r>
                </w:p>
              </w:tc>
              <w:tc>
                <w:tcPr>
                  <w:tcW w:w="381" w:type="pct"/>
                  <w:vAlign w:val="center"/>
                </w:tcPr>
                <w:p>
                  <w:pPr>
                    <w:jc w:val="center"/>
                    <w:rPr>
                      <w:rFonts w:ascii="Calibri" w:hAnsi="Calibri" w:cs="Calibri"/>
                      <w:color w:val="auto"/>
                    </w:rPr>
                  </w:pPr>
                  <w:r>
                    <w:rPr>
                      <w:rFonts w:hint="eastAsia" w:ascii="Calibri" w:hAnsi="Calibri" w:cs="Calibri"/>
                      <w:color w:val="auto"/>
                    </w:rPr>
                    <w:t>频次</w:t>
                  </w:r>
                </w:p>
              </w:tc>
              <w:tc>
                <w:tcPr>
                  <w:tcW w:w="536" w:type="pct"/>
                  <w:vAlign w:val="center"/>
                </w:tcPr>
                <w:p>
                  <w:pPr>
                    <w:jc w:val="center"/>
                    <w:rPr>
                      <w:rFonts w:ascii="Calibri" w:hAnsi="Calibri" w:cs="Calibri"/>
                      <w:color w:val="auto"/>
                    </w:rPr>
                  </w:pPr>
                  <w:r>
                    <w:rPr>
                      <w:rFonts w:ascii="Calibri" w:hAnsi="Calibri" w:cs="Calibri"/>
                      <w:color w:val="auto"/>
                    </w:rPr>
                    <w:t>排放浓度</w:t>
                  </w:r>
                  <w:r>
                    <w:rPr>
                      <w:rFonts w:hint="eastAsia" w:ascii="Calibri" w:hAnsi="Calibri" w:cs="Calibri"/>
                      <w:color w:val="auto"/>
                    </w:rPr>
                    <w:t>（</w:t>
                  </w:r>
                  <w:r>
                    <w:rPr>
                      <w:rFonts w:ascii="Calibri" w:hAnsi="Calibri" w:cs="Calibri"/>
                      <w:color w:val="auto"/>
                    </w:rPr>
                    <w:t>mg/m³</w:t>
                  </w:r>
                  <w:r>
                    <w:rPr>
                      <w:rFonts w:hint="eastAsia" w:ascii="Calibri" w:hAnsi="Calibri" w:cs="Calibri"/>
                      <w:color w:val="auto"/>
                    </w:rPr>
                    <w:t>）</w:t>
                  </w:r>
                </w:p>
              </w:tc>
              <w:tc>
                <w:tcPr>
                  <w:tcW w:w="444" w:type="pct"/>
                  <w:vAlign w:val="center"/>
                </w:tcPr>
                <w:p>
                  <w:pPr>
                    <w:jc w:val="center"/>
                    <w:rPr>
                      <w:rFonts w:ascii="Calibri" w:hAnsi="Calibri" w:cs="Calibri"/>
                      <w:color w:val="auto"/>
                    </w:rPr>
                  </w:pPr>
                  <w:r>
                    <w:rPr>
                      <w:rFonts w:ascii="Calibri" w:hAnsi="Calibri" w:cs="Calibri"/>
                      <w:color w:val="auto"/>
                    </w:rPr>
                    <w:t>持续时间（h）</w:t>
                  </w:r>
                </w:p>
              </w:tc>
              <w:tc>
                <w:tcPr>
                  <w:tcW w:w="499" w:type="pct"/>
                  <w:vAlign w:val="center"/>
                </w:tcPr>
                <w:p>
                  <w:pPr>
                    <w:jc w:val="center"/>
                    <w:rPr>
                      <w:rFonts w:ascii="Calibri" w:hAnsi="Calibri" w:cs="Calibri"/>
                      <w:color w:val="auto"/>
                    </w:rPr>
                  </w:pPr>
                  <w:r>
                    <w:rPr>
                      <w:rFonts w:ascii="Calibri" w:hAnsi="Calibri" w:cs="Calibri"/>
                      <w:color w:val="auto"/>
                    </w:rPr>
                    <w:t>废气量（m³/h）</w:t>
                  </w:r>
                </w:p>
              </w:tc>
              <w:tc>
                <w:tcPr>
                  <w:tcW w:w="370" w:type="pct"/>
                  <w:vAlign w:val="center"/>
                </w:tcPr>
                <w:p>
                  <w:pPr>
                    <w:jc w:val="center"/>
                    <w:rPr>
                      <w:rFonts w:ascii="Calibri" w:hAnsi="Calibri" w:cs="Calibri"/>
                      <w:color w:val="auto"/>
                    </w:rPr>
                  </w:pPr>
                  <w:r>
                    <w:rPr>
                      <w:rFonts w:ascii="Calibri" w:hAnsi="Calibri" w:cs="Calibri"/>
                      <w:color w:val="auto"/>
                    </w:rPr>
                    <w:t>排放量kg/a</w:t>
                  </w:r>
                </w:p>
              </w:tc>
              <w:tc>
                <w:tcPr>
                  <w:tcW w:w="618" w:type="pct"/>
                  <w:vAlign w:val="center"/>
                </w:tcPr>
                <w:p>
                  <w:pPr>
                    <w:jc w:val="center"/>
                    <w:rPr>
                      <w:rFonts w:ascii="Calibri" w:hAnsi="Calibri" w:cs="Calibri"/>
                      <w:color w:val="auto"/>
                    </w:rPr>
                  </w:pPr>
                  <w:r>
                    <w:rPr>
                      <w:rFonts w:ascii="Calibri" w:hAnsi="Calibri" w:cs="Calibri"/>
                      <w:color w:val="auto"/>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w:t>
                  </w:r>
                </w:p>
              </w:tc>
              <w:tc>
                <w:tcPr>
                  <w:tcW w:w="941" w:type="pct"/>
                  <w:vAlign w:val="center"/>
                </w:tcPr>
                <w:p>
                  <w:pPr>
                    <w:spacing w:line="300" w:lineRule="exact"/>
                    <w:jc w:val="center"/>
                    <w:rPr>
                      <w:color w:val="auto"/>
                      <w:spacing w:val="-10"/>
                      <w:szCs w:val="21"/>
                    </w:rPr>
                  </w:pPr>
                  <w:r>
                    <w:rPr>
                      <w:rFonts w:hint="eastAsia"/>
                      <w:color w:val="auto"/>
                      <w:szCs w:val="21"/>
                    </w:rPr>
                    <w:t>切割、打孔、焊接工序</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536" w:type="pct"/>
                  <w:vAlign w:val="center"/>
                </w:tcPr>
                <w:p>
                  <w:pPr>
                    <w:pStyle w:val="24"/>
                    <w:snapToGrid w:val="0"/>
                    <w:spacing w:line="300" w:lineRule="exact"/>
                    <w:jc w:val="center"/>
                    <w:rPr>
                      <w:color w:val="auto"/>
                      <w:spacing w:val="-10"/>
                      <w:sz w:val="21"/>
                      <w:szCs w:val="21"/>
                    </w:rPr>
                  </w:pPr>
                  <w:r>
                    <w:rPr>
                      <w:rFonts w:hint="eastAsia"/>
                      <w:color w:val="auto"/>
                      <w:spacing w:val="-10"/>
                      <w:sz w:val="18"/>
                      <w:szCs w:val="18"/>
                    </w:rPr>
                    <w:t>240</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370" w:type="pct"/>
                  <w:vAlign w:val="bottom"/>
                </w:tcPr>
                <w:p>
                  <w:pPr>
                    <w:pStyle w:val="24"/>
                    <w:snapToGrid w:val="0"/>
                    <w:spacing w:line="300" w:lineRule="exact"/>
                    <w:jc w:val="center"/>
                    <w:rPr>
                      <w:color w:val="auto"/>
                      <w:spacing w:val="-10"/>
                      <w:sz w:val="21"/>
                      <w:szCs w:val="21"/>
                    </w:rPr>
                  </w:pPr>
                  <w:r>
                    <w:rPr>
                      <w:rFonts w:hint="eastAsia"/>
                      <w:color w:val="auto"/>
                      <w:spacing w:val="-10"/>
                      <w:sz w:val="21"/>
                      <w:szCs w:val="21"/>
                    </w:rPr>
                    <w:t>0.6</w:t>
                  </w:r>
                </w:p>
              </w:tc>
              <w:tc>
                <w:tcPr>
                  <w:tcW w:w="618" w:type="pct"/>
                  <w:vMerge w:val="restart"/>
                  <w:vAlign w:val="center"/>
                </w:tcPr>
                <w:p>
                  <w:pPr>
                    <w:adjustRightInd w:val="0"/>
                    <w:jc w:val="center"/>
                    <w:textAlignment w:val="baseline"/>
                    <w:rPr>
                      <w:rFonts w:ascii="Calibri" w:hAnsi="Calibri" w:cs="Calibri"/>
                      <w:color w:val="auto"/>
                    </w:rPr>
                  </w:pPr>
                  <w:r>
                    <w:rPr>
                      <w:rFonts w:hint="eastAsia" w:ascii="Calibri" w:hAnsi="Calibri" w:cs="Calibri"/>
                      <w:color w:val="auto"/>
                    </w:rPr>
                    <w:t>停产，检修设备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eastAsia" w:eastAsia="宋体"/>
                      <w:color w:val="auto"/>
                      <w:spacing w:val="-10"/>
                      <w:sz w:val="21"/>
                      <w:szCs w:val="21"/>
                      <w:lang w:val="en-US" w:eastAsia="zh-CN"/>
                    </w:rPr>
                  </w:pPr>
                  <w:r>
                    <w:rPr>
                      <w:rFonts w:hint="eastAsia"/>
                      <w:color w:val="auto"/>
                      <w:spacing w:val="-10"/>
                      <w:sz w:val="21"/>
                      <w:szCs w:val="21"/>
                      <w:lang w:val="en-US" w:eastAsia="zh-CN"/>
                    </w:rPr>
                    <w:t>2</w:t>
                  </w:r>
                </w:p>
              </w:tc>
              <w:tc>
                <w:tcPr>
                  <w:tcW w:w="941" w:type="pct"/>
                  <w:vAlign w:val="center"/>
                </w:tcPr>
                <w:p>
                  <w:pPr>
                    <w:spacing w:line="300" w:lineRule="exact"/>
                    <w:jc w:val="center"/>
                    <w:rPr>
                      <w:color w:val="auto"/>
                      <w:spacing w:val="-10"/>
                      <w:szCs w:val="21"/>
                    </w:rPr>
                  </w:pPr>
                  <w:r>
                    <w:rPr>
                      <w:rFonts w:hint="eastAsia"/>
                      <w:color w:val="auto"/>
                      <w:szCs w:val="21"/>
                    </w:rPr>
                    <w:t>喷涂工序</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1012.5</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5.06 </w:t>
                  </w:r>
                </w:p>
              </w:tc>
              <w:tc>
                <w:tcPr>
                  <w:tcW w:w="618" w:type="pct"/>
                  <w:vMerge w:val="continue"/>
                  <w:vAlign w:val="center"/>
                </w:tcPr>
                <w:p>
                  <w:pPr>
                    <w:adjustRightInd w:val="0"/>
                    <w:jc w:val="center"/>
                    <w:textAlignment w:val="baseline"/>
                    <w:rPr>
                      <w:rFonts w:ascii="Calibri" w:hAnsi="Calibri" w:cs="Calibri"/>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default" w:eastAsia="宋体"/>
                      <w:color w:val="auto"/>
                      <w:spacing w:val="-10"/>
                      <w:sz w:val="21"/>
                      <w:szCs w:val="21"/>
                      <w:lang w:val="en-US" w:eastAsia="zh-CN"/>
                    </w:rPr>
                  </w:pPr>
                  <w:r>
                    <w:rPr>
                      <w:rFonts w:hint="eastAsia"/>
                      <w:color w:val="auto"/>
                      <w:spacing w:val="-10"/>
                      <w:sz w:val="21"/>
                      <w:szCs w:val="21"/>
                      <w:lang w:val="en-US" w:eastAsia="zh-CN"/>
                    </w:rPr>
                    <w:t>3</w:t>
                  </w:r>
                </w:p>
              </w:tc>
              <w:tc>
                <w:tcPr>
                  <w:tcW w:w="941" w:type="pct"/>
                  <w:vAlign w:val="center"/>
                </w:tcPr>
                <w:p>
                  <w:pPr>
                    <w:spacing w:line="300" w:lineRule="exact"/>
                    <w:jc w:val="center"/>
                    <w:rPr>
                      <w:color w:val="auto"/>
                      <w:spacing w:val="-10"/>
                      <w:szCs w:val="21"/>
                    </w:rPr>
                  </w:pPr>
                  <w:r>
                    <w:rPr>
                      <w:rFonts w:hint="eastAsia"/>
                      <w:color w:val="auto"/>
                      <w:szCs w:val="21"/>
                    </w:rPr>
                    <w:t>固化工序</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82</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0.41 </w:t>
                  </w:r>
                </w:p>
              </w:tc>
              <w:tc>
                <w:tcPr>
                  <w:tcW w:w="618" w:type="pct"/>
                  <w:vMerge w:val="continue"/>
                  <w:vAlign w:val="center"/>
                </w:tcPr>
                <w:p>
                  <w:pPr>
                    <w:adjustRightInd w:val="0"/>
                    <w:jc w:val="center"/>
                    <w:textAlignment w:val="baseline"/>
                    <w:rPr>
                      <w:rFonts w:ascii="Calibri" w:hAnsi="Calibri" w:cs="Calibri"/>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eastAsia" w:eastAsia="宋体"/>
                      <w:color w:val="auto"/>
                      <w:spacing w:val="-10"/>
                      <w:sz w:val="21"/>
                      <w:szCs w:val="21"/>
                      <w:lang w:val="en-US" w:eastAsia="zh-CN"/>
                    </w:rPr>
                  </w:pPr>
                  <w:r>
                    <w:rPr>
                      <w:rFonts w:hint="eastAsia"/>
                      <w:color w:val="auto"/>
                      <w:spacing w:val="-10"/>
                      <w:sz w:val="21"/>
                      <w:szCs w:val="21"/>
                      <w:lang w:val="en-US" w:eastAsia="zh-CN"/>
                    </w:rPr>
                    <w:t>4</w:t>
                  </w:r>
                </w:p>
              </w:tc>
              <w:tc>
                <w:tcPr>
                  <w:tcW w:w="941" w:type="pct"/>
                  <w:vAlign w:val="center"/>
                </w:tcPr>
                <w:p>
                  <w:pPr>
                    <w:spacing w:line="300" w:lineRule="exact"/>
                    <w:jc w:val="center"/>
                    <w:rPr>
                      <w:color w:val="auto"/>
                      <w:szCs w:val="21"/>
                    </w:rPr>
                  </w:pPr>
                  <w:r>
                    <w:rPr>
                      <w:rFonts w:hint="eastAsia"/>
                      <w:color w:val="auto"/>
                      <w:szCs w:val="21"/>
                    </w:rPr>
                    <w:t>手动喷粉室</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225</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0.56 </w:t>
                  </w:r>
                </w:p>
              </w:tc>
              <w:tc>
                <w:tcPr>
                  <w:tcW w:w="618" w:type="pct"/>
                  <w:vMerge w:val="continue"/>
                  <w:vAlign w:val="center"/>
                </w:tcPr>
                <w:p>
                  <w:pPr>
                    <w:adjustRightInd w:val="0"/>
                    <w:jc w:val="center"/>
                    <w:textAlignment w:val="baseline"/>
                    <w:rPr>
                      <w:rFonts w:ascii="Calibri" w:hAnsi="Calibri" w:cs="Calibri"/>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Align w:val="center"/>
                </w:tcPr>
                <w:p>
                  <w:pPr>
                    <w:pStyle w:val="24"/>
                    <w:snapToGrid w:val="0"/>
                    <w:spacing w:line="300" w:lineRule="exact"/>
                    <w:jc w:val="center"/>
                    <w:rPr>
                      <w:rFonts w:hint="eastAsia" w:eastAsia="宋体"/>
                      <w:color w:val="auto"/>
                      <w:spacing w:val="-10"/>
                      <w:sz w:val="21"/>
                      <w:szCs w:val="21"/>
                      <w:lang w:val="en-US" w:eastAsia="zh-CN"/>
                    </w:rPr>
                  </w:pPr>
                  <w:r>
                    <w:rPr>
                      <w:rFonts w:hint="eastAsia"/>
                      <w:color w:val="auto"/>
                      <w:spacing w:val="-10"/>
                      <w:sz w:val="21"/>
                      <w:szCs w:val="21"/>
                      <w:lang w:val="en-US" w:eastAsia="zh-CN"/>
                    </w:rPr>
                    <w:t>5</w:t>
                  </w:r>
                </w:p>
              </w:tc>
              <w:tc>
                <w:tcPr>
                  <w:tcW w:w="941" w:type="pct"/>
                  <w:vAlign w:val="center"/>
                </w:tcPr>
                <w:p>
                  <w:pPr>
                    <w:spacing w:line="300" w:lineRule="exact"/>
                    <w:jc w:val="center"/>
                    <w:rPr>
                      <w:color w:val="auto"/>
                      <w:szCs w:val="21"/>
                    </w:rPr>
                  </w:pPr>
                  <w:r>
                    <w:rPr>
                      <w:rFonts w:hint="eastAsia"/>
                      <w:color w:val="auto"/>
                      <w:szCs w:val="21"/>
                    </w:rPr>
                    <w:t>手喷件固化烘箱</w:t>
                  </w:r>
                </w:p>
              </w:tc>
              <w:tc>
                <w:tcPr>
                  <w:tcW w:w="90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38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c>
                <w:tcPr>
                  <w:tcW w:w="1412" w:type="dxa"/>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18.23 </w:t>
                  </w:r>
                </w:p>
              </w:tc>
              <w:tc>
                <w:tcPr>
                  <w:tcW w:w="44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0.5</w:t>
                  </w:r>
                </w:p>
              </w:tc>
              <w:tc>
                <w:tcPr>
                  <w:tcW w:w="499" w:type="pc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5000</w:t>
                  </w:r>
                </w:p>
              </w:tc>
              <w:tc>
                <w:tcPr>
                  <w:tcW w:w="975" w:type="dxa"/>
                  <w:vAlign w:val="bottom"/>
                </w:tcPr>
                <w:p>
                  <w:pPr>
                    <w:pStyle w:val="24"/>
                    <w:snapToGrid w:val="0"/>
                    <w:spacing w:line="300" w:lineRule="exact"/>
                    <w:jc w:val="center"/>
                    <w:rPr>
                      <w:rFonts w:hint="eastAsia"/>
                      <w:color w:val="auto"/>
                      <w:spacing w:val="-10"/>
                      <w:sz w:val="18"/>
                      <w:szCs w:val="18"/>
                      <w:lang w:val="en-US" w:eastAsia="zh-CN"/>
                    </w:rPr>
                  </w:pPr>
                  <w:r>
                    <w:rPr>
                      <w:rFonts w:hint="eastAsia"/>
                      <w:color w:val="auto"/>
                      <w:spacing w:val="-10"/>
                      <w:sz w:val="18"/>
                      <w:szCs w:val="18"/>
                      <w:lang w:val="en-US" w:eastAsia="zh-CN"/>
                    </w:rPr>
                    <w:t xml:space="preserve">0.05 </w:t>
                  </w:r>
                </w:p>
              </w:tc>
              <w:tc>
                <w:tcPr>
                  <w:tcW w:w="618" w:type="pct"/>
                  <w:vMerge w:val="continue"/>
                  <w:vAlign w:val="center"/>
                </w:tcPr>
                <w:p>
                  <w:pPr>
                    <w:adjustRightInd w:val="0"/>
                    <w:jc w:val="center"/>
                    <w:textAlignment w:val="baseline"/>
                    <w:rPr>
                      <w:rFonts w:ascii="Calibri" w:hAnsi="Calibri" w:cs="Calibri"/>
                      <w:color w:val="auto"/>
                    </w:rPr>
                  </w:pPr>
                </w:p>
              </w:tc>
            </w:tr>
          </w:tbl>
          <w:p>
            <w:pPr>
              <w:spacing w:line="360" w:lineRule="auto"/>
              <w:ind w:firstLine="472" w:firstLineChars="200"/>
              <w:rPr>
                <w:rFonts w:hAnsi="宋体"/>
                <w:color w:val="auto"/>
                <w:sz w:val="24"/>
                <w:szCs w:val="24"/>
              </w:rPr>
            </w:pPr>
            <w:r>
              <w:rPr>
                <w:rFonts w:hint="eastAsia" w:hAnsi="宋体"/>
                <w:color w:val="auto"/>
                <w:sz w:val="24"/>
                <w:szCs w:val="24"/>
              </w:rPr>
              <w:t>（1）切割、打孔、焊接工序废气</w:t>
            </w:r>
          </w:p>
          <w:p>
            <w:pPr>
              <w:spacing w:line="360" w:lineRule="auto"/>
              <w:ind w:firstLine="480"/>
              <w:rPr>
                <w:color w:val="auto"/>
                <w:sz w:val="24"/>
                <w:szCs w:val="24"/>
              </w:rPr>
            </w:pPr>
            <w:r>
              <w:rPr>
                <w:rFonts w:hint="eastAsia"/>
                <w:color w:val="auto"/>
                <w:sz w:val="24"/>
                <w:szCs w:val="24"/>
              </w:rPr>
              <w:t>本项目在对工件切割、打孔和焊接过程中会产生含尘废气，在各种焊机、砖塔冲和激光切割机等设备产尘点位上方均设置带皮帘的集气罩，废气经收集后引至1套布袋除尘器处理后通过1根15m高排气筒排放。本项目焊接废气源强核算参照《排放源统计调查产排污核算方法和系数手册》33-37,431-434机械行业系数手册09焊接中的手工电弧焊的产污系数，颗粒物的产物系数为20.2kg/t-原料，根据建单位提供的资料，本项目使用的焊材为3t/a，则焊接工序颗粒物的产生量为0.0606t/a；打孔程中源强类别同类项目，颗粒物的产生量约为原料用量的1‰，根据建单位提供的资料，本项目需要打孔的各种冷轧板合计约为1500t/a，则打孔工序颗粒物的产生量为1.5t/a；本项目激光切割焊接过程中源强核算参照《排放源统计调查产排污核算方法和系数手册》33-37,431-434机械行业系数手册04下料中的等离子切割的产污系数，颗粒物的产物系数为1.10kg/t-原料，根据建单位提供的资料，本项目使用的各种冷轧板合计约为1500t/a，则激光切割工序颗粒物的产生量为1.65t/a；则焊接、打孔和激光切割废气中颗粒物的合计产生量为3.2106t/a，带皮帘的集气罩的废气收集率按照90%计算，除尘器设计风量为5000m³/h，年工作时间按照2400h计算，则有组织颗粒物的产生量为2.89t/a，产生速率为1.20kg/h，产生浓度为240mg/m³，布袋除尘器的去除效率按照99%计算，则颗粒物的排放量为0.0289t/a，排放速率为0.012kg/h，排放浓度为2.40mg/m³。未被收集的颗粒物无组织排放，则无组织颗粒物的排放量为0.3206t/a，排放速率为0.134kg/h。</w:t>
            </w:r>
          </w:p>
          <w:p>
            <w:pPr>
              <w:numPr>
                <w:ilvl w:val="0"/>
                <w:numId w:val="5"/>
              </w:numPr>
              <w:spacing w:line="360" w:lineRule="auto"/>
              <w:ind w:firstLine="472"/>
              <w:rPr>
                <w:rFonts w:hAnsi="宋体"/>
                <w:color w:val="auto"/>
                <w:sz w:val="24"/>
                <w:szCs w:val="24"/>
              </w:rPr>
            </w:pPr>
            <w:r>
              <w:rPr>
                <w:rFonts w:hint="eastAsia" w:hAnsi="宋体"/>
                <w:color w:val="auto"/>
                <w:sz w:val="24"/>
                <w:szCs w:val="24"/>
              </w:rPr>
              <w:t>天然气燃烧机废气</w:t>
            </w:r>
          </w:p>
          <w:p>
            <w:pPr>
              <w:spacing w:line="520" w:lineRule="exact"/>
              <w:ind w:firstLine="472" w:firstLineChars="200"/>
              <w:rPr>
                <w:color w:val="auto"/>
                <w:sz w:val="24"/>
                <w:szCs w:val="24"/>
              </w:rPr>
            </w:pPr>
            <w:r>
              <w:rPr>
                <w:color w:val="auto"/>
                <w:sz w:val="24"/>
                <w:szCs w:val="24"/>
              </w:rPr>
              <w:t>项目清洗后</w:t>
            </w:r>
            <w:r>
              <w:rPr>
                <w:rFonts w:hint="eastAsia"/>
                <w:color w:val="auto"/>
                <w:sz w:val="24"/>
                <w:szCs w:val="24"/>
              </w:rPr>
              <w:t>烘干和喷塑后固化</w:t>
            </w:r>
            <w:r>
              <w:rPr>
                <w:color w:val="auto"/>
                <w:sz w:val="24"/>
                <w:szCs w:val="24"/>
              </w:rPr>
              <w:t>采用天然气燃烧供热烘干，根据企业提供资料，</w:t>
            </w:r>
            <w:r>
              <w:rPr>
                <w:rFonts w:hint="eastAsia"/>
                <w:bCs/>
                <w:color w:val="auto"/>
                <w:sz w:val="24"/>
                <w:szCs w:val="24"/>
              </w:rPr>
              <w:t>喷涂线设置2台天然气燃烧机（1台40万大卡，1台70万大卡，合计110万大卡），每年消耗天然气量为</w:t>
            </w:r>
            <w:r>
              <w:rPr>
                <w:rFonts w:hint="eastAsia"/>
                <w:bCs/>
                <w:color w:val="auto"/>
                <w:sz w:val="24"/>
                <w:szCs w:val="24"/>
                <w:lang w:val="en-US" w:eastAsia="zh-CN"/>
              </w:rPr>
              <w:t>10.21</w:t>
            </w:r>
            <w:r>
              <w:rPr>
                <w:rFonts w:hint="eastAsia"/>
                <w:bCs/>
                <w:color w:val="auto"/>
                <w:sz w:val="24"/>
                <w:szCs w:val="24"/>
              </w:rPr>
              <w:t>万立方米</w:t>
            </w:r>
            <w:r>
              <w:rPr>
                <w:color w:val="auto"/>
                <w:sz w:val="24"/>
                <w:szCs w:val="24"/>
              </w:rPr>
              <w:t>，根据《排放源统计调查产排污核算方法和系数手册--机械行业系数手册》，天然气工业炉窑产污系数如下：</w:t>
            </w:r>
          </w:p>
          <w:p>
            <w:pPr>
              <w:pStyle w:val="2"/>
              <w:spacing w:line="520" w:lineRule="exact"/>
              <w:ind w:left="0"/>
              <w:jc w:val="center"/>
              <w:rPr>
                <w:b/>
                <w:color w:val="auto"/>
                <w:sz w:val="24"/>
                <w:szCs w:val="24"/>
              </w:rPr>
            </w:pPr>
            <w:r>
              <w:rPr>
                <w:b/>
                <w:color w:val="auto"/>
                <w:sz w:val="24"/>
                <w:szCs w:val="24"/>
              </w:rPr>
              <w:t>表</w:t>
            </w:r>
            <w:r>
              <w:rPr>
                <w:rFonts w:hint="eastAsia"/>
                <w:b/>
                <w:color w:val="auto"/>
                <w:sz w:val="24"/>
                <w:szCs w:val="24"/>
              </w:rPr>
              <w:t>4-4</w:t>
            </w:r>
            <w:r>
              <w:rPr>
                <w:b/>
                <w:color w:val="auto"/>
                <w:sz w:val="24"/>
                <w:szCs w:val="24"/>
              </w:rPr>
              <w:t xml:space="preserve">  天然气工业炉窑产排污系数一览表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2"/>
              <w:gridCol w:w="3292"/>
              <w:gridCol w:w="3292"/>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pPr>
                    <w:rPr>
                      <w:color w:val="auto"/>
                    </w:rPr>
                  </w:pPr>
                  <w:r>
                    <w:rPr>
                      <w:color w:val="auto"/>
                    </w:rPr>
                    <w:t>工艺名称</w:t>
                  </w:r>
                </w:p>
              </w:tc>
              <w:tc>
                <w:tcPr>
                  <w:tcW w:w="1249" w:type="pct"/>
                  <w:vAlign w:val="center"/>
                </w:tcPr>
                <w:p>
                  <w:pPr>
                    <w:rPr>
                      <w:color w:val="auto"/>
                    </w:rPr>
                  </w:pPr>
                  <w:r>
                    <w:rPr>
                      <w:color w:val="auto"/>
                    </w:rPr>
                    <w:t>污染物指标</w:t>
                  </w:r>
                </w:p>
              </w:tc>
              <w:tc>
                <w:tcPr>
                  <w:tcW w:w="1249" w:type="pct"/>
                  <w:vAlign w:val="center"/>
                </w:tcPr>
                <w:p>
                  <w:pPr>
                    <w:rPr>
                      <w:color w:val="auto"/>
                    </w:rPr>
                  </w:pPr>
                  <w:r>
                    <w:rPr>
                      <w:color w:val="auto"/>
                    </w:rPr>
                    <w:t>单位</w:t>
                  </w:r>
                </w:p>
              </w:tc>
              <w:tc>
                <w:tcPr>
                  <w:tcW w:w="1250" w:type="pct"/>
                  <w:vAlign w:val="center"/>
                </w:tcPr>
                <w:p>
                  <w:pPr>
                    <w:rPr>
                      <w:color w:val="auto"/>
                    </w:rPr>
                  </w:pPr>
                  <w:r>
                    <w:rPr>
                      <w:color w:val="auto"/>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vAlign w:val="center"/>
                </w:tcPr>
                <w:p>
                  <w:pPr>
                    <w:rPr>
                      <w:color w:val="auto"/>
                    </w:rPr>
                  </w:pPr>
                  <w:r>
                    <w:rPr>
                      <w:color w:val="auto"/>
                    </w:rPr>
                    <w:t>天然气工业炉窑</w:t>
                  </w:r>
                </w:p>
              </w:tc>
              <w:tc>
                <w:tcPr>
                  <w:tcW w:w="1249" w:type="pct"/>
                  <w:vAlign w:val="center"/>
                </w:tcPr>
                <w:p>
                  <w:pPr>
                    <w:rPr>
                      <w:color w:val="auto"/>
                    </w:rPr>
                  </w:pPr>
                  <w:r>
                    <w:rPr>
                      <w:color w:val="auto"/>
                    </w:rPr>
                    <w:t>工业废气量</w:t>
                  </w:r>
                </w:p>
              </w:tc>
              <w:tc>
                <w:tcPr>
                  <w:tcW w:w="1249" w:type="pct"/>
                  <w:vAlign w:val="center"/>
                </w:tcPr>
                <w:p>
                  <w:pPr>
                    <w:rPr>
                      <w:color w:val="auto"/>
                    </w:rPr>
                  </w:pPr>
                  <w:r>
                    <w:rPr>
                      <w:color w:val="auto"/>
                    </w:rPr>
                    <w:t>立方米/立方米-原料</w:t>
                  </w:r>
                </w:p>
              </w:tc>
              <w:tc>
                <w:tcPr>
                  <w:tcW w:w="1250" w:type="pct"/>
                  <w:vAlign w:val="center"/>
                </w:tcPr>
                <w:p>
                  <w:pPr>
                    <w:rPr>
                      <w:color w:val="auto"/>
                    </w:rPr>
                  </w:pPr>
                  <w:r>
                    <w:rPr>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颗粒物</w:t>
                  </w:r>
                </w:p>
              </w:tc>
              <w:tc>
                <w:tcPr>
                  <w:tcW w:w="1249" w:type="pct"/>
                  <w:vMerge w:val="restart"/>
                  <w:vAlign w:val="center"/>
                </w:tcPr>
                <w:p>
                  <w:pPr>
                    <w:rPr>
                      <w:color w:val="auto"/>
                    </w:rPr>
                  </w:pPr>
                  <w:r>
                    <w:rPr>
                      <w:color w:val="auto"/>
                    </w:rPr>
                    <w:t>千克/立方米-原料</w:t>
                  </w:r>
                </w:p>
              </w:tc>
              <w:tc>
                <w:tcPr>
                  <w:tcW w:w="1250" w:type="pct"/>
                  <w:vAlign w:val="center"/>
                </w:tcPr>
                <w:p>
                  <w:pPr>
                    <w:rPr>
                      <w:color w:val="auto"/>
                    </w:rPr>
                  </w:pPr>
                  <w:r>
                    <w:rPr>
                      <w:color w:val="auto"/>
                    </w:rPr>
                    <w:t>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二氧化硫</w:t>
                  </w:r>
                </w:p>
              </w:tc>
              <w:tc>
                <w:tcPr>
                  <w:tcW w:w="1249" w:type="pct"/>
                  <w:vMerge w:val="continue"/>
                  <w:vAlign w:val="center"/>
                </w:tcPr>
                <w:p>
                  <w:pPr>
                    <w:rPr>
                      <w:color w:val="auto"/>
                    </w:rPr>
                  </w:pPr>
                </w:p>
              </w:tc>
              <w:tc>
                <w:tcPr>
                  <w:tcW w:w="1250" w:type="pct"/>
                  <w:vAlign w:val="center"/>
                </w:tcPr>
                <w:p>
                  <w:pPr>
                    <w:rPr>
                      <w:color w:val="auto"/>
                    </w:rPr>
                  </w:pPr>
                  <w:r>
                    <w:rPr>
                      <w:color w:val="auto"/>
                    </w:rPr>
                    <w:t>0.000002S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vAlign w:val="center"/>
                </w:tcPr>
                <w:p>
                  <w:pPr>
                    <w:rPr>
                      <w:color w:val="auto"/>
                    </w:rPr>
                  </w:pPr>
                </w:p>
              </w:tc>
              <w:tc>
                <w:tcPr>
                  <w:tcW w:w="1249" w:type="pct"/>
                  <w:vAlign w:val="center"/>
                </w:tcPr>
                <w:p>
                  <w:pPr>
                    <w:rPr>
                      <w:color w:val="auto"/>
                    </w:rPr>
                  </w:pPr>
                  <w:r>
                    <w:rPr>
                      <w:color w:val="auto"/>
                    </w:rPr>
                    <w:t>氮氧化物</w:t>
                  </w:r>
                </w:p>
              </w:tc>
              <w:tc>
                <w:tcPr>
                  <w:tcW w:w="1249" w:type="pct"/>
                  <w:vMerge w:val="continue"/>
                  <w:vAlign w:val="center"/>
                </w:tcPr>
                <w:p>
                  <w:pPr>
                    <w:rPr>
                      <w:color w:val="auto"/>
                    </w:rPr>
                  </w:pPr>
                </w:p>
              </w:tc>
              <w:tc>
                <w:tcPr>
                  <w:tcW w:w="1250" w:type="pct"/>
                  <w:vAlign w:val="center"/>
                </w:tcPr>
                <w:p>
                  <w:pPr>
                    <w:rPr>
                      <w:color w:val="auto"/>
                    </w:rPr>
                  </w:pPr>
                  <w:r>
                    <w:rPr>
                      <w:color w:val="auto"/>
                    </w:rPr>
                    <w:t>0.00187</w:t>
                  </w:r>
                </w:p>
              </w:tc>
            </w:tr>
          </w:tbl>
          <w:p>
            <w:pPr>
              <w:widowControl/>
              <w:ind w:firstLine="412" w:firstLineChars="200"/>
              <w:rPr>
                <w:b/>
                <w:bCs/>
                <w:color w:val="auto"/>
                <w:szCs w:val="21"/>
              </w:rPr>
            </w:pPr>
            <w:r>
              <w:rPr>
                <w:b/>
                <w:bCs/>
                <w:color w:val="auto"/>
                <w:kern w:val="0"/>
                <w:szCs w:val="21"/>
                <w:lang w:bidi="ar"/>
              </w:rPr>
              <w:t>S：收到基硫分（取值范围0-100，燃料为气体时，取值范围≥0），本项目S取值按40计。</w:t>
            </w:r>
          </w:p>
          <w:p>
            <w:pPr>
              <w:spacing w:line="520" w:lineRule="exact"/>
              <w:ind w:firstLine="472" w:firstLineChars="200"/>
              <w:rPr>
                <w:color w:val="auto"/>
                <w:sz w:val="24"/>
                <w:szCs w:val="24"/>
              </w:rPr>
            </w:pPr>
            <w:r>
              <w:rPr>
                <w:bCs/>
                <w:color w:val="auto"/>
                <w:sz w:val="24"/>
                <w:szCs w:val="24"/>
              </w:rPr>
              <w:t>根据排污系数计算及天然气成分表可知，</w:t>
            </w:r>
            <w:r>
              <w:rPr>
                <w:rFonts w:hint="eastAsia"/>
                <w:bCs/>
                <w:color w:val="auto"/>
                <w:sz w:val="24"/>
                <w:szCs w:val="24"/>
              </w:rPr>
              <w:t>2台天然气</w:t>
            </w:r>
            <w:r>
              <w:rPr>
                <w:bCs/>
                <w:color w:val="auto"/>
                <w:sz w:val="24"/>
                <w:szCs w:val="24"/>
              </w:rPr>
              <w:t>燃烧器废气产生量为</w:t>
            </w:r>
            <w:r>
              <w:rPr>
                <w:rFonts w:hint="eastAsia"/>
                <w:bCs/>
                <w:color w:val="auto"/>
                <w:sz w:val="24"/>
                <w:szCs w:val="24"/>
                <w:lang w:val="en-US" w:eastAsia="zh-CN"/>
              </w:rPr>
              <w:t>138.856</w:t>
            </w:r>
            <w:r>
              <w:rPr>
                <w:bCs/>
                <w:color w:val="auto"/>
                <w:sz w:val="24"/>
                <w:szCs w:val="24"/>
              </w:rPr>
              <w:t>万Nm</w:t>
            </w:r>
            <w:r>
              <w:rPr>
                <w:bCs/>
                <w:color w:val="auto"/>
                <w:sz w:val="24"/>
                <w:szCs w:val="24"/>
                <w:vertAlign w:val="superscript"/>
              </w:rPr>
              <w:t>3</w:t>
            </w:r>
            <w:r>
              <w:rPr>
                <w:bCs/>
                <w:color w:val="auto"/>
                <w:sz w:val="24"/>
                <w:szCs w:val="24"/>
              </w:rPr>
              <w:t>/a</w:t>
            </w:r>
            <w:r>
              <w:rPr>
                <w:rFonts w:hint="eastAsia"/>
                <w:bCs/>
                <w:color w:val="auto"/>
                <w:sz w:val="24"/>
                <w:szCs w:val="24"/>
              </w:rPr>
              <w:t>（</w:t>
            </w:r>
            <w:r>
              <w:rPr>
                <w:rFonts w:hint="eastAsia"/>
                <w:bCs/>
                <w:color w:val="auto"/>
                <w:sz w:val="24"/>
                <w:szCs w:val="24"/>
                <w:lang w:val="en-US" w:eastAsia="zh-CN"/>
              </w:rPr>
              <w:t>1736</w:t>
            </w:r>
            <w:r>
              <w:rPr>
                <w:bCs/>
                <w:color w:val="auto"/>
                <w:sz w:val="24"/>
                <w:szCs w:val="24"/>
              </w:rPr>
              <w:t>Nm</w:t>
            </w:r>
            <w:r>
              <w:rPr>
                <w:bCs/>
                <w:color w:val="auto"/>
                <w:sz w:val="24"/>
                <w:szCs w:val="24"/>
                <w:vertAlign w:val="superscript"/>
              </w:rPr>
              <w:t>3</w:t>
            </w:r>
            <w:r>
              <w:rPr>
                <w:bCs/>
                <w:color w:val="auto"/>
                <w:sz w:val="24"/>
                <w:szCs w:val="24"/>
              </w:rPr>
              <w:t>/</w:t>
            </w:r>
            <w:r>
              <w:rPr>
                <w:rFonts w:hint="eastAsia"/>
                <w:bCs/>
                <w:color w:val="auto"/>
                <w:sz w:val="24"/>
                <w:szCs w:val="24"/>
              </w:rPr>
              <w:t>h）</w:t>
            </w:r>
            <w:r>
              <w:rPr>
                <w:bCs/>
                <w:color w:val="auto"/>
                <w:sz w:val="24"/>
                <w:szCs w:val="24"/>
              </w:rPr>
              <w:t>，NOx产生量为</w:t>
            </w:r>
            <w:r>
              <w:rPr>
                <w:rFonts w:hint="eastAsia"/>
                <w:bCs/>
                <w:color w:val="auto"/>
                <w:sz w:val="24"/>
                <w:szCs w:val="24"/>
                <w:lang w:val="en-US" w:eastAsia="zh-CN"/>
              </w:rPr>
              <w:t>0.191</w:t>
            </w:r>
            <w:r>
              <w:rPr>
                <w:bCs/>
                <w:color w:val="auto"/>
                <w:sz w:val="24"/>
                <w:szCs w:val="24"/>
              </w:rPr>
              <w:t>t/a（</w:t>
            </w:r>
            <w:r>
              <w:rPr>
                <w:rFonts w:hint="eastAsia"/>
                <w:bCs/>
                <w:color w:val="auto"/>
                <w:sz w:val="24"/>
                <w:szCs w:val="24"/>
              </w:rPr>
              <w:t>0.239</w:t>
            </w:r>
            <w:r>
              <w:rPr>
                <w:bCs/>
                <w:color w:val="auto"/>
                <w:sz w:val="24"/>
                <w:szCs w:val="24"/>
              </w:rPr>
              <w:t>kg/h），产生浓度为</w:t>
            </w:r>
            <w:r>
              <w:rPr>
                <w:rFonts w:hint="eastAsia"/>
                <w:bCs/>
                <w:color w:val="auto"/>
                <w:sz w:val="24"/>
                <w:szCs w:val="24"/>
              </w:rPr>
              <w:t>137.</w:t>
            </w:r>
            <w:r>
              <w:rPr>
                <w:rFonts w:hint="eastAsia"/>
                <w:bCs/>
                <w:color w:val="auto"/>
                <w:sz w:val="24"/>
                <w:szCs w:val="24"/>
                <w:lang w:val="en-US" w:eastAsia="zh-CN"/>
              </w:rPr>
              <w:t>7</w:t>
            </w:r>
            <w:r>
              <w:rPr>
                <w:bCs/>
                <w:color w:val="auto"/>
                <w:sz w:val="24"/>
                <w:szCs w:val="24"/>
              </w:rPr>
              <w:t>mg/m</w:t>
            </w:r>
            <w:r>
              <w:rPr>
                <w:bCs/>
                <w:color w:val="auto"/>
                <w:sz w:val="24"/>
                <w:szCs w:val="24"/>
                <w:vertAlign w:val="superscript"/>
              </w:rPr>
              <w:t>3</w:t>
            </w:r>
            <w:r>
              <w:rPr>
                <w:bCs/>
                <w:color w:val="auto"/>
                <w:sz w:val="24"/>
                <w:szCs w:val="24"/>
              </w:rPr>
              <w:t>；SO</w:t>
            </w:r>
            <w:r>
              <w:rPr>
                <w:bCs/>
                <w:color w:val="auto"/>
                <w:sz w:val="24"/>
                <w:szCs w:val="24"/>
                <w:vertAlign w:val="subscript"/>
              </w:rPr>
              <w:t>2</w:t>
            </w:r>
            <w:r>
              <w:rPr>
                <w:bCs/>
                <w:color w:val="auto"/>
                <w:sz w:val="24"/>
                <w:szCs w:val="24"/>
              </w:rPr>
              <w:t>产生量为</w:t>
            </w:r>
            <w:r>
              <w:rPr>
                <w:rFonts w:hint="eastAsia"/>
                <w:bCs/>
                <w:color w:val="auto"/>
                <w:sz w:val="24"/>
                <w:szCs w:val="24"/>
                <w:lang w:val="en-US" w:eastAsia="zh-CN"/>
              </w:rPr>
              <w:t>0.008</w:t>
            </w:r>
            <w:r>
              <w:rPr>
                <w:bCs/>
                <w:color w:val="auto"/>
                <w:sz w:val="24"/>
                <w:szCs w:val="24"/>
              </w:rPr>
              <w:t>t/a（0.0</w:t>
            </w:r>
            <w:r>
              <w:rPr>
                <w:rFonts w:hint="eastAsia"/>
                <w:bCs/>
                <w:color w:val="auto"/>
                <w:sz w:val="24"/>
                <w:szCs w:val="24"/>
              </w:rPr>
              <w:t>1</w:t>
            </w:r>
            <w:r>
              <w:rPr>
                <w:bCs/>
                <w:color w:val="auto"/>
                <w:sz w:val="24"/>
                <w:szCs w:val="24"/>
              </w:rPr>
              <w:t>kg/h），产生浓度为</w:t>
            </w:r>
            <w:r>
              <w:rPr>
                <w:rFonts w:hint="eastAsia"/>
                <w:bCs/>
                <w:color w:val="auto"/>
                <w:sz w:val="24"/>
                <w:szCs w:val="24"/>
              </w:rPr>
              <w:t>5.</w:t>
            </w:r>
            <w:r>
              <w:rPr>
                <w:rFonts w:hint="eastAsia"/>
                <w:bCs/>
                <w:color w:val="auto"/>
                <w:sz w:val="24"/>
                <w:szCs w:val="24"/>
                <w:lang w:val="en-US" w:eastAsia="zh-CN"/>
              </w:rPr>
              <w:t>76</w:t>
            </w:r>
            <w:r>
              <w:rPr>
                <w:bCs/>
                <w:color w:val="auto"/>
                <w:sz w:val="24"/>
                <w:szCs w:val="24"/>
              </w:rPr>
              <w:t>mg/m</w:t>
            </w:r>
            <w:r>
              <w:rPr>
                <w:bCs/>
                <w:color w:val="auto"/>
                <w:sz w:val="24"/>
                <w:szCs w:val="24"/>
                <w:vertAlign w:val="superscript"/>
              </w:rPr>
              <w:t>3</w:t>
            </w:r>
            <w:r>
              <w:rPr>
                <w:bCs/>
                <w:color w:val="auto"/>
                <w:sz w:val="24"/>
                <w:szCs w:val="24"/>
              </w:rPr>
              <w:t>；颗粒物产生量为</w:t>
            </w:r>
            <w:r>
              <w:rPr>
                <w:rFonts w:hint="eastAsia"/>
                <w:bCs/>
                <w:color w:val="auto"/>
                <w:sz w:val="24"/>
                <w:szCs w:val="24"/>
              </w:rPr>
              <w:t>0.0</w:t>
            </w:r>
            <w:r>
              <w:rPr>
                <w:rFonts w:hint="eastAsia"/>
                <w:bCs/>
                <w:color w:val="auto"/>
                <w:sz w:val="24"/>
                <w:szCs w:val="24"/>
                <w:lang w:val="en-US" w:eastAsia="zh-CN"/>
              </w:rPr>
              <w:t>29</w:t>
            </w:r>
            <w:r>
              <w:rPr>
                <w:bCs/>
                <w:color w:val="auto"/>
                <w:sz w:val="24"/>
                <w:szCs w:val="24"/>
              </w:rPr>
              <w:t>t/a（0.0</w:t>
            </w:r>
            <w:r>
              <w:rPr>
                <w:rFonts w:hint="eastAsia"/>
                <w:bCs/>
                <w:color w:val="auto"/>
                <w:sz w:val="24"/>
                <w:szCs w:val="24"/>
              </w:rPr>
              <w:t>36</w:t>
            </w:r>
            <w:r>
              <w:rPr>
                <w:bCs/>
                <w:color w:val="auto"/>
                <w:sz w:val="24"/>
                <w:szCs w:val="24"/>
              </w:rPr>
              <w:t>kg/h），产生浓度为</w:t>
            </w:r>
            <w:r>
              <w:rPr>
                <w:rFonts w:hint="eastAsia"/>
                <w:bCs/>
                <w:color w:val="auto"/>
                <w:sz w:val="24"/>
                <w:szCs w:val="24"/>
                <w:lang w:val="en-US" w:eastAsia="zh-CN"/>
              </w:rPr>
              <w:t>20.7</w:t>
            </w:r>
            <w:r>
              <w:rPr>
                <w:bCs/>
                <w:color w:val="auto"/>
                <w:sz w:val="24"/>
                <w:szCs w:val="24"/>
              </w:rPr>
              <w:t>mg/m</w:t>
            </w:r>
            <w:r>
              <w:rPr>
                <w:bCs/>
                <w:color w:val="auto"/>
                <w:sz w:val="24"/>
                <w:szCs w:val="24"/>
                <w:vertAlign w:val="superscript"/>
              </w:rPr>
              <w:t>3</w:t>
            </w:r>
            <w:r>
              <w:rPr>
                <w:bCs/>
                <w:color w:val="auto"/>
                <w:sz w:val="24"/>
                <w:szCs w:val="24"/>
              </w:rPr>
              <w:t>；烟气经</w:t>
            </w:r>
            <w:r>
              <w:rPr>
                <w:rFonts w:hint="eastAsia"/>
                <w:bCs/>
                <w:color w:val="auto"/>
                <w:sz w:val="24"/>
                <w:szCs w:val="24"/>
              </w:rPr>
              <w:t>15</w:t>
            </w:r>
            <w:r>
              <w:rPr>
                <w:bCs/>
                <w:color w:val="auto"/>
                <w:sz w:val="24"/>
                <w:szCs w:val="24"/>
              </w:rPr>
              <w:t>m排气筒外排，各污染物排放浓度满足</w:t>
            </w:r>
            <w:r>
              <w:rPr>
                <w:color w:val="auto"/>
                <w:sz w:val="24"/>
                <w:szCs w:val="24"/>
              </w:rPr>
              <w:t>《工业炉窑大气污染物排放标准》（DB13/1640-2012），同时满足《工业炉窑大气污染综合治理方案》（环大气[2019]56号）中相关要求</w:t>
            </w:r>
            <w:r>
              <w:rPr>
                <w:bCs/>
                <w:color w:val="auto"/>
                <w:sz w:val="24"/>
                <w:szCs w:val="24"/>
              </w:rPr>
              <w:t>。</w:t>
            </w:r>
          </w:p>
          <w:p>
            <w:pPr>
              <w:spacing w:line="360" w:lineRule="auto"/>
              <w:ind w:firstLine="472" w:firstLineChars="200"/>
              <w:rPr>
                <w:color w:val="auto"/>
                <w:sz w:val="24"/>
                <w:szCs w:val="24"/>
              </w:rPr>
            </w:pPr>
            <w:r>
              <w:rPr>
                <w:rFonts w:hint="eastAsia"/>
                <w:color w:val="auto"/>
                <w:sz w:val="24"/>
                <w:szCs w:val="24"/>
              </w:rPr>
              <w:t>（3）喷涂工序</w:t>
            </w:r>
          </w:p>
          <w:p>
            <w:pPr>
              <w:spacing w:line="520" w:lineRule="exact"/>
              <w:ind w:firstLine="472" w:firstLineChars="200"/>
              <w:rPr>
                <w:color w:val="auto"/>
                <w:sz w:val="24"/>
                <w:szCs w:val="24"/>
              </w:rPr>
            </w:pPr>
            <w:r>
              <w:rPr>
                <w:color w:val="auto"/>
                <w:sz w:val="24"/>
                <w:szCs w:val="24"/>
              </w:rPr>
              <w:t>本项目</w:t>
            </w:r>
            <w:r>
              <w:rPr>
                <w:rFonts w:hint="eastAsia"/>
                <w:color w:val="auto"/>
                <w:sz w:val="24"/>
                <w:szCs w:val="24"/>
              </w:rPr>
              <w:t>变电站和配电柜</w:t>
            </w:r>
            <w:r>
              <w:rPr>
                <w:color w:val="auto"/>
                <w:sz w:val="24"/>
                <w:szCs w:val="24"/>
              </w:rPr>
              <w:t>需进行粉末喷涂作业，喷粉线上静电粉末喷涂是利用静电发生器使塑料粉末带电，吸附在金属板表面。钣金件喷粉工序中会产生的少量的涂料粉末，其主要成分为环氧树脂，无毒无味，喷粉工艺中无需有机溶剂作分散介质，在喷涂时不产生有机废气。</w:t>
            </w:r>
          </w:p>
          <w:p>
            <w:pPr>
              <w:widowControl/>
              <w:spacing w:line="360" w:lineRule="auto"/>
              <w:ind w:firstLine="472" w:firstLineChars="200"/>
              <w:rPr>
                <w:color w:val="auto"/>
                <w:sz w:val="24"/>
                <w:szCs w:val="24"/>
              </w:rPr>
            </w:pPr>
            <w:r>
              <w:rPr>
                <w:color w:val="auto"/>
                <w:sz w:val="24"/>
                <w:szCs w:val="24"/>
              </w:rPr>
              <w:t>根据物料平衡，本项目热</w:t>
            </w:r>
            <w:r>
              <w:rPr>
                <w:rFonts w:hint="eastAsia"/>
                <w:color w:val="auto"/>
                <w:sz w:val="24"/>
                <w:szCs w:val="24"/>
              </w:rPr>
              <w:t>变电站和配电柜</w:t>
            </w:r>
            <w:r>
              <w:rPr>
                <w:color w:val="auto"/>
                <w:sz w:val="24"/>
                <w:szCs w:val="24"/>
              </w:rPr>
              <w:t>喷涂年消耗环氧树脂粉末</w:t>
            </w:r>
            <w:r>
              <w:rPr>
                <w:rFonts w:hint="eastAsia"/>
                <w:color w:val="auto"/>
                <w:sz w:val="24"/>
                <w:szCs w:val="24"/>
              </w:rPr>
              <w:t>90</w:t>
            </w:r>
            <w:r>
              <w:rPr>
                <w:color w:val="auto"/>
                <w:sz w:val="24"/>
                <w:szCs w:val="24"/>
              </w:rPr>
              <w:t>t，</w:t>
            </w:r>
            <w:r>
              <w:rPr>
                <w:rFonts w:hint="eastAsia"/>
                <w:color w:val="auto"/>
                <w:sz w:val="24"/>
                <w:szCs w:val="24"/>
              </w:rPr>
              <w:t>其中用于自动喷塑生产线占90%，约为81t/a，</w:t>
            </w:r>
            <w:r>
              <w:rPr>
                <w:color w:val="auto"/>
                <w:sz w:val="24"/>
                <w:szCs w:val="24"/>
              </w:rPr>
              <w:t>喷涂过程中约90%粉末附着于工件表面，故粉尘产生量约</w:t>
            </w:r>
            <w:r>
              <w:rPr>
                <w:rFonts w:hint="eastAsia"/>
                <w:color w:val="auto"/>
                <w:sz w:val="24"/>
                <w:szCs w:val="24"/>
              </w:rPr>
              <w:t>8.1</w:t>
            </w:r>
            <w:r>
              <w:rPr>
                <w:color w:val="auto"/>
                <w:sz w:val="24"/>
                <w:szCs w:val="24"/>
              </w:rPr>
              <w:t>t/a，该粉尘负压引入</w:t>
            </w:r>
            <w:r>
              <w:rPr>
                <w:rFonts w:hint="eastAsia"/>
                <w:color w:val="auto"/>
                <w:sz w:val="24"/>
                <w:szCs w:val="24"/>
              </w:rPr>
              <w:t>二级</w:t>
            </w:r>
            <w:r>
              <w:rPr>
                <w:color w:val="auto"/>
                <w:sz w:val="24"/>
                <w:szCs w:val="24"/>
              </w:rPr>
              <w:t>滤芯除尘装置</w:t>
            </w:r>
            <w:r>
              <w:rPr>
                <w:rFonts w:hint="eastAsia"/>
                <w:color w:val="auto"/>
                <w:sz w:val="24"/>
                <w:szCs w:val="24"/>
                <w:lang w:val="en-US" w:eastAsia="zh-CN"/>
              </w:rPr>
              <w:t>+布袋除尘器</w:t>
            </w:r>
            <w:r>
              <w:rPr>
                <w:color w:val="auto"/>
                <w:sz w:val="24"/>
                <w:szCs w:val="24"/>
              </w:rPr>
              <w:t>处理后引入</w:t>
            </w:r>
            <w:r>
              <w:rPr>
                <w:rFonts w:hint="eastAsia"/>
                <w:color w:val="auto"/>
                <w:sz w:val="24"/>
                <w:szCs w:val="24"/>
              </w:rPr>
              <w:t>15</w:t>
            </w:r>
            <w:r>
              <w:rPr>
                <w:color w:val="auto"/>
                <w:sz w:val="24"/>
                <w:szCs w:val="24"/>
              </w:rPr>
              <w:t>米高排气筒排放。总排风量</w:t>
            </w:r>
            <w:r>
              <w:rPr>
                <w:rFonts w:hint="eastAsia"/>
                <w:color w:val="auto"/>
                <w:sz w:val="24"/>
                <w:szCs w:val="24"/>
              </w:rPr>
              <w:t>1</w:t>
            </w:r>
            <w:r>
              <w:rPr>
                <w:color w:val="auto"/>
                <w:sz w:val="24"/>
                <w:szCs w:val="24"/>
              </w:rPr>
              <w:t>0000m</w:t>
            </w:r>
            <w:r>
              <w:rPr>
                <w:color w:val="auto"/>
                <w:sz w:val="24"/>
                <w:szCs w:val="24"/>
                <w:vertAlign w:val="superscript"/>
              </w:rPr>
              <w:t>3</w:t>
            </w:r>
            <w:r>
              <w:rPr>
                <w:color w:val="auto"/>
                <w:sz w:val="24"/>
                <w:szCs w:val="24"/>
              </w:rPr>
              <w:t>/h，粉尘处理效率可达</w:t>
            </w:r>
            <w:r>
              <w:rPr>
                <w:rFonts w:hint="eastAsia"/>
                <w:color w:val="auto"/>
                <w:sz w:val="24"/>
                <w:szCs w:val="24"/>
              </w:rPr>
              <w:t>99</w:t>
            </w:r>
            <w:r>
              <w:rPr>
                <w:color w:val="auto"/>
                <w:sz w:val="24"/>
                <w:szCs w:val="24"/>
              </w:rPr>
              <w:t>%，回收的粉末继续使用，拟建项目在喷粉线上运行时间为</w:t>
            </w:r>
            <w:r>
              <w:rPr>
                <w:rFonts w:hint="eastAsia"/>
                <w:color w:val="auto"/>
                <w:sz w:val="24"/>
                <w:szCs w:val="24"/>
                <w:lang w:val="en-US" w:eastAsia="zh-CN"/>
              </w:rPr>
              <w:t>800</w:t>
            </w:r>
            <w:r>
              <w:rPr>
                <w:color w:val="auto"/>
                <w:sz w:val="24"/>
                <w:szCs w:val="24"/>
              </w:rPr>
              <w:t>h/a，粉尘排放量约为</w:t>
            </w:r>
            <w:r>
              <w:rPr>
                <w:rFonts w:hint="eastAsia"/>
                <w:color w:val="auto"/>
                <w:sz w:val="24"/>
                <w:szCs w:val="24"/>
              </w:rPr>
              <w:t>0.081</w:t>
            </w:r>
            <w:r>
              <w:rPr>
                <w:color w:val="auto"/>
                <w:sz w:val="24"/>
                <w:szCs w:val="24"/>
              </w:rPr>
              <w:t>t/a，排放速率为</w:t>
            </w:r>
            <w:r>
              <w:rPr>
                <w:rFonts w:hint="eastAsia"/>
                <w:color w:val="auto"/>
                <w:sz w:val="24"/>
                <w:szCs w:val="24"/>
                <w:lang w:val="en-US" w:eastAsia="zh-CN"/>
              </w:rPr>
              <w:t>0.101</w:t>
            </w:r>
            <w:r>
              <w:rPr>
                <w:color w:val="auto"/>
                <w:sz w:val="24"/>
                <w:szCs w:val="24"/>
              </w:rPr>
              <w:t>kg/h，排放浓度为</w:t>
            </w:r>
            <w:r>
              <w:rPr>
                <w:rFonts w:hint="eastAsia"/>
                <w:color w:val="auto"/>
                <w:sz w:val="24"/>
                <w:szCs w:val="24"/>
                <w:lang w:val="en-US" w:eastAsia="zh-CN"/>
              </w:rPr>
              <w:t>10.13</w:t>
            </w:r>
            <w:r>
              <w:rPr>
                <w:color w:val="auto"/>
                <w:sz w:val="24"/>
                <w:szCs w:val="24"/>
              </w:rPr>
              <w:t>mg/m</w:t>
            </w:r>
            <w:r>
              <w:rPr>
                <w:color w:val="auto"/>
                <w:sz w:val="24"/>
                <w:szCs w:val="24"/>
                <w:vertAlign w:val="superscript"/>
              </w:rPr>
              <w:t>3</w:t>
            </w:r>
            <w:r>
              <w:rPr>
                <w:color w:val="auto"/>
                <w:sz w:val="24"/>
                <w:szCs w:val="24"/>
              </w:rPr>
              <w:t>，能够满足《大气污染物综合排放标准》GB16297-1996表2中的二级标准要求。</w:t>
            </w:r>
          </w:p>
          <w:p>
            <w:pPr>
              <w:spacing w:line="520" w:lineRule="exact"/>
              <w:ind w:firstLine="472" w:firstLineChars="200"/>
              <w:rPr>
                <w:color w:val="auto"/>
                <w:sz w:val="24"/>
                <w:szCs w:val="24"/>
              </w:rPr>
            </w:pPr>
            <w:r>
              <w:rPr>
                <w:rFonts w:hint="eastAsia"/>
                <w:color w:val="auto"/>
                <w:sz w:val="24"/>
                <w:szCs w:val="24"/>
              </w:rPr>
              <w:t>（4）</w:t>
            </w:r>
            <w:r>
              <w:rPr>
                <w:color w:val="auto"/>
                <w:sz w:val="24"/>
                <w:szCs w:val="24"/>
              </w:rPr>
              <w:t>喷粉固化有机废气</w:t>
            </w:r>
          </w:p>
          <w:p>
            <w:pPr>
              <w:spacing w:line="520" w:lineRule="exact"/>
              <w:ind w:firstLine="472" w:firstLineChars="200"/>
              <w:rPr>
                <w:color w:val="auto"/>
                <w:sz w:val="24"/>
                <w:szCs w:val="24"/>
              </w:rPr>
            </w:pPr>
            <w:r>
              <w:rPr>
                <w:color w:val="auto"/>
                <w:sz w:val="24"/>
                <w:szCs w:val="24"/>
              </w:rPr>
              <w:t>静电粉末喷涂后固化产生有机废气。主要产生在静电粉末喷涂后的固化。据企业提供资料，建设项目使用</w:t>
            </w:r>
            <w:r>
              <w:rPr>
                <w:bCs/>
                <w:color w:val="auto"/>
                <w:sz w:val="24"/>
                <w:szCs w:val="24"/>
              </w:rPr>
              <w:t>环氧树脂粉末涂料（</w:t>
            </w:r>
            <w:r>
              <w:rPr>
                <w:color w:val="auto"/>
                <w:sz w:val="24"/>
                <w:szCs w:val="24"/>
              </w:rPr>
              <w:t>不含溶剂成分）</w:t>
            </w:r>
            <w:r>
              <w:rPr>
                <w:bCs/>
                <w:color w:val="auto"/>
                <w:sz w:val="24"/>
                <w:szCs w:val="24"/>
              </w:rPr>
              <w:t>，</w:t>
            </w:r>
            <w:r>
              <w:rPr>
                <w:color w:val="auto"/>
                <w:sz w:val="24"/>
                <w:szCs w:val="24"/>
              </w:rPr>
              <w:t>静电粉末喷涂后的粉体烘烤</w:t>
            </w:r>
            <w:r>
              <w:rPr>
                <w:rFonts w:hint="eastAsia"/>
                <w:color w:val="auto"/>
                <w:sz w:val="24"/>
                <w:szCs w:val="24"/>
              </w:rPr>
              <w:t>最高</w:t>
            </w:r>
            <w:r>
              <w:rPr>
                <w:color w:val="auto"/>
                <w:sz w:val="24"/>
                <w:szCs w:val="24"/>
              </w:rPr>
              <w:t>固化温度为</w:t>
            </w:r>
            <w:r>
              <w:rPr>
                <w:rFonts w:hint="eastAsia"/>
                <w:color w:val="auto"/>
                <w:sz w:val="24"/>
                <w:szCs w:val="24"/>
              </w:rPr>
              <w:t>22</w:t>
            </w:r>
            <w:r>
              <w:rPr>
                <w:color w:val="auto"/>
                <w:sz w:val="24"/>
                <w:szCs w:val="24"/>
              </w:rPr>
              <w:t>0℃。资料显示环氧树脂的热分解温度在300℃以上，固化过程产生的废气中不会含有树脂的挥发物或分解物，只有少量</w:t>
            </w:r>
            <w:r>
              <w:rPr>
                <w:rFonts w:hint="eastAsia"/>
                <w:color w:val="auto"/>
                <w:sz w:val="24"/>
                <w:szCs w:val="24"/>
              </w:rPr>
              <w:t>游离单体</w:t>
            </w:r>
            <w:r>
              <w:rPr>
                <w:color w:val="auto"/>
                <w:sz w:val="24"/>
                <w:szCs w:val="24"/>
              </w:rPr>
              <w:t>的有机废气产生。根据物料平衡分析，</w:t>
            </w:r>
            <w:r>
              <w:rPr>
                <w:rFonts w:hint="eastAsia"/>
                <w:color w:val="auto"/>
                <w:sz w:val="24"/>
                <w:szCs w:val="24"/>
              </w:rPr>
              <w:t>自动喷塑线</w:t>
            </w:r>
            <w:r>
              <w:rPr>
                <w:color w:val="auto"/>
                <w:sz w:val="24"/>
                <w:szCs w:val="24"/>
              </w:rPr>
              <w:t>产品表面覆盖的粉末用量为</w:t>
            </w:r>
            <w:r>
              <w:rPr>
                <w:rFonts w:hint="eastAsia"/>
                <w:color w:val="auto"/>
                <w:sz w:val="24"/>
                <w:szCs w:val="24"/>
              </w:rPr>
              <w:t>72.9</w:t>
            </w:r>
            <w:r>
              <w:rPr>
                <w:color w:val="auto"/>
                <w:sz w:val="24"/>
                <w:szCs w:val="24"/>
              </w:rPr>
              <w:t>t/a（去除喷涂过程有组织排放量），</w:t>
            </w:r>
            <w:r>
              <w:rPr>
                <w:color w:val="auto"/>
                <w:sz w:val="24"/>
                <w:szCs w:val="24"/>
                <w:highlight w:val="none"/>
              </w:rPr>
              <w:t>喷粉粉末的挥发物含量&lt;1%，取</w:t>
            </w:r>
            <w:r>
              <w:rPr>
                <w:color w:val="auto"/>
                <w:sz w:val="24"/>
                <w:szCs w:val="24"/>
              </w:rPr>
              <w:t>最不利情况，通过计算得出粉末固化过程有机废气产生量约</w:t>
            </w:r>
            <w:r>
              <w:rPr>
                <w:rFonts w:hint="eastAsia"/>
                <w:color w:val="auto"/>
                <w:sz w:val="24"/>
                <w:szCs w:val="24"/>
              </w:rPr>
              <w:t>0.729</w:t>
            </w:r>
            <w:r>
              <w:rPr>
                <w:color w:val="auto"/>
                <w:sz w:val="24"/>
                <w:szCs w:val="24"/>
              </w:rPr>
              <w:t>t/a。项目产生的有机废气（以非甲烷总烃计）经固化房顶部的管道</w:t>
            </w:r>
            <w:r>
              <w:rPr>
                <w:rFonts w:hint="eastAsia"/>
                <w:color w:val="auto"/>
                <w:sz w:val="24"/>
                <w:szCs w:val="24"/>
              </w:rPr>
              <w:t>和窑头窑尾集气罩</w:t>
            </w:r>
            <w:r>
              <w:rPr>
                <w:color w:val="auto"/>
                <w:sz w:val="24"/>
                <w:szCs w:val="24"/>
              </w:rPr>
              <w:t>收集引入</w:t>
            </w:r>
            <w:r>
              <w:rPr>
                <w:rFonts w:hint="eastAsia"/>
                <w:color w:val="auto"/>
                <w:sz w:val="24"/>
                <w:szCs w:val="24"/>
              </w:rPr>
              <w:t>旋流</w:t>
            </w:r>
            <w:r>
              <w:rPr>
                <w:color w:val="auto"/>
                <w:sz w:val="24"/>
                <w:szCs w:val="24"/>
              </w:rPr>
              <w:t>塔+</w:t>
            </w:r>
            <w:r>
              <w:rPr>
                <w:rFonts w:hint="eastAsia"/>
                <w:color w:val="auto"/>
                <w:sz w:val="24"/>
                <w:szCs w:val="24"/>
              </w:rPr>
              <w:t>干湿过滤箱</w:t>
            </w:r>
            <w:r>
              <w:rPr>
                <w:color w:val="auto"/>
                <w:sz w:val="24"/>
                <w:szCs w:val="24"/>
              </w:rPr>
              <w:t>+吸附/脱附催化燃烧装置处理后经</w:t>
            </w:r>
            <w:r>
              <w:rPr>
                <w:rFonts w:hint="eastAsia"/>
                <w:color w:val="auto"/>
                <w:sz w:val="24"/>
                <w:szCs w:val="24"/>
              </w:rPr>
              <w:t>15</w:t>
            </w:r>
            <w:r>
              <w:rPr>
                <w:color w:val="auto"/>
                <w:sz w:val="24"/>
                <w:szCs w:val="24"/>
              </w:rPr>
              <w:t>m高排气筒排放，总排风量</w:t>
            </w:r>
            <w:r>
              <w:rPr>
                <w:rFonts w:hint="eastAsia"/>
                <w:color w:val="auto"/>
                <w:sz w:val="24"/>
                <w:szCs w:val="24"/>
              </w:rPr>
              <w:t>1</w:t>
            </w:r>
            <w:r>
              <w:rPr>
                <w:color w:val="auto"/>
                <w:sz w:val="24"/>
                <w:szCs w:val="24"/>
              </w:rPr>
              <w:t>0000m</w:t>
            </w:r>
            <w:r>
              <w:rPr>
                <w:color w:val="auto"/>
                <w:sz w:val="24"/>
                <w:szCs w:val="24"/>
                <w:vertAlign w:val="superscript"/>
              </w:rPr>
              <w:t>3</w:t>
            </w:r>
            <w:r>
              <w:rPr>
                <w:color w:val="auto"/>
                <w:sz w:val="24"/>
                <w:szCs w:val="24"/>
              </w:rPr>
              <w:t>/h，收集效率为</w:t>
            </w:r>
            <w:r>
              <w:rPr>
                <w:rFonts w:hint="eastAsia"/>
                <w:color w:val="auto"/>
                <w:sz w:val="24"/>
                <w:szCs w:val="24"/>
              </w:rPr>
              <w:t>90</w:t>
            </w:r>
            <w:r>
              <w:rPr>
                <w:color w:val="auto"/>
                <w:sz w:val="24"/>
                <w:szCs w:val="24"/>
              </w:rPr>
              <w:t>%，净化效率可达9</w:t>
            </w:r>
            <w:r>
              <w:rPr>
                <w:rFonts w:hint="eastAsia"/>
                <w:color w:val="auto"/>
                <w:sz w:val="24"/>
                <w:szCs w:val="24"/>
              </w:rPr>
              <w:t>0</w:t>
            </w:r>
            <w:r>
              <w:rPr>
                <w:color w:val="auto"/>
                <w:sz w:val="24"/>
                <w:szCs w:val="24"/>
              </w:rPr>
              <w:t>%。</w:t>
            </w:r>
          </w:p>
          <w:p>
            <w:pPr>
              <w:pStyle w:val="2"/>
              <w:spacing w:line="520" w:lineRule="exact"/>
              <w:ind w:left="0" w:firstLine="472" w:firstLineChars="200"/>
              <w:rPr>
                <w:smallCaps w:val="0"/>
                <w:color w:val="auto"/>
              </w:rPr>
            </w:pPr>
            <w:bookmarkStart w:id="1" w:name="OLE_LINK13"/>
            <w:r>
              <w:rPr>
                <w:smallCaps w:val="0"/>
                <w:color w:val="auto"/>
                <w:sz w:val="24"/>
                <w:szCs w:val="24"/>
              </w:rPr>
              <w:t>经计算，处理后的非甲烷总烃排放量为</w:t>
            </w:r>
            <w:r>
              <w:rPr>
                <w:rFonts w:hint="eastAsia"/>
                <w:smallCaps w:val="0"/>
                <w:color w:val="auto"/>
                <w:sz w:val="24"/>
                <w:szCs w:val="24"/>
              </w:rPr>
              <w:t>0.0656</w:t>
            </w:r>
            <w:r>
              <w:rPr>
                <w:smallCaps w:val="0"/>
                <w:color w:val="auto"/>
                <w:sz w:val="24"/>
                <w:szCs w:val="24"/>
              </w:rPr>
              <w:t>t/a（</w:t>
            </w:r>
            <w:r>
              <w:rPr>
                <w:rFonts w:hint="eastAsia"/>
                <w:smallCaps w:val="0"/>
                <w:color w:val="auto"/>
                <w:sz w:val="24"/>
                <w:szCs w:val="24"/>
                <w:lang w:val="en-US" w:eastAsia="zh-CN"/>
              </w:rPr>
              <w:t>0.082</w:t>
            </w:r>
            <w:r>
              <w:rPr>
                <w:smallCaps w:val="0"/>
                <w:color w:val="auto"/>
                <w:sz w:val="24"/>
                <w:szCs w:val="24"/>
              </w:rPr>
              <w:t>kg/h，</w:t>
            </w:r>
            <w:r>
              <w:rPr>
                <w:rFonts w:hint="eastAsia"/>
                <w:smallCaps w:val="0"/>
                <w:color w:val="auto"/>
                <w:sz w:val="24"/>
                <w:szCs w:val="24"/>
                <w:lang w:val="en-US" w:eastAsia="zh-CN"/>
              </w:rPr>
              <w:t>8.20</w:t>
            </w:r>
            <w:r>
              <w:rPr>
                <w:smallCaps w:val="0"/>
                <w:color w:val="auto"/>
                <w:sz w:val="24"/>
                <w:szCs w:val="24"/>
              </w:rPr>
              <w:t>mg/m</w:t>
            </w:r>
            <w:r>
              <w:rPr>
                <w:smallCaps w:val="0"/>
                <w:color w:val="auto"/>
                <w:sz w:val="24"/>
                <w:szCs w:val="24"/>
                <w:vertAlign w:val="superscript"/>
              </w:rPr>
              <w:t>3</w:t>
            </w:r>
            <w:r>
              <w:rPr>
                <w:smallCaps w:val="0"/>
                <w:color w:val="auto"/>
                <w:sz w:val="24"/>
                <w:szCs w:val="24"/>
              </w:rPr>
              <w:t>）。</w:t>
            </w:r>
            <w:bookmarkEnd w:id="1"/>
          </w:p>
          <w:p>
            <w:pPr>
              <w:pStyle w:val="2"/>
              <w:spacing w:line="520" w:lineRule="exact"/>
              <w:ind w:left="0" w:firstLine="472" w:firstLineChars="200"/>
              <w:rPr>
                <w:smallCaps w:val="0"/>
                <w:color w:val="auto"/>
              </w:rPr>
            </w:pPr>
            <w:r>
              <w:rPr>
                <w:smallCaps w:val="0"/>
                <w:color w:val="auto"/>
                <w:sz w:val="24"/>
                <w:szCs w:val="24"/>
              </w:rPr>
              <w:t>未收集的有机废气在车间内无组织逸散，无组织排放量为</w:t>
            </w:r>
            <w:r>
              <w:rPr>
                <w:rFonts w:hint="eastAsia"/>
                <w:smallCaps w:val="0"/>
                <w:color w:val="auto"/>
                <w:sz w:val="24"/>
                <w:szCs w:val="24"/>
              </w:rPr>
              <w:t>0.0729</w:t>
            </w:r>
            <w:r>
              <w:rPr>
                <w:smallCaps w:val="0"/>
                <w:color w:val="auto"/>
                <w:sz w:val="24"/>
                <w:szCs w:val="24"/>
              </w:rPr>
              <w:t>t/a。</w:t>
            </w:r>
          </w:p>
          <w:p>
            <w:pPr>
              <w:spacing w:line="360" w:lineRule="auto"/>
              <w:ind w:firstLine="472" w:firstLineChars="200"/>
              <w:rPr>
                <w:color w:val="auto"/>
                <w:sz w:val="24"/>
                <w:szCs w:val="24"/>
              </w:rPr>
            </w:pPr>
            <w:r>
              <w:rPr>
                <w:rFonts w:hint="eastAsia"/>
                <w:color w:val="auto"/>
                <w:sz w:val="24"/>
                <w:szCs w:val="24"/>
              </w:rPr>
              <w:t>（5）手动喷粉室</w:t>
            </w:r>
          </w:p>
          <w:p>
            <w:pPr>
              <w:spacing w:line="520" w:lineRule="exact"/>
              <w:ind w:firstLine="472" w:firstLineChars="200"/>
              <w:rPr>
                <w:color w:val="auto"/>
                <w:sz w:val="24"/>
                <w:szCs w:val="24"/>
              </w:rPr>
            </w:pPr>
            <w:r>
              <w:rPr>
                <w:color w:val="auto"/>
                <w:sz w:val="24"/>
                <w:szCs w:val="24"/>
              </w:rPr>
              <w:t>本项目</w:t>
            </w:r>
            <w:r>
              <w:rPr>
                <w:rFonts w:hint="eastAsia"/>
                <w:color w:val="auto"/>
                <w:sz w:val="24"/>
                <w:szCs w:val="24"/>
              </w:rPr>
              <w:t>部分</w:t>
            </w:r>
            <w:r>
              <w:rPr>
                <w:color w:val="auto"/>
                <w:sz w:val="24"/>
                <w:szCs w:val="24"/>
              </w:rPr>
              <w:t>变电站和配电柜需进行</w:t>
            </w:r>
            <w:r>
              <w:rPr>
                <w:rFonts w:hint="eastAsia"/>
                <w:color w:val="auto"/>
                <w:sz w:val="24"/>
                <w:szCs w:val="24"/>
              </w:rPr>
              <w:t>手动</w:t>
            </w:r>
            <w:r>
              <w:rPr>
                <w:color w:val="auto"/>
                <w:sz w:val="24"/>
                <w:szCs w:val="24"/>
              </w:rPr>
              <w:t>粉末喷涂作业，根据物料平衡，</w:t>
            </w:r>
            <w:r>
              <w:rPr>
                <w:rFonts w:hint="eastAsia"/>
                <w:color w:val="auto"/>
                <w:sz w:val="24"/>
                <w:szCs w:val="24"/>
              </w:rPr>
              <w:t>手动喷塑作业使用塑粉的量约占总塑粉用量的10%，约为9t/a</w:t>
            </w:r>
            <w:r>
              <w:rPr>
                <w:color w:val="auto"/>
                <w:sz w:val="24"/>
                <w:szCs w:val="24"/>
              </w:rPr>
              <w:t>，喷涂过程中约90%粉末附着于工件表面，故粉尘产生量约</w:t>
            </w:r>
            <w:r>
              <w:rPr>
                <w:rFonts w:hint="eastAsia"/>
                <w:color w:val="auto"/>
                <w:sz w:val="24"/>
                <w:szCs w:val="24"/>
              </w:rPr>
              <w:t>0.9</w:t>
            </w:r>
            <w:r>
              <w:rPr>
                <w:color w:val="auto"/>
                <w:sz w:val="24"/>
                <w:szCs w:val="24"/>
              </w:rPr>
              <w:t>t/a，该粉尘负压引入</w:t>
            </w:r>
            <w:r>
              <w:rPr>
                <w:rFonts w:hint="eastAsia"/>
                <w:color w:val="auto"/>
                <w:sz w:val="24"/>
                <w:szCs w:val="24"/>
              </w:rPr>
              <w:t>布袋除尘器</w:t>
            </w:r>
            <w:r>
              <w:rPr>
                <w:color w:val="auto"/>
                <w:sz w:val="24"/>
                <w:szCs w:val="24"/>
              </w:rPr>
              <w:t>处理</w:t>
            </w:r>
            <w:r>
              <w:rPr>
                <w:rFonts w:hint="eastAsia"/>
                <w:color w:val="auto"/>
                <w:sz w:val="24"/>
                <w:szCs w:val="24"/>
              </w:rPr>
              <w:t>后通过</w:t>
            </w:r>
            <w:r>
              <w:rPr>
                <w:color w:val="auto"/>
                <w:sz w:val="24"/>
                <w:szCs w:val="24"/>
              </w:rPr>
              <w:t>1</w:t>
            </w:r>
            <w:r>
              <w:rPr>
                <w:rFonts w:hint="eastAsia"/>
                <w:color w:val="auto"/>
                <w:sz w:val="24"/>
                <w:szCs w:val="24"/>
              </w:rPr>
              <w:t>5</w:t>
            </w:r>
            <w:r>
              <w:rPr>
                <w:color w:val="auto"/>
                <w:sz w:val="24"/>
                <w:szCs w:val="24"/>
              </w:rPr>
              <w:t>米高排气筒排放。总排风量</w:t>
            </w:r>
            <w:r>
              <w:rPr>
                <w:rFonts w:hint="eastAsia"/>
                <w:color w:val="auto"/>
                <w:sz w:val="24"/>
                <w:szCs w:val="24"/>
              </w:rPr>
              <w:t>5000</w:t>
            </w:r>
            <w:r>
              <w:rPr>
                <w:color w:val="auto"/>
                <w:sz w:val="24"/>
                <w:szCs w:val="24"/>
              </w:rPr>
              <w:t>m</w:t>
            </w:r>
            <w:r>
              <w:rPr>
                <w:color w:val="auto"/>
                <w:sz w:val="24"/>
                <w:szCs w:val="24"/>
                <w:vertAlign w:val="superscript"/>
              </w:rPr>
              <w:t>3</w:t>
            </w:r>
            <w:r>
              <w:rPr>
                <w:color w:val="auto"/>
                <w:sz w:val="24"/>
                <w:szCs w:val="24"/>
              </w:rPr>
              <w:t>/h，粉尘处理效率可达9</w:t>
            </w:r>
            <w:r>
              <w:rPr>
                <w:rFonts w:hint="eastAsia"/>
                <w:color w:val="auto"/>
                <w:sz w:val="24"/>
                <w:szCs w:val="24"/>
              </w:rPr>
              <w:t>9</w:t>
            </w:r>
            <w:r>
              <w:rPr>
                <w:color w:val="auto"/>
                <w:sz w:val="24"/>
                <w:szCs w:val="24"/>
              </w:rPr>
              <w:t>%，拟建项目</w:t>
            </w:r>
            <w:r>
              <w:rPr>
                <w:rFonts w:hint="eastAsia"/>
                <w:color w:val="auto"/>
                <w:sz w:val="24"/>
                <w:szCs w:val="24"/>
              </w:rPr>
              <w:t>手动喷粉室</w:t>
            </w:r>
            <w:r>
              <w:rPr>
                <w:color w:val="auto"/>
                <w:sz w:val="24"/>
                <w:szCs w:val="24"/>
              </w:rPr>
              <w:t>运行时间为</w:t>
            </w:r>
            <w:r>
              <w:rPr>
                <w:rFonts w:hint="eastAsia"/>
                <w:color w:val="auto"/>
                <w:sz w:val="24"/>
                <w:szCs w:val="24"/>
                <w:lang w:val="en-US" w:eastAsia="zh-CN"/>
              </w:rPr>
              <w:t>800</w:t>
            </w:r>
            <w:r>
              <w:rPr>
                <w:color w:val="auto"/>
                <w:sz w:val="24"/>
                <w:szCs w:val="24"/>
              </w:rPr>
              <w:t>h/a，根据物料平衡，粉尘排放量约为</w:t>
            </w:r>
            <w:r>
              <w:rPr>
                <w:rFonts w:hint="eastAsia"/>
                <w:color w:val="auto"/>
                <w:sz w:val="24"/>
                <w:szCs w:val="24"/>
              </w:rPr>
              <w:t>0.009</w:t>
            </w:r>
            <w:r>
              <w:rPr>
                <w:color w:val="auto"/>
                <w:sz w:val="24"/>
                <w:szCs w:val="24"/>
              </w:rPr>
              <w:t>t/a，排放速率为</w:t>
            </w:r>
            <w:r>
              <w:rPr>
                <w:rFonts w:hint="eastAsia"/>
                <w:color w:val="auto"/>
                <w:sz w:val="24"/>
                <w:szCs w:val="24"/>
                <w:lang w:val="en-US" w:eastAsia="zh-CN"/>
              </w:rPr>
              <w:t>0.011</w:t>
            </w:r>
            <w:r>
              <w:rPr>
                <w:color w:val="auto"/>
                <w:sz w:val="24"/>
                <w:szCs w:val="24"/>
              </w:rPr>
              <w:t>kg/h，排放浓度为</w:t>
            </w:r>
            <w:r>
              <w:rPr>
                <w:rFonts w:hint="eastAsia"/>
                <w:color w:val="auto"/>
                <w:sz w:val="24"/>
                <w:szCs w:val="24"/>
                <w:lang w:val="en-US" w:eastAsia="zh-CN"/>
              </w:rPr>
              <w:t>2.25</w:t>
            </w:r>
            <w:r>
              <w:rPr>
                <w:color w:val="auto"/>
                <w:sz w:val="24"/>
                <w:szCs w:val="24"/>
              </w:rPr>
              <w:t>mg/m</w:t>
            </w:r>
            <w:r>
              <w:rPr>
                <w:color w:val="auto"/>
                <w:sz w:val="24"/>
                <w:szCs w:val="24"/>
                <w:vertAlign w:val="superscript"/>
              </w:rPr>
              <w:t>3</w:t>
            </w:r>
            <w:r>
              <w:rPr>
                <w:color w:val="auto"/>
                <w:sz w:val="24"/>
                <w:szCs w:val="24"/>
              </w:rPr>
              <w:t>，能够满足《大气污染物综合排放标准》GB16297-1996表2中的二级标准要求。</w:t>
            </w:r>
          </w:p>
          <w:p>
            <w:pPr>
              <w:spacing w:line="520" w:lineRule="exact"/>
              <w:ind w:firstLine="472" w:firstLineChars="200"/>
              <w:rPr>
                <w:color w:val="auto"/>
                <w:sz w:val="24"/>
                <w:szCs w:val="24"/>
              </w:rPr>
            </w:pPr>
            <w:r>
              <w:rPr>
                <w:rFonts w:hint="eastAsia"/>
                <w:color w:val="auto"/>
                <w:sz w:val="24"/>
                <w:szCs w:val="24"/>
              </w:rPr>
              <w:t>（6）手喷件固化烘箱</w:t>
            </w:r>
          </w:p>
          <w:p>
            <w:pPr>
              <w:spacing w:line="520" w:lineRule="exact"/>
              <w:ind w:firstLine="472" w:firstLineChars="200"/>
              <w:rPr>
                <w:color w:val="auto"/>
                <w:sz w:val="24"/>
                <w:szCs w:val="24"/>
              </w:rPr>
            </w:pPr>
            <w:r>
              <w:rPr>
                <w:rFonts w:hint="eastAsia"/>
                <w:color w:val="auto"/>
                <w:sz w:val="24"/>
                <w:szCs w:val="24"/>
              </w:rPr>
              <w:t>经过手动</w:t>
            </w:r>
            <w:r>
              <w:rPr>
                <w:color w:val="auto"/>
                <w:sz w:val="24"/>
                <w:szCs w:val="24"/>
              </w:rPr>
              <w:t>粉末喷涂作业</w:t>
            </w:r>
            <w:r>
              <w:rPr>
                <w:rFonts w:hint="eastAsia"/>
                <w:color w:val="auto"/>
                <w:sz w:val="24"/>
                <w:szCs w:val="24"/>
              </w:rPr>
              <w:t>的部分</w:t>
            </w:r>
            <w:r>
              <w:rPr>
                <w:color w:val="auto"/>
                <w:sz w:val="24"/>
                <w:szCs w:val="24"/>
              </w:rPr>
              <w:t>变电站和配电柜</w:t>
            </w:r>
            <w:r>
              <w:rPr>
                <w:rFonts w:hint="eastAsia"/>
                <w:color w:val="auto"/>
                <w:sz w:val="24"/>
                <w:szCs w:val="24"/>
              </w:rPr>
              <w:t>送入手喷件固化烘箱，采用电加热进行固化</w:t>
            </w:r>
            <w:r>
              <w:rPr>
                <w:color w:val="auto"/>
                <w:sz w:val="24"/>
                <w:szCs w:val="24"/>
              </w:rPr>
              <w:t>。根据物料平衡分析，</w:t>
            </w:r>
            <w:r>
              <w:rPr>
                <w:rFonts w:hint="eastAsia"/>
                <w:color w:val="auto"/>
                <w:sz w:val="24"/>
                <w:szCs w:val="24"/>
              </w:rPr>
              <w:t>手喷件</w:t>
            </w:r>
            <w:r>
              <w:rPr>
                <w:color w:val="auto"/>
                <w:sz w:val="24"/>
                <w:szCs w:val="24"/>
              </w:rPr>
              <w:t>表面覆盖的粉末用量为</w:t>
            </w:r>
            <w:r>
              <w:rPr>
                <w:rFonts w:hint="eastAsia"/>
                <w:color w:val="auto"/>
                <w:sz w:val="24"/>
                <w:szCs w:val="24"/>
              </w:rPr>
              <w:t>8.1</w:t>
            </w:r>
            <w:r>
              <w:rPr>
                <w:color w:val="auto"/>
                <w:sz w:val="24"/>
                <w:szCs w:val="24"/>
              </w:rPr>
              <w:t>t/a（去除喷涂过程有组织排放量），喷粉粉末的挥发物含量&lt;1%，取最不利情况，通过计算得出粉末固化过程有机废气产生量约</w:t>
            </w:r>
            <w:r>
              <w:rPr>
                <w:rFonts w:hint="eastAsia"/>
                <w:color w:val="auto"/>
                <w:sz w:val="24"/>
                <w:szCs w:val="24"/>
              </w:rPr>
              <w:t>0.081</w:t>
            </w:r>
            <w:r>
              <w:rPr>
                <w:color w:val="auto"/>
                <w:sz w:val="24"/>
                <w:szCs w:val="24"/>
              </w:rPr>
              <w:t>t/a。项目产生的有机废气（以非甲烷总烃计）经</w:t>
            </w:r>
            <w:r>
              <w:rPr>
                <w:rFonts w:hint="eastAsia"/>
                <w:color w:val="auto"/>
                <w:sz w:val="24"/>
                <w:szCs w:val="24"/>
              </w:rPr>
              <w:t>固化烘箱</w:t>
            </w:r>
            <w:r>
              <w:rPr>
                <w:color w:val="auto"/>
                <w:sz w:val="24"/>
                <w:szCs w:val="24"/>
              </w:rPr>
              <w:t>顶部的管道</w:t>
            </w:r>
            <w:r>
              <w:rPr>
                <w:rFonts w:hint="eastAsia"/>
                <w:color w:val="auto"/>
                <w:sz w:val="24"/>
                <w:szCs w:val="24"/>
              </w:rPr>
              <w:t>和烘箱口的集气罩</w:t>
            </w:r>
            <w:r>
              <w:rPr>
                <w:color w:val="auto"/>
                <w:sz w:val="24"/>
                <w:szCs w:val="24"/>
              </w:rPr>
              <w:t>收集引入</w:t>
            </w:r>
            <w:r>
              <w:rPr>
                <w:rFonts w:hint="eastAsia"/>
                <w:color w:val="auto"/>
                <w:sz w:val="24"/>
                <w:szCs w:val="24"/>
              </w:rPr>
              <w:t>二级活性炭</w:t>
            </w:r>
            <w:r>
              <w:rPr>
                <w:color w:val="auto"/>
                <w:sz w:val="24"/>
                <w:szCs w:val="24"/>
              </w:rPr>
              <w:t>处理后经</w:t>
            </w:r>
            <w:r>
              <w:rPr>
                <w:rFonts w:hint="eastAsia"/>
                <w:color w:val="auto"/>
                <w:sz w:val="24"/>
                <w:szCs w:val="24"/>
              </w:rPr>
              <w:t>15</w:t>
            </w:r>
            <w:r>
              <w:rPr>
                <w:color w:val="auto"/>
                <w:sz w:val="24"/>
                <w:szCs w:val="24"/>
              </w:rPr>
              <w:t>m高排气筒排放，总排风量</w:t>
            </w:r>
            <w:r>
              <w:rPr>
                <w:rFonts w:hint="eastAsia"/>
                <w:color w:val="auto"/>
                <w:sz w:val="24"/>
                <w:szCs w:val="24"/>
              </w:rPr>
              <w:t>5000</w:t>
            </w:r>
            <w:r>
              <w:rPr>
                <w:color w:val="auto"/>
                <w:sz w:val="24"/>
                <w:szCs w:val="24"/>
              </w:rPr>
              <w:t>m</w:t>
            </w:r>
            <w:r>
              <w:rPr>
                <w:color w:val="auto"/>
                <w:sz w:val="24"/>
                <w:szCs w:val="24"/>
                <w:vertAlign w:val="superscript"/>
              </w:rPr>
              <w:t>3</w:t>
            </w:r>
            <w:r>
              <w:rPr>
                <w:color w:val="auto"/>
                <w:sz w:val="24"/>
                <w:szCs w:val="24"/>
              </w:rPr>
              <w:t>/h，收集效率为</w:t>
            </w:r>
            <w:r>
              <w:rPr>
                <w:rFonts w:hint="eastAsia"/>
                <w:color w:val="auto"/>
                <w:sz w:val="24"/>
                <w:szCs w:val="24"/>
              </w:rPr>
              <w:t>90</w:t>
            </w:r>
            <w:r>
              <w:rPr>
                <w:color w:val="auto"/>
                <w:sz w:val="24"/>
                <w:szCs w:val="24"/>
              </w:rPr>
              <w:t>%，净化效率可达</w:t>
            </w:r>
            <w:r>
              <w:rPr>
                <w:rFonts w:hint="eastAsia"/>
                <w:color w:val="auto"/>
                <w:sz w:val="24"/>
                <w:szCs w:val="24"/>
              </w:rPr>
              <w:t>80</w:t>
            </w:r>
            <w:r>
              <w:rPr>
                <w:color w:val="auto"/>
                <w:sz w:val="24"/>
                <w:szCs w:val="24"/>
              </w:rPr>
              <w:t>%。</w:t>
            </w:r>
          </w:p>
          <w:p>
            <w:pPr>
              <w:pStyle w:val="2"/>
              <w:spacing w:line="520" w:lineRule="exact"/>
              <w:ind w:left="0" w:firstLine="472" w:firstLineChars="200"/>
              <w:rPr>
                <w:smallCaps w:val="0"/>
                <w:color w:val="auto"/>
              </w:rPr>
            </w:pPr>
            <w:r>
              <w:rPr>
                <w:smallCaps w:val="0"/>
                <w:color w:val="auto"/>
                <w:sz w:val="24"/>
                <w:szCs w:val="24"/>
              </w:rPr>
              <w:t>经计算，处理后的非甲烷总烃排放量为</w:t>
            </w:r>
            <w:r>
              <w:rPr>
                <w:rFonts w:hint="eastAsia"/>
                <w:smallCaps w:val="0"/>
                <w:color w:val="auto"/>
                <w:sz w:val="24"/>
                <w:szCs w:val="24"/>
              </w:rPr>
              <w:t>0.015</w:t>
            </w:r>
            <w:r>
              <w:rPr>
                <w:smallCaps w:val="0"/>
                <w:color w:val="auto"/>
                <w:sz w:val="24"/>
                <w:szCs w:val="24"/>
              </w:rPr>
              <w:t>t/a（</w:t>
            </w:r>
            <w:r>
              <w:rPr>
                <w:rFonts w:hint="eastAsia"/>
                <w:smallCaps w:val="0"/>
                <w:color w:val="auto"/>
                <w:sz w:val="24"/>
                <w:szCs w:val="24"/>
                <w:lang w:val="en-US" w:eastAsia="zh-CN"/>
              </w:rPr>
              <w:t>0.019</w:t>
            </w:r>
            <w:r>
              <w:rPr>
                <w:smallCaps w:val="0"/>
                <w:color w:val="auto"/>
                <w:sz w:val="24"/>
                <w:szCs w:val="24"/>
              </w:rPr>
              <w:t>kg/h，</w:t>
            </w:r>
            <w:r>
              <w:rPr>
                <w:rFonts w:hint="eastAsia"/>
                <w:smallCaps w:val="0"/>
                <w:color w:val="auto"/>
                <w:sz w:val="24"/>
                <w:szCs w:val="24"/>
                <w:lang w:val="en-US" w:eastAsia="zh-CN"/>
              </w:rPr>
              <w:t>3.75</w:t>
            </w:r>
            <w:r>
              <w:rPr>
                <w:smallCaps w:val="0"/>
                <w:color w:val="auto"/>
                <w:sz w:val="24"/>
                <w:szCs w:val="24"/>
              </w:rPr>
              <w:t>mg/m</w:t>
            </w:r>
            <w:r>
              <w:rPr>
                <w:smallCaps w:val="0"/>
                <w:color w:val="auto"/>
                <w:sz w:val="24"/>
                <w:szCs w:val="24"/>
                <w:vertAlign w:val="superscript"/>
              </w:rPr>
              <w:t>3</w:t>
            </w:r>
            <w:r>
              <w:rPr>
                <w:smallCaps w:val="0"/>
                <w:color w:val="auto"/>
                <w:sz w:val="24"/>
                <w:szCs w:val="24"/>
              </w:rPr>
              <w:t>）。</w:t>
            </w:r>
          </w:p>
          <w:p>
            <w:pPr>
              <w:pStyle w:val="2"/>
              <w:spacing w:line="520" w:lineRule="exact"/>
              <w:ind w:left="0" w:firstLine="472" w:firstLineChars="200"/>
              <w:rPr>
                <w:smallCaps w:val="0"/>
                <w:color w:val="auto"/>
              </w:rPr>
            </w:pPr>
            <w:r>
              <w:rPr>
                <w:smallCaps w:val="0"/>
                <w:color w:val="auto"/>
                <w:sz w:val="24"/>
                <w:szCs w:val="24"/>
              </w:rPr>
              <w:t>未收集的有机废气在车间内无组织逸散，无组织排放量为</w:t>
            </w:r>
            <w:r>
              <w:rPr>
                <w:rFonts w:hint="eastAsia"/>
                <w:smallCaps w:val="0"/>
                <w:color w:val="auto"/>
                <w:sz w:val="24"/>
                <w:szCs w:val="24"/>
              </w:rPr>
              <w:t>0.0081</w:t>
            </w:r>
            <w:r>
              <w:rPr>
                <w:smallCaps w:val="0"/>
                <w:color w:val="auto"/>
                <w:sz w:val="24"/>
                <w:szCs w:val="24"/>
              </w:rPr>
              <w:t>t/a。</w:t>
            </w:r>
          </w:p>
          <w:p>
            <w:pPr>
              <w:widowControl/>
              <w:spacing w:line="360" w:lineRule="auto"/>
              <w:ind w:firstLine="472" w:firstLineChars="200"/>
              <w:rPr>
                <w:color w:val="auto"/>
                <w:sz w:val="24"/>
                <w:szCs w:val="24"/>
              </w:rPr>
            </w:pPr>
            <w:r>
              <w:rPr>
                <w:rFonts w:hint="eastAsia"/>
                <w:color w:val="auto"/>
                <w:sz w:val="24"/>
                <w:szCs w:val="24"/>
              </w:rPr>
              <w:t>（7）非正常工况分析</w:t>
            </w:r>
          </w:p>
          <w:p>
            <w:pPr>
              <w:widowControl/>
              <w:spacing w:line="360" w:lineRule="auto"/>
              <w:ind w:firstLine="472" w:firstLineChars="200"/>
              <w:rPr>
                <w:color w:val="auto"/>
                <w:kern w:val="0"/>
                <w:sz w:val="24"/>
                <w:lang w:bidi="ar"/>
              </w:rPr>
            </w:pPr>
            <w:r>
              <w:rPr>
                <w:color w:val="auto"/>
                <w:kern w:val="0"/>
                <w:sz w:val="24"/>
                <w:lang w:bidi="ar"/>
              </w:rPr>
              <w:t>本项目的非正常工况主要是污染物排放控制措施达不到应有效率，即袋式除尘器</w:t>
            </w:r>
            <w:r>
              <w:rPr>
                <w:rFonts w:hint="eastAsia"/>
                <w:color w:val="auto"/>
                <w:kern w:val="0"/>
                <w:sz w:val="24"/>
                <w:lang w:bidi="ar"/>
              </w:rPr>
              <w:t>、活性炭吸附或活性炭吸附浓缩+催化燃烧设备</w:t>
            </w:r>
            <w:r>
              <w:rPr>
                <w:color w:val="auto"/>
                <w:kern w:val="0"/>
                <w:sz w:val="24"/>
                <w:lang w:bidi="ar"/>
              </w:rPr>
              <w:t>失效，造成排气筒废气中废气污染物未经净化直接排放，其排放情况表</w:t>
            </w:r>
            <w:r>
              <w:rPr>
                <w:rFonts w:hint="eastAsia"/>
                <w:color w:val="auto"/>
                <w:kern w:val="0"/>
                <w:sz w:val="24"/>
                <w:lang w:bidi="ar"/>
              </w:rPr>
              <w:t>4-3</w:t>
            </w:r>
            <w:r>
              <w:rPr>
                <w:color w:val="auto"/>
                <w:kern w:val="0"/>
                <w:sz w:val="24"/>
                <w:lang w:bidi="ar"/>
              </w:rPr>
              <w:t>所示。</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 </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①安排专人负责环保设备的日常维护和管理，每个指定时间检查、汇报情况，及时发现废气处理设备的隐患，确保废气处理系统正常运行； </w:t>
            </w:r>
          </w:p>
          <w:p>
            <w:pPr>
              <w:widowControl/>
              <w:spacing w:line="360" w:lineRule="auto"/>
              <w:ind w:firstLine="472" w:firstLineChars="200"/>
              <w:rPr>
                <w:color w:val="auto"/>
                <w:sz w:val="24"/>
              </w:rPr>
            </w:pPr>
            <w:r>
              <w:rPr>
                <w:rFonts w:hint="eastAsia" w:ascii="宋体" w:hAnsi="宋体" w:cs="宋体"/>
                <w:color w:val="auto"/>
                <w:kern w:val="0"/>
                <w:sz w:val="24"/>
                <w:lang w:bidi="ar"/>
              </w:rPr>
              <w:t>②定期更换布袋、活性炭，布袋一年更换一次；活性炭及时更换。</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③建立健全的环保管理机构，对环保管理人员和技术人员进行岗位培训，委托具有专业资质的环境检测单位对项目排放的各类污染物进行定期检测； </w:t>
            </w:r>
          </w:p>
          <w:p>
            <w:pPr>
              <w:widowControl/>
              <w:spacing w:line="360" w:lineRule="auto"/>
              <w:ind w:firstLine="472" w:firstLineChars="200"/>
              <w:rPr>
                <w:rFonts w:ascii="宋体" w:hAnsi="宋体" w:cs="宋体"/>
                <w:color w:val="auto"/>
                <w:kern w:val="0"/>
                <w:sz w:val="24"/>
                <w:lang w:bidi="ar"/>
              </w:rPr>
            </w:pPr>
            <w:r>
              <w:rPr>
                <w:rFonts w:hint="eastAsia" w:ascii="宋体" w:hAnsi="宋体" w:cs="宋体"/>
                <w:color w:val="auto"/>
                <w:kern w:val="0"/>
                <w:sz w:val="24"/>
                <w:lang w:bidi="ar"/>
              </w:rPr>
              <w:t>④应定期维护、检修废气净化</w:t>
            </w:r>
            <w:r>
              <w:rPr>
                <w:rFonts w:hint="eastAsia"/>
                <w:color w:val="auto"/>
                <w:sz w:val="24"/>
                <w:shd w:val="clear" w:color="auto" w:fill="FFFFFF"/>
              </w:rPr>
              <w:t>设备</w:t>
            </w:r>
            <w:r>
              <w:rPr>
                <w:rFonts w:hint="eastAsia" w:ascii="宋体" w:hAnsi="宋体" w:cs="宋体"/>
                <w:color w:val="auto"/>
                <w:kern w:val="0"/>
                <w:sz w:val="24"/>
                <w:lang w:bidi="ar"/>
              </w:rPr>
              <w:t>，以保持废气处理</w:t>
            </w:r>
            <w:r>
              <w:rPr>
                <w:rFonts w:hint="eastAsia"/>
                <w:color w:val="auto"/>
                <w:sz w:val="24"/>
                <w:shd w:val="clear" w:color="auto" w:fill="FFFFFF"/>
              </w:rPr>
              <w:t>设备</w:t>
            </w:r>
            <w:r>
              <w:rPr>
                <w:rFonts w:hint="eastAsia" w:ascii="宋体" w:hAnsi="宋体" w:cs="宋体"/>
                <w:color w:val="auto"/>
                <w:kern w:val="0"/>
                <w:sz w:val="24"/>
                <w:lang w:bidi="ar"/>
              </w:rPr>
              <w:t xml:space="preserve">的净化能力和净化容量。 </w:t>
            </w:r>
          </w:p>
          <w:p>
            <w:pPr>
              <w:spacing w:line="360" w:lineRule="auto"/>
              <w:ind w:firstLine="472" w:firstLineChars="200"/>
              <w:rPr>
                <w:b/>
                <w:bCs/>
                <w:color w:val="auto"/>
                <w:sz w:val="24"/>
              </w:rPr>
            </w:pPr>
            <w:r>
              <w:rPr>
                <w:rFonts w:hint="eastAsia"/>
                <w:b/>
                <w:bCs/>
                <w:color w:val="auto"/>
                <w:sz w:val="24"/>
              </w:rPr>
              <w:t>2、排放口基本情况</w:t>
            </w:r>
          </w:p>
          <w:p>
            <w:pPr>
              <w:spacing w:line="360" w:lineRule="auto"/>
              <w:ind w:firstLine="472" w:firstLineChars="200"/>
              <w:rPr>
                <w:b/>
                <w:color w:val="auto"/>
              </w:rPr>
            </w:pPr>
            <w:r>
              <w:rPr>
                <w:rFonts w:hint="eastAsia" w:hAnsi="宋体"/>
                <w:color w:val="auto"/>
                <w:sz w:val="24"/>
                <w:szCs w:val="24"/>
              </w:rPr>
              <w:t>项目排放口基本情况见表4-5。</w:t>
            </w:r>
          </w:p>
          <w:p>
            <w:pPr>
              <w:pStyle w:val="32"/>
              <w:ind w:left="560" w:firstLine="0" w:firstLineChars="0"/>
              <w:jc w:val="center"/>
              <w:rPr>
                <w:b/>
                <w:color w:val="auto"/>
              </w:rPr>
            </w:pPr>
          </w:p>
          <w:p>
            <w:pPr>
              <w:pStyle w:val="32"/>
              <w:ind w:left="560" w:firstLine="0" w:firstLineChars="0"/>
              <w:jc w:val="center"/>
              <w:rPr>
                <w:b/>
                <w:color w:val="auto"/>
              </w:rPr>
            </w:pPr>
          </w:p>
          <w:p>
            <w:pPr>
              <w:pStyle w:val="32"/>
              <w:ind w:left="560" w:firstLine="0" w:firstLineChars="0"/>
              <w:jc w:val="center"/>
              <w:rPr>
                <w:b/>
                <w:color w:val="auto"/>
              </w:rPr>
            </w:pPr>
            <w:r>
              <w:rPr>
                <w:rFonts w:hint="eastAsia"/>
                <w:b/>
                <w:color w:val="auto"/>
              </w:rPr>
              <w:t>表4-5项目排放口基本情况表</w:t>
            </w:r>
          </w:p>
          <w:tbl>
            <w:tblPr>
              <w:tblStyle w:val="19"/>
              <w:tblW w:w="481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33"/>
              <w:gridCol w:w="2794"/>
              <w:gridCol w:w="2690"/>
              <w:gridCol w:w="1701"/>
              <w:gridCol w:w="1399"/>
              <w:gridCol w:w="1197"/>
              <w:gridCol w:w="1118"/>
              <w:gridCol w:w="9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tblHeader/>
                <w:jc w:val="center"/>
              </w:trPr>
              <w:tc>
                <w:tcPr>
                  <w:tcW w:w="329" w:type="pct"/>
                  <w:vMerge w:val="restart"/>
                  <w:tcBorders>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编号</w:t>
                  </w:r>
                </w:p>
              </w:tc>
              <w:tc>
                <w:tcPr>
                  <w:tcW w:w="1102"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名称</w:t>
                  </w:r>
                </w:p>
              </w:tc>
              <w:tc>
                <w:tcPr>
                  <w:tcW w:w="1732" w:type="pct"/>
                  <w:gridSpan w:val="2"/>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排气筒底部中心坐标（m）</w:t>
                  </w:r>
                </w:p>
              </w:tc>
              <w:tc>
                <w:tcPr>
                  <w:tcW w:w="552"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排气筒高度/m</w:t>
                  </w:r>
                </w:p>
              </w:tc>
              <w:tc>
                <w:tcPr>
                  <w:tcW w:w="472"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排气筒出口内径</w:t>
                  </w:r>
                </w:p>
                <w:p>
                  <w:pPr>
                    <w:pStyle w:val="24"/>
                    <w:snapToGrid w:val="0"/>
                    <w:spacing w:line="300" w:lineRule="exact"/>
                    <w:jc w:val="center"/>
                    <w:rPr>
                      <w:color w:val="auto"/>
                      <w:spacing w:val="-10"/>
                      <w:sz w:val="21"/>
                      <w:szCs w:val="21"/>
                    </w:rPr>
                  </w:pPr>
                  <w:r>
                    <w:rPr>
                      <w:rFonts w:hint="eastAsia"/>
                      <w:color w:val="auto"/>
                      <w:spacing w:val="-10"/>
                      <w:sz w:val="21"/>
                      <w:szCs w:val="21"/>
                    </w:rPr>
                    <w:t>/m</w:t>
                  </w:r>
                </w:p>
              </w:tc>
              <w:tc>
                <w:tcPr>
                  <w:tcW w:w="441"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烟气流速/</w:t>
                  </w:r>
                </w:p>
                <w:p>
                  <w:pPr>
                    <w:pStyle w:val="24"/>
                    <w:snapToGrid w:val="0"/>
                    <w:spacing w:line="300" w:lineRule="exact"/>
                    <w:jc w:val="center"/>
                    <w:rPr>
                      <w:color w:val="auto"/>
                      <w:spacing w:val="-10"/>
                      <w:sz w:val="21"/>
                      <w:szCs w:val="21"/>
                    </w:rPr>
                  </w:pPr>
                  <w:r>
                    <w:rPr>
                      <w:rFonts w:hint="eastAsia"/>
                      <w:color w:val="auto"/>
                      <w:spacing w:val="-10"/>
                      <w:sz w:val="21"/>
                      <w:szCs w:val="21"/>
                    </w:rPr>
                    <w:t>（m/s）</w:t>
                  </w:r>
                </w:p>
              </w:tc>
              <w:tc>
                <w:tcPr>
                  <w:tcW w:w="370" w:type="pct"/>
                  <w:vMerge w:val="restart"/>
                  <w:tcBorders>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烟气温度</w:t>
                  </w:r>
                </w:p>
                <w:p>
                  <w:pPr>
                    <w:pStyle w:val="24"/>
                    <w:snapToGrid w:val="0"/>
                    <w:spacing w:line="300" w:lineRule="exact"/>
                    <w:jc w:val="center"/>
                    <w:rPr>
                      <w:color w:val="auto"/>
                      <w:spacing w:val="-10"/>
                      <w:sz w:val="21"/>
                      <w:szCs w:val="21"/>
                    </w:rPr>
                  </w:pPr>
                  <w:r>
                    <w:rPr>
                      <w:rFonts w:hint="eastAsia"/>
                      <w:color w:val="auto"/>
                      <w:spacing w:val="-1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blHeader/>
                <w:jc w:val="center"/>
              </w:trPr>
              <w:tc>
                <w:tcPr>
                  <w:tcW w:w="329" w:type="pct"/>
                  <w:vMerge w:val="continue"/>
                  <w:tcBorders>
                    <w:top w:val="nil"/>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1102"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经度</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纬度</w:t>
                  </w:r>
                </w:p>
              </w:tc>
              <w:tc>
                <w:tcPr>
                  <w:tcW w:w="552"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472"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441"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c>
                <w:tcPr>
                  <w:tcW w:w="370" w:type="pct"/>
                  <w:vMerge w:val="continue"/>
                  <w:tcBorders>
                    <w:top w:val="nil"/>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DA001</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切割、打孔、焊接工序排气筒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114.978728°E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36.330483°N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DA002</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天然气燃烧机排气筒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114.979887°E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36.330944°N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6.83</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80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DA003</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喷涂工序排气筒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114.979788°E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36.330937°N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0.6</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9.83</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DA004</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固化工序排气筒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114.979670°E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36.330950°N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0.6</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9.83</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DA005</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手动喷粉室排气筒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114.979954°E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36.330492°N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329" w:type="pct"/>
                  <w:tcBorders>
                    <w:top w:val="single" w:color="000000" w:sz="4" w:space="0"/>
                    <w:left w:val="nil"/>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DA006</w:t>
                  </w:r>
                </w:p>
              </w:tc>
              <w:tc>
                <w:tcPr>
                  <w:tcW w:w="110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z w:val="21"/>
                      <w:szCs w:val="21"/>
                    </w:rPr>
                    <w:t>手喷件固化烘箱排气筒</w:t>
                  </w:r>
                </w:p>
              </w:tc>
              <w:tc>
                <w:tcPr>
                  <w:tcW w:w="106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114.979466°E</w:t>
                  </w: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36.330479°N</w:t>
                  </w:r>
                </w:p>
              </w:tc>
              <w:tc>
                <w:tcPr>
                  <w:tcW w:w="55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15</w:t>
                  </w:r>
                </w:p>
              </w:tc>
              <w:tc>
                <w:tcPr>
                  <w:tcW w:w="472"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0.3</w:t>
                  </w:r>
                </w:p>
              </w:tc>
              <w:tc>
                <w:tcPr>
                  <w:tcW w:w="441"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19.66</w:t>
                  </w:r>
                </w:p>
              </w:tc>
              <w:tc>
                <w:tcPr>
                  <w:tcW w:w="370" w:type="pct"/>
                  <w:tcBorders>
                    <w:top w:val="single" w:color="000000" w:sz="4" w:space="0"/>
                    <w:left w:val="single" w:color="000000" w:sz="4" w:space="0"/>
                    <w:bottom w:val="single" w:color="000000" w:sz="4" w:space="0"/>
                    <w:right w:val="single" w:color="000000" w:sz="4" w:space="0"/>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50</w:t>
                  </w:r>
                </w:p>
              </w:tc>
            </w:tr>
          </w:tbl>
          <w:p>
            <w:pPr>
              <w:spacing w:line="360" w:lineRule="auto"/>
              <w:ind w:firstLine="472" w:firstLineChars="200"/>
              <w:rPr>
                <w:b/>
                <w:bCs/>
                <w:color w:val="auto"/>
                <w:sz w:val="24"/>
              </w:rPr>
            </w:pPr>
            <w:r>
              <w:rPr>
                <w:rFonts w:hint="eastAsia"/>
                <w:b/>
                <w:bCs/>
                <w:color w:val="auto"/>
                <w:sz w:val="24"/>
              </w:rPr>
              <w:t>3、监测要求</w:t>
            </w:r>
          </w:p>
          <w:p>
            <w:pPr>
              <w:spacing w:line="360" w:lineRule="auto"/>
              <w:ind w:firstLine="472" w:firstLineChars="200"/>
              <w:rPr>
                <w:b/>
                <w:color w:val="auto"/>
              </w:rPr>
            </w:pPr>
            <w:r>
              <w:rPr>
                <w:rFonts w:hint="eastAsia" w:hAnsi="宋体"/>
                <w:color w:val="auto"/>
                <w:sz w:val="24"/>
                <w:szCs w:val="24"/>
              </w:rPr>
              <w:t>环境监测是环境保护的基础，是进行污染治理和监督管理的依据，根据《排污许可证申请与核发技术规范——铁路、船舶、航空航天和其他运输设备制造业》（HJ1124—2020）附录A表面处理（涂装）排污单位和《排污许可证申请与核发技术规范——总则》（HJ942—2018）要求和本项目污染物排放情况，根据本项目运行特征和污染物排放特征，制定以下监测方案，污染源监测因子、监测频率及取样位置见表4-6。</w:t>
            </w:r>
          </w:p>
          <w:p>
            <w:pPr>
              <w:pStyle w:val="32"/>
              <w:ind w:left="560" w:firstLine="0" w:firstLineChars="0"/>
              <w:jc w:val="center"/>
              <w:rPr>
                <w:b/>
                <w:color w:val="auto"/>
              </w:rPr>
            </w:pPr>
          </w:p>
          <w:p>
            <w:pPr>
              <w:pStyle w:val="32"/>
              <w:ind w:left="560" w:firstLine="0" w:firstLineChars="0"/>
              <w:jc w:val="center"/>
              <w:rPr>
                <w:b/>
                <w:color w:val="auto"/>
              </w:rPr>
            </w:pPr>
          </w:p>
          <w:p>
            <w:pPr>
              <w:pStyle w:val="32"/>
              <w:ind w:left="560" w:firstLine="0" w:firstLineChars="0"/>
              <w:jc w:val="center"/>
              <w:rPr>
                <w:b/>
                <w:color w:val="auto"/>
              </w:rPr>
            </w:pPr>
            <w:r>
              <w:rPr>
                <w:rFonts w:hint="eastAsia"/>
                <w:b/>
                <w:color w:val="auto"/>
              </w:rPr>
              <w:t>表4-6  项目废气监测要求一览表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856"/>
              <w:gridCol w:w="4618"/>
              <w:gridCol w:w="5135"/>
              <w:gridCol w:w="2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325"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w:t>
                  </w:r>
                </w:p>
              </w:tc>
              <w:tc>
                <w:tcPr>
                  <w:tcW w:w="1752"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点位名称</w:t>
                  </w:r>
                </w:p>
              </w:tc>
              <w:tc>
                <w:tcPr>
                  <w:tcW w:w="1948" w:type="pct"/>
                  <w:vAlign w:val="center"/>
                </w:tcPr>
                <w:p>
                  <w:pPr>
                    <w:spacing w:line="320" w:lineRule="exact"/>
                    <w:jc w:val="center"/>
                    <w:rPr>
                      <w:color w:val="auto"/>
                      <w:spacing w:val="-4"/>
                      <w:szCs w:val="21"/>
                    </w:rPr>
                  </w:pPr>
                  <w:r>
                    <w:rPr>
                      <w:color w:val="auto"/>
                      <w:spacing w:val="-4"/>
                      <w:szCs w:val="21"/>
                    </w:rPr>
                    <w:t>监测因子</w:t>
                  </w:r>
                </w:p>
              </w:tc>
              <w:tc>
                <w:tcPr>
                  <w:tcW w:w="974" w:type="pct"/>
                  <w:vAlign w:val="center"/>
                </w:tcPr>
                <w:p>
                  <w:pPr>
                    <w:spacing w:line="320" w:lineRule="exact"/>
                    <w:jc w:val="center"/>
                    <w:rPr>
                      <w:color w:val="auto"/>
                      <w:spacing w:val="-4"/>
                      <w:szCs w:val="21"/>
                    </w:rPr>
                  </w:pPr>
                  <w:r>
                    <w:rPr>
                      <w:color w:val="auto"/>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4"/>
                      <w:szCs w:val="21"/>
                    </w:rPr>
                  </w:pPr>
                  <w:r>
                    <w:rPr>
                      <w:rFonts w:hint="eastAsia"/>
                      <w:color w:val="auto"/>
                      <w:spacing w:val="-10"/>
                      <w:sz w:val="21"/>
                      <w:szCs w:val="21"/>
                    </w:rPr>
                    <w:t>DA001</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切割、打孔、焊接工序排气筒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DA002</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天然气燃烧机排气筒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颗粒物、SO</w:t>
                  </w:r>
                  <w:r>
                    <w:rPr>
                      <w:rFonts w:hint="eastAsia"/>
                      <w:color w:val="auto"/>
                      <w:spacing w:val="-10"/>
                      <w:sz w:val="21"/>
                      <w:szCs w:val="21"/>
                      <w:vertAlign w:val="subscript"/>
                    </w:rPr>
                    <w:t>2</w:t>
                  </w:r>
                  <w:r>
                    <w:rPr>
                      <w:rFonts w:hint="eastAsia"/>
                      <w:color w:val="auto"/>
                      <w:spacing w:val="-10"/>
                      <w:sz w:val="21"/>
                      <w:szCs w:val="21"/>
                    </w:rPr>
                    <w:t>、NO</w:t>
                  </w:r>
                  <w:r>
                    <w:rPr>
                      <w:rFonts w:hint="eastAsia"/>
                      <w:color w:val="auto"/>
                      <w:spacing w:val="-10"/>
                      <w:sz w:val="21"/>
                      <w:szCs w:val="21"/>
                      <w:vertAlign w:val="subscript"/>
                    </w:rPr>
                    <w:t>X</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DA003</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喷涂工序排气筒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DA004</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固化工序排气筒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DA005</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手动喷粉室排气筒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856"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DA006</w:t>
                  </w:r>
                </w:p>
              </w:tc>
              <w:tc>
                <w:tcPr>
                  <w:tcW w:w="4618"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手喷件固化烘箱排气筒</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非甲烷总铜</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2077" w:type="pct"/>
                  <w:gridSpan w:val="2"/>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厂界</w:t>
                  </w:r>
                </w:p>
              </w:tc>
              <w:tc>
                <w:tcPr>
                  <w:tcW w:w="1948"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颗粒物、非甲烷总烃</w:t>
                  </w:r>
                </w:p>
              </w:tc>
              <w:tc>
                <w:tcPr>
                  <w:tcW w:w="2631" w:type="dxa"/>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1次/年</w:t>
                  </w:r>
                </w:p>
              </w:tc>
            </w:tr>
          </w:tbl>
          <w:p>
            <w:pPr>
              <w:spacing w:line="360" w:lineRule="auto"/>
              <w:ind w:firstLine="472" w:firstLineChars="200"/>
              <w:rPr>
                <w:b/>
                <w:bCs/>
                <w:color w:val="auto"/>
                <w:sz w:val="24"/>
              </w:rPr>
            </w:pPr>
            <w:r>
              <w:rPr>
                <w:rFonts w:hint="eastAsia"/>
                <w:b/>
                <w:bCs/>
                <w:color w:val="auto"/>
                <w:sz w:val="24"/>
              </w:rPr>
              <w:t>4、达标排放情况</w:t>
            </w:r>
          </w:p>
          <w:p>
            <w:pPr>
              <w:spacing w:line="360" w:lineRule="auto"/>
              <w:ind w:firstLine="472" w:firstLineChars="200"/>
              <w:rPr>
                <w:color w:val="auto"/>
                <w:sz w:val="24"/>
              </w:rPr>
            </w:pPr>
            <w:r>
              <w:rPr>
                <w:rFonts w:hint="eastAsia"/>
                <w:color w:val="auto"/>
                <w:sz w:val="24"/>
              </w:rPr>
              <w:t>本项目</w:t>
            </w:r>
            <w:r>
              <w:rPr>
                <w:rFonts w:hAnsiTheme="minorEastAsia" w:eastAsiaTheme="minorEastAsia"/>
                <w:color w:val="auto"/>
                <w:kern w:val="1"/>
                <w:sz w:val="24"/>
                <w:szCs w:val="22"/>
              </w:rPr>
              <w:t>废气</w:t>
            </w:r>
            <w:r>
              <w:rPr>
                <w:rFonts w:hint="eastAsia" w:eastAsiaTheme="minorEastAsia"/>
                <w:color w:val="auto"/>
                <w:sz w:val="24"/>
              </w:rPr>
              <w:t>达标排放情况</w:t>
            </w:r>
            <w:r>
              <w:rPr>
                <w:rFonts w:hint="eastAsia"/>
                <w:color w:val="auto"/>
                <w:sz w:val="24"/>
              </w:rPr>
              <w:t>见表4-7和表4-8。</w:t>
            </w:r>
          </w:p>
          <w:p>
            <w:pPr>
              <w:spacing w:line="360" w:lineRule="auto"/>
              <w:jc w:val="center"/>
              <w:rPr>
                <w:b/>
                <w:color w:val="auto"/>
                <w:sz w:val="24"/>
              </w:rPr>
            </w:pPr>
            <w:r>
              <w:rPr>
                <w:b/>
                <w:color w:val="auto"/>
                <w:sz w:val="24"/>
              </w:rPr>
              <w:t>表</w:t>
            </w:r>
            <w:r>
              <w:rPr>
                <w:rFonts w:hint="eastAsia"/>
                <w:b/>
                <w:color w:val="auto"/>
                <w:sz w:val="24"/>
              </w:rPr>
              <w:t xml:space="preserve">4-7 </w:t>
            </w:r>
            <w:r>
              <w:rPr>
                <w:b/>
                <w:color w:val="auto"/>
                <w:sz w:val="24"/>
              </w:rPr>
              <w:t>项目</w:t>
            </w:r>
            <w:r>
              <w:rPr>
                <w:rFonts w:hint="eastAsia"/>
                <w:b/>
                <w:color w:val="auto"/>
                <w:sz w:val="24"/>
              </w:rPr>
              <w:t>有组织</w:t>
            </w:r>
            <w:r>
              <w:rPr>
                <w:b/>
                <w:color w:val="auto"/>
                <w:sz w:val="24"/>
              </w:rPr>
              <w:t>废气</w:t>
            </w:r>
            <w:r>
              <w:rPr>
                <w:rFonts w:hint="eastAsia"/>
                <w:b/>
                <w:color w:val="auto"/>
                <w:sz w:val="24"/>
              </w:rPr>
              <w:t>达标排放情况一览表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937"/>
              <w:gridCol w:w="1680"/>
              <w:gridCol w:w="1413"/>
              <w:gridCol w:w="1318"/>
              <w:gridCol w:w="1382"/>
              <w:gridCol w:w="1289"/>
              <w:gridCol w:w="1316"/>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05"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排放口编号</w:t>
                  </w:r>
                </w:p>
              </w:tc>
              <w:tc>
                <w:tcPr>
                  <w:tcW w:w="111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排放口名称</w:t>
                  </w:r>
                </w:p>
              </w:tc>
              <w:tc>
                <w:tcPr>
                  <w:tcW w:w="637"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污染物种类</w:t>
                  </w:r>
                </w:p>
              </w:tc>
              <w:tc>
                <w:tcPr>
                  <w:tcW w:w="536"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500"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核算排放浓度</w:t>
                  </w:r>
                  <w:r>
                    <w:rPr>
                      <w:color w:val="auto"/>
                      <w:spacing w:val="-4"/>
                      <w:szCs w:val="21"/>
                    </w:rPr>
                    <w:t>（mg/m</w:t>
                  </w:r>
                  <w:r>
                    <w:rPr>
                      <w:color w:val="auto"/>
                      <w:spacing w:val="-4"/>
                      <w:szCs w:val="21"/>
                      <w:vertAlign w:val="superscript"/>
                    </w:rPr>
                    <w:t>3</w:t>
                  </w:r>
                  <w:r>
                    <w:rPr>
                      <w:color w:val="auto"/>
                      <w:spacing w:val="-4"/>
                      <w:szCs w:val="21"/>
                    </w:rPr>
                    <w:t>）</w:t>
                  </w:r>
                </w:p>
              </w:tc>
              <w:tc>
                <w:tcPr>
                  <w:tcW w:w="524"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核算排放速率</w:t>
                  </w:r>
                  <w:r>
                    <w:rPr>
                      <w:color w:val="auto"/>
                      <w:spacing w:val="-4"/>
                      <w:szCs w:val="21"/>
                    </w:rPr>
                    <w:t>（kg/h）</w:t>
                  </w:r>
                </w:p>
              </w:tc>
              <w:tc>
                <w:tcPr>
                  <w:tcW w:w="988" w:type="pct"/>
                  <w:gridSpan w:val="2"/>
                  <w:tcBorders>
                    <w:tl2br w:val="nil"/>
                    <w:tr2bl w:val="nil"/>
                  </w:tcBorders>
                  <w:vAlign w:val="center"/>
                </w:tcPr>
                <w:p>
                  <w:pPr>
                    <w:spacing w:line="320" w:lineRule="exact"/>
                    <w:jc w:val="center"/>
                    <w:rPr>
                      <w:color w:val="auto"/>
                      <w:spacing w:val="-4"/>
                      <w:szCs w:val="21"/>
                    </w:rPr>
                  </w:pPr>
                  <w:r>
                    <w:rPr>
                      <w:rFonts w:hint="eastAsia"/>
                      <w:color w:val="auto"/>
                      <w:spacing w:val="-4"/>
                      <w:szCs w:val="21"/>
                    </w:rPr>
                    <w:t>标准限值·</w:t>
                  </w:r>
                </w:p>
              </w:tc>
              <w:tc>
                <w:tcPr>
                  <w:tcW w:w="393"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5" w:type="pct"/>
                  <w:vMerge w:val="continue"/>
                  <w:tcBorders>
                    <w:tl2br w:val="nil"/>
                    <w:tr2bl w:val="nil"/>
                  </w:tcBorders>
                  <w:vAlign w:val="center"/>
                </w:tcPr>
                <w:p>
                  <w:pPr>
                    <w:spacing w:line="320" w:lineRule="exact"/>
                    <w:jc w:val="center"/>
                    <w:rPr>
                      <w:color w:val="auto"/>
                      <w:spacing w:val="-4"/>
                      <w:szCs w:val="21"/>
                    </w:rPr>
                  </w:pPr>
                </w:p>
              </w:tc>
              <w:tc>
                <w:tcPr>
                  <w:tcW w:w="1114" w:type="pct"/>
                  <w:vMerge w:val="continue"/>
                  <w:tcBorders>
                    <w:tl2br w:val="nil"/>
                    <w:tr2bl w:val="nil"/>
                  </w:tcBorders>
                  <w:vAlign w:val="center"/>
                </w:tcPr>
                <w:p>
                  <w:pPr>
                    <w:spacing w:line="320" w:lineRule="exact"/>
                    <w:jc w:val="center"/>
                    <w:rPr>
                      <w:color w:val="auto"/>
                      <w:spacing w:val="-4"/>
                      <w:szCs w:val="21"/>
                    </w:rPr>
                  </w:pPr>
                </w:p>
              </w:tc>
              <w:tc>
                <w:tcPr>
                  <w:tcW w:w="637" w:type="pct"/>
                  <w:vMerge w:val="continue"/>
                  <w:tcBorders>
                    <w:tl2br w:val="nil"/>
                    <w:tr2bl w:val="nil"/>
                  </w:tcBorders>
                  <w:vAlign w:val="center"/>
                </w:tcPr>
                <w:p>
                  <w:pPr>
                    <w:spacing w:line="320" w:lineRule="exact"/>
                    <w:jc w:val="center"/>
                    <w:rPr>
                      <w:color w:val="auto"/>
                      <w:spacing w:val="-4"/>
                      <w:szCs w:val="21"/>
                    </w:rPr>
                  </w:pPr>
                </w:p>
              </w:tc>
              <w:tc>
                <w:tcPr>
                  <w:tcW w:w="536" w:type="pct"/>
                  <w:vMerge w:val="continue"/>
                  <w:tcBorders>
                    <w:tl2br w:val="nil"/>
                    <w:tr2bl w:val="nil"/>
                  </w:tcBorders>
                  <w:vAlign w:val="center"/>
                </w:tcPr>
                <w:p>
                  <w:pPr>
                    <w:spacing w:line="320" w:lineRule="exact"/>
                    <w:jc w:val="center"/>
                    <w:rPr>
                      <w:color w:val="auto"/>
                      <w:spacing w:val="-4"/>
                      <w:szCs w:val="21"/>
                    </w:rPr>
                  </w:pPr>
                </w:p>
              </w:tc>
              <w:tc>
                <w:tcPr>
                  <w:tcW w:w="500" w:type="pct"/>
                  <w:vMerge w:val="continue"/>
                  <w:tcBorders>
                    <w:tl2br w:val="nil"/>
                    <w:tr2bl w:val="nil"/>
                  </w:tcBorders>
                  <w:vAlign w:val="center"/>
                </w:tcPr>
                <w:p>
                  <w:pPr>
                    <w:spacing w:line="320" w:lineRule="exact"/>
                    <w:jc w:val="center"/>
                    <w:rPr>
                      <w:color w:val="auto"/>
                      <w:spacing w:val="-4"/>
                      <w:szCs w:val="21"/>
                    </w:rPr>
                  </w:pPr>
                </w:p>
              </w:tc>
              <w:tc>
                <w:tcPr>
                  <w:tcW w:w="524" w:type="pct"/>
                  <w:vMerge w:val="continue"/>
                  <w:tcBorders>
                    <w:tl2br w:val="nil"/>
                    <w:tr2bl w:val="nil"/>
                  </w:tcBorders>
                  <w:vAlign w:val="center"/>
                </w:tcPr>
                <w:p>
                  <w:pPr>
                    <w:spacing w:line="320" w:lineRule="exact"/>
                    <w:jc w:val="center"/>
                    <w:rPr>
                      <w:color w:val="auto"/>
                      <w:spacing w:val="-4"/>
                      <w:szCs w:val="21"/>
                    </w:rPr>
                  </w:pPr>
                </w:p>
              </w:tc>
              <w:tc>
                <w:tcPr>
                  <w:tcW w:w="489" w:type="pct"/>
                  <w:tcBorders>
                    <w:tl2br w:val="nil"/>
                    <w:tr2bl w:val="nil"/>
                  </w:tcBorders>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499" w:type="pct"/>
                  <w:tcBorders>
                    <w:tl2br w:val="nil"/>
                    <w:tr2bl w:val="nil"/>
                  </w:tcBorders>
                </w:tcPr>
                <w:p>
                  <w:pPr>
                    <w:spacing w:line="320" w:lineRule="exact"/>
                    <w:jc w:val="center"/>
                    <w:rPr>
                      <w:color w:val="auto"/>
                      <w:spacing w:val="-4"/>
                      <w:szCs w:val="21"/>
                    </w:rPr>
                  </w:pPr>
                  <w:r>
                    <w:rPr>
                      <w:color w:val="auto"/>
                      <w:spacing w:val="-4"/>
                      <w:szCs w:val="21"/>
                    </w:rPr>
                    <w:t>速率限值</w:t>
                  </w:r>
                </w:p>
                <w:p>
                  <w:pPr>
                    <w:spacing w:line="320" w:lineRule="exact"/>
                    <w:jc w:val="center"/>
                    <w:rPr>
                      <w:color w:val="auto"/>
                      <w:spacing w:val="-4"/>
                      <w:szCs w:val="21"/>
                    </w:rPr>
                  </w:pPr>
                  <w:r>
                    <w:rPr>
                      <w:color w:val="auto"/>
                      <w:spacing w:val="-4"/>
                      <w:szCs w:val="21"/>
                    </w:rPr>
                    <w:t>（kg/h）</w:t>
                  </w:r>
                </w:p>
              </w:tc>
              <w:tc>
                <w:tcPr>
                  <w:tcW w:w="393" w:type="pct"/>
                  <w:vMerge w:val="continue"/>
                  <w:tcBorders>
                    <w:tl2br w:val="nil"/>
                    <w:tr2bl w:val="nil"/>
                  </w:tcBorders>
                  <w:vAlign w:val="center"/>
                </w:tcPr>
                <w:p>
                  <w:pPr>
                    <w:spacing w:line="320" w:lineRule="exact"/>
                    <w:jc w:val="center"/>
                    <w:rPr>
                      <w:color w:val="auto"/>
                      <w:spacing w:val="-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21"/>
                      <w:szCs w:val="21"/>
                    </w:rPr>
                    <w:t>DA001</w:t>
                  </w:r>
                </w:p>
              </w:tc>
              <w:tc>
                <w:tcPr>
                  <w:tcW w:w="1114" w:type="pct"/>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21"/>
                      <w:szCs w:val="21"/>
                    </w:rPr>
                    <w:t>切割、打孔、焊接工序排气筒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21"/>
                      <w:szCs w:val="21"/>
                      <w:highlight w:val="yellow"/>
                    </w:rPr>
                  </w:pPr>
                  <w:r>
                    <w:rPr>
                      <w:rFonts w:hint="eastAsia"/>
                      <w:color w:val="auto"/>
                      <w:spacing w:val="-10"/>
                      <w:sz w:val="18"/>
                      <w:szCs w:val="18"/>
                    </w:rPr>
                    <w:t>0.0289</w:t>
                  </w:r>
                </w:p>
              </w:tc>
              <w:tc>
                <w:tcPr>
                  <w:tcW w:w="1318" w:type="dxa"/>
                  <w:tcBorders>
                    <w:tl2br w:val="nil"/>
                    <w:tr2bl w:val="nil"/>
                  </w:tcBorders>
                  <w:vAlign w:val="center"/>
                </w:tcPr>
                <w:p>
                  <w:pPr>
                    <w:pStyle w:val="24"/>
                    <w:snapToGrid w:val="0"/>
                    <w:spacing w:line="300" w:lineRule="exact"/>
                    <w:jc w:val="center"/>
                    <w:rPr>
                      <w:color w:val="auto"/>
                      <w:spacing w:val="-10"/>
                      <w:sz w:val="21"/>
                      <w:szCs w:val="21"/>
                      <w:highlight w:val="yellow"/>
                    </w:rPr>
                  </w:pPr>
                  <w:r>
                    <w:rPr>
                      <w:rFonts w:hint="eastAsia"/>
                      <w:color w:val="auto"/>
                      <w:spacing w:val="-10"/>
                      <w:sz w:val="18"/>
                      <w:szCs w:val="18"/>
                    </w:rPr>
                    <w:t>2.40</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0.012</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0.0289</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3.5</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05" w:type="pct"/>
                  <w:vMerge w:val="restar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DA002</w:t>
                  </w:r>
                </w:p>
              </w:tc>
              <w:tc>
                <w:tcPr>
                  <w:tcW w:w="1114" w:type="pct"/>
                  <w:vMerge w:val="restar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天然气燃烧机排气筒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0.029</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20.7</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0.036</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lang w:val="en-US" w:eastAsia="zh-CN"/>
                    </w:rPr>
                    <w:t>0.029</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393"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05" w:type="pct"/>
                  <w:vMerge w:val="continue"/>
                  <w:tcBorders>
                    <w:tl2br w:val="nil"/>
                    <w:tr2bl w:val="nil"/>
                  </w:tcBorders>
                  <w:vAlign w:val="center"/>
                </w:tcPr>
                <w:p>
                  <w:pPr>
                    <w:spacing w:line="320" w:lineRule="exact"/>
                    <w:jc w:val="center"/>
                    <w:rPr>
                      <w:color w:val="auto"/>
                    </w:rPr>
                  </w:pPr>
                </w:p>
              </w:tc>
              <w:tc>
                <w:tcPr>
                  <w:tcW w:w="1114" w:type="pct"/>
                  <w:vMerge w:val="continue"/>
                  <w:tcBorders>
                    <w:tl2br w:val="nil"/>
                    <w:tr2bl w:val="nil"/>
                  </w:tcBorders>
                  <w:vAlign w:val="center"/>
                </w:tcPr>
                <w:p>
                  <w:pPr>
                    <w:spacing w:line="320" w:lineRule="exact"/>
                    <w:jc w:val="center"/>
                    <w:rPr>
                      <w:color w:val="auto"/>
                    </w:rPr>
                  </w:pPr>
                </w:p>
              </w:tc>
              <w:tc>
                <w:tcPr>
                  <w:tcW w:w="637"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SO</w:t>
                  </w:r>
                  <w:r>
                    <w:rPr>
                      <w:rFonts w:hint="eastAsia"/>
                      <w:color w:val="auto"/>
                      <w:spacing w:val="-10"/>
                      <w:szCs w:val="21"/>
                      <w:vertAlign w:val="subscript"/>
                    </w:rPr>
                    <w:t>2</w:t>
                  </w:r>
                </w:p>
              </w:tc>
              <w:tc>
                <w:tcPr>
                  <w:tcW w:w="1413"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0.008</w:t>
                  </w:r>
                </w:p>
              </w:tc>
              <w:tc>
                <w:tcPr>
                  <w:tcW w:w="1318"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5.76</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0.01</w:t>
                  </w:r>
                </w:p>
              </w:tc>
              <w:tc>
                <w:tcPr>
                  <w:tcW w:w="1289" w:type="dxa"/>
                  <w:tcBorders>
                    <w:tl2br w:val="nil"/>
                    <w:tr2bl w:val="nil"/>
                  </w:tcBorders>
                  <w:vAlign w:val="center"/>
                </w:tcPr>
                <w:p>
                  <w:pPr>
                    <w:pStyle w:val="24"/>
                    <w:snapToGrid w:val="0"/>
                    <w:spacing w:line="300" w:lineRule="exact"/>
                    <w:jc w:val="center"/>
                    <w:rPr>
                      <w:color w:val="auto"/>
                      <w:spacing w:val="-10"/>
                      <w:szCs w:val="21"/>
                    </w:rPr>
                  </w:pPr>
                  <w:r>
                    <w:rPr>
                      <w:rFonts w:hint="eastAsia"/>
                      <w:color w:val="auto"/>
                      <w:spacing w:val="-10"/>
                      <w:sz w:val="18"/>
                      <w:szCs w:val="18"/>
                      <w:lang w:val="en-US" w:eastAsia="zh-CN"/>
                    </w:rPr>
                    <w:t>0.008</w:t>
                  </w:r>
                </w:p>
              </w:tc>
              <w:tc>
                <w:tcPr>
                  <w:tcW w:w="499"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w:t>
                  </w:r>
                </w:p>
              </w:tc>
              <w:tc>
                <w:tcPr>
                  <w:tcW w:w="1037" w:type="dxa"/>
                  <w:tcBorders>
                    <w:tl2br w:val="nil"/>
                    <w:tr2bl w:val="nil"/>
                  </w:tcBorders>
                  <w:vAlign w:val="center"/>
                </w:tcPr>
                <w:p>
                  <w:pPr>
                    <w:spacing w:line="320" w:lineRule="exact"/>
                    <w:jc w:val="center"/>
                    <w:rPr>
                      <w:color w:val="auto"/>
                      <w:spacing w:val="-10"/>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05" w:type="pct"/>
                  <w:vMerge w:val="continue"/>
                  <w:tcBorders>
                    <w:tl2br w:val="nil"/>
                    <w:tr2bl w:val="nil"/>
                  </w:tcBorders>
                  <w:vAlign w:val="center"/>
                </w:tcPr>
                <w:p>
                  <w:pPr>
                    <w:spacing w:line="320" w:lineRule="exact"/>
                    <w:jc w:val="center"/>
                    <w:rPr>
                      <w:color w:val="auto"/>
                      <w:spacing w:val="-10"/>
                      <w:szCs w:val="21"/>
                    </w:rPr>
                  </w:pPr>
                </w:p>
              </w:tc>
              <w:tc>
                <w:tcPr>
                  <w:tcW w:w="1114" w:type="pct"/>
                  <w:vMerge w:val="continue"/>
                  <w:tcBorders>
                    <w:tl2br w:val="nil"/>
                    <w:tr2bl w:val="nil"/>
                  </w:tcBorders>
                  <w:vAlign w:val="center"/>
                </w:tcPr>
                <w:p>
                  <w:pPr>
                    <w:spacing w:line="320" w:lineRule="exact"/>
                    <w:jc w:val="center"/>
                    <w:rPr>
                      <w:color w:val="auto"/>
                      <w:spacing w:val="-10"/>
                      <w:szCs w:val="21"/>
                    </w:rPr>
                  </w:pPr>
                </w:p>
              </w:tc>
              <w:tc>
                <w:tcPr>
                  <w:tcW w:w="637"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NO</w:t>
                  </w:r>
                  <w:r>
                    <w:rPr>
                      <w:rFonts w:hint="eastAsia"/>
                      <w:color w:val="auto"/>
                      <w:spacing w:val="-10"/>
                      <w:szCs w:val="21"/>
                      <w:vertAlign w:val="subscript"/>
                    </w:rPr>
                    <w:t>X</w:t>
                  </w:r>
                </w:p>
              </w:tc>
              <w:tc>
                <w:tcPr>
                  <w:tcW w:w="1413"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0.191</w:t>
                  </w:r>
                </w:p>
              </w:tc>
              <w:tc>
                <w:tcPr>
                  <w:tcW w:w="1318" w:type="dxa"/>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18"/>
                      <w:szCs w:val="18"/>
                      <w:lang w:val="en-US" w:eastAsia="zh-CN"/>
                    </w:rPr>
                    <w:t>137.7</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0.239</w:t>
                  </w:r>
                </w:p>
              </w:tc>
              <w:tc>
                <w:tcPr>
                  <w:tcW w:w="1289" w:type="dxa"/>
                  <w:tcBorders>
                    <w:tl2br w:val="nil"/>
                    <w:tr2bl w:val="nil"/>
                  </w:tcBorders>
                  <w:vAlign w:val="center"/>
                </w:tcPr>
                <w:p>
                  <w:pPr>
                    <w:pStyle w:val="24"/>
                    <w:snapToGrid w:val="0"/>
                    <w:spacing w:line="300" w:lineRule="exact"/>
                    <w:jc w:val="center"/>
                    <w:rPr>
                      <w:color w:val="auto"/>
                      <w:spacing w:val="-10"/>
                      <w:szCs w:val="21"/>
                    </w:rPr>
                  </w:pPr>
                  <w:r>
                    <w:rPr>
                      <w:rFonts w:hint="eastAsia"/>
                      <w:color w:val="auto"/>
                      <w:spacing w:val="-10"/>
                      <w:sz w:val="18"/>
                      <w:szCs w:val="18"/>
                      <w:lang w:val="en-US" w:eastAsia="zh-CN"/>
                    </w:rPr>
                    <w:t>0.191</w:t>
                  </w:r>
                </w:p>
              </w:tc>
              <w:tc>
                <w:tcPr>
                  <w:tcW w:w="499" w:type="pct"/>
                  <w:tcBorders>
                    <w:tl2br w:val="nil"/>
                    <w:tr2bl w:val="nil"/>
                  </w:tcBorders>
                  <w:vAlign w:val="center"/>
                </w:tcPr>
                <w:p>
                  <w:pPr>
                    <w:spacing w:line="320" w:lineRule="exact"/>
                    <w:jc w:val="center"/>
                    <w:rPr>
                      <w:color w:val="auto"/>
                      <w:spacing w:val="-10"/>
                      <w:szCs w:val="21"/>
                    </w:rPr>
                  </w:pPr>
                  <w:r>
                    <w:rPr>
                      <w:rFonts w:hint="eastAsia"/>
                      <w:color w:val="auto"/>
                      <w:spacing w:val="-10"/>
                      <w:szCs w:val="21"/>
                    </w:rPr>
                    <w:t>/</w:t>
                  </w:r>
                </w:p>
              </w:tc>
              <w:tc>
                <w:tcPr>
                  <w:tcW w:w="1037" w:type="dxa"/>
                  <w:tcBorders>
                    <w:tl2br w:val="nil"/>
                    <w:tr2bl w:val="nil"/>
                  </w:tcBorders>
                  <w:vAlign w:val="center"/>
                </w:tcPr>
                <w:p>
                  <w:pPr>
                    <w:spacing w:line="320" w:lineRule="exact"/>
                    <w:jc w:val="center"/>
                    <w:rPr>
                      <w:color w:val="auto"/>
                      <w:spacing w:val="-10"/>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DA003</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喷涂工序排气筒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0.081</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10.13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0.101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0.081</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0.51</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DA004</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固化工序排气筒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非甲烷总烃</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0.0656</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8.20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0.082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0.0656</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DA005</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手动喷粉室排气筒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颗粒物</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0.009</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2.25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0.011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0.009</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0.51</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DA006</w:t>
                  </w:r>
                </w:p>
              </w:tc>
              <w:tc>
                <w:tcPr>
                  <w:tcW w:w="1114"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手喷件固化烘箱排气筒</w:t>
                  </w:r>
                </w:p>
              </w:tc>
              <w:tc>
                <w:tcPr>
                  <w:tcW w:w="637" w:type="pct"/>
                  <w:tcBorders>
                    <w:tl2br w:val="nil"/>
                    <w:tr2bl w:val="nil"/>
                  </w:tcBorders>
                  <w:vAlign w:val="center"/>
                </w:tcPr>
                <w:p>
                  <w:pPr>
                    <w:pStyle w:val="24"/>
                    <w:snapToGrid w:val="0"/>
                    <w:spacing w:line="300" w:lineRule="exact"/>
                    <w:jc w:val="center"/>
                    <w:rPr>
                      <w:color w:val="auto"/>
                      <w:spacing w:val="-10"/>
                      <w:sz w:val="21"/>
                      <w:szCs w:val="21"/>
                    </w:rPr>
                  </w:pPr>
                  <w:r>
                    <w:rPr>
                      <w:rFonts w:hint="eastAsia"/>
                      <w:color w:val="auto"/>
                      <w:spacing w:val="-10"/>
                      <w:sz w:val="21"/>
                      <w:szCs w:val="21"/>
                    </w:rPr>
                    <w:t>非甲烷总铜</w:t>
                  </w:r>
                </w:p>
              </w:tc>
              <w:tc>
                <w:tcPr>
                  <w:tcW w:w="1413"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0.015</w:t>
                  </w:r>
                </w:p>
              </w:tc>
              <w:tc>
                <w:tcPr>
                  <w:tcW w:w="1318"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3.75 </w:t>
                  </w:r>
                </w:p>
              </w:tc>
              <w:tc>
                <w:tcPr>
                  <w:tcW w:w="1382"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lang w:val="en-US" w:eastAsia="zh-CN"/>
                    </w:rPr>
                    <w:t xml:space="preserve">0.019 </w:t>
                  </w:r>
                </w:p>
              </w:tc>
              <w:tc>
                <w:tcPr>
                  <w:tcW w:w="1289"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0.015</w:t>
                  </w:r>
                </w:p>
              </w:tc>
              <w:tc>
                <w:tcPr>
                  <w:tcW w:w="4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w:t>
                  </w:r>
                </w:p>
              </w:tc>
              <w:tc>
                <w:tcPr>
                  <w:tcW w:w="1037" w:type="dxa"/>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jc w:val="center"/>
              <w:rPr>
                <w:b/>
                <w:color w:val="auto"/>
                <w:sz w:val="24"/>
              </w:rPr>
            </w:pPr>
            <w:r>
              <w:rPr>
                <w:b/>
                <w:color w:val="auto"/>
                <w:sz w:val="24"/>
              </w:rPr>
              <w:t>表</w:t>
            </w:r>
            <w:r>
              <w:rPr>
                <w:rFonts w:hint="eastAsia"/>
                <w:b/>
                <w:color w:val="auto"/>
                <w:sz w:val="24"/>
              </w:rPr>
              <w:t>4-8</w:t>
            </w:r>
            <w:r>
              <w:rPr>
                <w:b/>
                <w:color w:val="auto"/>
                <w:sz w:val="24"/>
              </w:rPr>
              <w:t>项目</w:t>
            </w:r>
            <w:r>
              <w:rPr>
                <w:rFonts w:hint="eastAsia"/>
                <w:b/>
                <w:color w:val="auto"/>
                <w:sz w:val="24"/>
              </w:rPr>
              <w:t>无组织</w:t>
            </w:r>
            <w:r>
              <w:rPr>
                <w:b/>
                <w:color w:val="auto"/>
                <w:sz w:val="24"/>
              </w:rPr>
              <w:t>废气</w:t>
            </w:r>
            <w:r>
              <w:rPr>
                <w:rFonts w:hint="eastAsia"/>
                <w:b/>
                <w:color w:val="auto"/>
                <w:sz w:val="24"/>
              </w:rPr>
              <w:t>达标排放情况一览表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2004"/>
              <w:gridCol w:w="4656"/>
              <w:gridCol w:w="1556"/>
              <w:gridCol w:w="1424"/>
              <w:gridCol w:w="1139"/>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产物</w:t>
                  </w:r>
                </w:p>
                <w:p>
                  <w:pPr>
                    <w:spacing w:line="320" w:lineRule="exact"/>
                    <w:jc w:val="center"/>
                    <w:rPr>
                      <w:color w:val="auto"/>
                      <w:spacing w:val="-4"/>
                      <w:szCs w:val="21"/>
                    </w:rPr>
                  </w:pPr>
                  <w:r>
                    <w:rPr>
                      <w:rFonts w:hint="eastAsia"/>
                      <w:color w:val="auto"/>
                      <w:spacing w:val="-4"/>
                      <w:szCs w:val="21"/>
                    </w:rPr>
                    <w:t>环节</w:t>
                  </w: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污染物</w:t>
                  </w:r>
                </w:p>
              </w:tc>
              <w:tc>
                <w:tcPr>
                  <w:tcW w:w="1772"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主要污染物防治措施</w:t>
                  </w:r>
                </w:p>
              </w:tc>
              <w:tc>
                <w:tcPr>
                  <w:tcW w:w="596" w:type="pct"/>
                  <w:tcBorders>
                    <w:tl2br w:val="nil"/>
                    <w:tr2bl w:val="nil"/>
                  </w:tcBorders>
                  <w:vAlign w:val="center"/>
                </w:tcPr>
                <w:p>
                  <w:pPr>
                    <w:spacing w:line="320" w:lineRule="exact"/>
                    <w:jc w:val="center"/>
                    <w:rPr>
                      <w:color w:val="auto"/>
                      <w:spacing w:val="-4"/>
                      <w:szCs w:val="21"/>
                    </w:rPr>
                  </w:pPr>
                  <w:r>
                    <w:rPr>
                      <w:color w:val="auto"/>
                      <w:spacing w:val="-4"/>
                      <w:szCs w:val="21"/>
                    </w:rPr>
                    <w:t>浓度限值</w:t>
                  </w:r>
                </w:p>
                <w:p>
                  <w:pPr>
                    <w:spacing w:line="320" w:lineRule="exact"/>
                    <w:jc w:val="center"/>
                    <w:rPr>
                      <w:color w:val="auto"/>
                      <w:spacing w:val="-4"/>
                      <w:szCs w:val="21"/>
                    </w:rPr>
                  </w:pPr>
                  <w:r>
                    <w:rPr>
                      <w:color w:val="auto"/>
                      <w:spacing w:val="-4"/>
                      <w:szCs w:val="21"/>
                    </w:rPr>
                    <w:t>（mg/m</w:t>
                  </w:r>
                  <w:r>
                    <w:rPr>
                      <w:color w:val="auto"/>
                      <w:spacing w:val="-4"/>
                      <w:szCs w:val="21"/>
                      <w:vertAlign w:val="superscript"/>
                    </w:rPr>
                    <w:t>3</w:t>
                  </w:r>
                  <w:r>
                    <w:rPr>
                      <w:color w:val="auto"/>
                      <w:spacing w:val="-4"/>
                      <w:szCs w:val="21"/>
                    </w:rPr>
                    <w:t>）</w:t>
                  </w:r>
                </w:p>
              </w:tc>
              <w:tc>
                <w:tcPr>
                  <w:tcW w:w="54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核算年排放量</w:t>
                  </w:r>
                  <w:r>
                    <w:rPr>
                      <w:color w:val="auto"/>
                      <w:spacing w:val="-4"/>
                      <w:szCs w:val="21"/>
                    </w:rPr>
                    <w:t>（</w:t>
                  </w:r>
                  <w:r>
                    <w:rPr>
                      <w:rFonts w:hint="eastAsia"/>
                      <w:color w:val="auto"/>
                      <w:spacing w:val="-4"/>
                      <w:szCs w:val="21"/>
                    </w:rPr>
                    <w:t>t</w:t>
                  </w:r>
                  <w:r>
                    <w:rPr>
                      <w:color w:val="auto"/>
                      <w:spacing w:val="-4"/>
                      <w:szCs w:val="21"/>
                    </w:rPr>
                    <w:t>/</w:t>
                  </w:r>
                  <w:r>
                    <w:rPr>
                      <w:rFonts w:hint="eastAsia"/>
                      <w:color w:val="auto"/>
                      <w:spacing w:val="-4"/>
                      <w:szCs w:val="21"/>
                    </w:rPr>
                    <w:t>a）</w:t>
                  </w:r>
                </w:p>
              </w:tc>
              <w:tc>
                <w:tcPr>
                  <w:tcW w:w="3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排放浓度</w:t>
                  </w:r>
                  <w:r>
                    <w:rPr>
                      <w:color w:val="auto"/>
                      <w:spacing w:val="-4"/>
                      <w:szCs w:val="21"/>
                    </w:rPr>
                    <w:t>（mg/m</w:t>
                  </w:r>
                  <w:r>
                    <w:rPr>
                      <w:color w:val="auto"/>
                      <w:spacing w:val="-4"/>
                      <w:szCs w:val="21"/>
                      <w:vertAlign w:val="superscript"/>
                    </w:rPr>
                    <w:t>3</w:t>
                  </w:r>
                  <w:r>
                    <w:rPr>
                      <w:color w:val="auto"/>
                      <w:spacing w:val="-4"/>
                      <w:szCs w:val="21"/>
                    </w:rPr>
                    <w:t>）</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restart"/>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4"/>
                      <w:szCs w:val="21"/>
                    </w:rPr>
                    <w:t>生产车间</w:t>
                  </w: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颗粒物</w:t>
                  </w:r>
                </w:p>
              </w:tc>
              <w:tc>
                <w:tcPr>
                  <w:tcW w:w="1772" w:type="pct"/>
                  <w:vMerge w:val="restart"/>
                  <w:tcBorders>
                    <w:tl2br w:val="nil"/>
                    <w:tr2bl w:val="nil"/>
                  </w:tcBorders>
                  <w:vAlign w:val="center"/>
                </w:tcPr>
                <w:p>
                  <w:pPr>
                    <w:spacing w:line="320" w:lineRule="exact"/>
                    <w:jc w:val="center"/>
                    <w:rPr>
                      <w:color w:val="auto"/>
                      <w:spacing w:val="-4"/>
                      <w:szCs w:val="21"/>
                    </w:rPr>
                  </w:pPr>
                  <w:r>
                    <w:rPr>
                      <w:rFonts w:hint="eastAsia"/>
                      <w:color w:val="auto"/>
                      <w:spacing w:val="-4"/>
                      <w:szCs w:val="21"/>
                    </w:rPr>
                    <w:t>规范化在车间内操作，减少无组织气体的产生</w:t>
                  </w:r>
                </w:p>
              </w:tc>
              <w:tc>
                <w:tcPr>
                  <w:tcW w:w="5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1.0</w:t>
                  </w:r>
                </w:p>
              </w:tc>
              <w:tc>
                <w:tcPr>
                  <w:tcW w:w="1424"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0.3206</w:t>
                  </w:r>
                </w:p>
              </w:tc>
              <w:tc>
                <w:tcPr>
                  <w:tcW w:w="1044"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≤2.0</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continue"/>
                  <w:tcBorders>
                    <w:tl2br w:val="nil"/>
                    <w:tr2bl w:val="nil"/>
                  </w:tcBorders>
                  <w:vAlign w:val="center"/>
                </w:tcPr>
                <w:p>
                  <w:pPr>
                    <w:pStyle w:val="24"/>
                    <w:snapToGrid w:val="0"/>
                    <w:spacing w:line="300" w:lineRule="exact"/>
                    <w:jc w:val="center"/>
                    <w:rPr>
                      <w:color w:val="auto"/>
                      <w:spacing w:val="-4"/>
                      <w:szCs w:val="21"/>
                    </w:rPr>
                  </w:pPr>
                </w:p>
              </w:tc>
              <w:tc>
                <w:tcPr>
                  <w:tcW w:w="76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非甲烷总烃</w:t>
                  </w:r>
                </w:p>
              </w:tc>
              <w:tc>
                <w:tcPr>
                  <w:tcW w:w="1772" w:type="pct"/>
                  <w:vMerge w:val="continue"/>
                  <w:tcBorders>
                    <w:tl2br w:val="nil"/>
                    <w:tr2bl w:val="nil"/>
                  </w:tcBorders>
                  <w:vAlign w:val="center"/>
                </w:tcPr>
                <w:p>
                  <w:pPr>
                    <w:spacing w:line="320" w:lineRule="exact"/>
                    <w:jc w:val="center"/>
                    <w:rPr>
                      <w:color w:val="auto"/>
                      <w:spacing w:val="-4"/>
                      <w:szCs w:val="21"/>
                    </w:rPr>
                  </w:pPr>
                </w:p>
              </w:tc>
              <w:tc>
                <w:tcPr>
                  <w:tcW w:w="596"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2.0</w:t>
                  </w:r>
                </w:p>
              </w:tc>
              <w:tc>
                <w:tcPr>
                  <w:tcW w:w="1424" w:type="dxa"/>
                  <w:tcBorders>
                    <w:tl2br w:val="nil"/>
                    <w:tr2bl w:val="nil"/>
                  </w:tcBorders>
                  <w:vAlign w:val="center"/>
                </w:tcPr>
                <w:p>
                  <w:pPr>
                    <w:pStyle w:val="24"/>
                    <w:snapToGrid w:val="0"/>
                    <w:spacing w:line="300" w:lineRule="exact"/>
                    <w:jc w:val="center"/>
                    <w:rPr>
                      <w:color w:val="auto"/>
                      <w:spacing w:val="-4"/>
                      <w:szCs w:val="21"/>
                    </w:rPr>
                  </w:pPr>
                  <w:r>
                    <w:rPr>
                      <w:rFonts w:hint="eastAsia"/>
                      <w:color w:val="auto"/>
                      <w:spacing w:val="-10"/>
                      <w:sz w:val="18"/>
                      <w:szCs w:val="18"/>
                    </w:rPr>
                    <w:t>0.081</w:t>
                  </w:r>
                </w:p>
              </w:tc>
              <w:tc>
                <w:tcPr>
                  <w:tcW w:w="1044" w:type="dxa"/>
                  <w:tcBorders>
                    <w:tl2br w:val="nil"/>
                    <w:tr2bl w:val="nil"/>
                  </w:tcBorders>
                  <w:vAlign w:val="center"/>
                </w:tcPr>
                <w:p>
                  <w:pPr>
                    <w:pStyle w:val="24"/>
                    <w:snapToGrid w:val="0"/>
                    <w:spacing w:line="300" w:lineRule="exact"/>
                    <w:jc w:val="center"/>
                    <w:rPr>
                      <w:color w:val="auto"/>
                      <w:spacing w:val="-10"/>
                      <w:sz w:val="18"/>
                      <w:szCs w:val="18"/>
                    </w:rPr>
                  </w:pPr>
                  <w:r>
                    <w:rPr>
                      <w:rFonts w:hint="eastAsia"/>
                      <w:color w:val="auto"/>
                      <w:spacing w:val="-10"/>
                      <w:sz w:val="18"/>
                      <w:szCs w:val="18"/>
                    </w:rPr>
                    <w:t>≤1.0</w:t>
                  </w:r>
                </w:p>
              </w:tc>
              <w:tc>
                <w:tcPr>
                  <w:tcW w:w="399" w:type="pct"/>
                  <w:tcBorders>
                    <w:tl2br w:val="nil"/>
                    <w:tr2bl w:val="nil"/>
                  </w:tcBorders>
                  <w:vAlign w:val="center"/>
                </w:tcPr>
                <w:p>
                  <w:pPr>
                    <w:spacing w:line="320" w:lineRule="exact"/>
                    <w:jc w:val="center"/>
                    <w:rPr>
                      <w:color w:val="auto"/>
                      <w:spacing w:val="-4"/>
                      <w:szCs w:val="21"/>
                    </w:rPr>
                  </w:pPr>
                  <w:r>
                    <w:rPr>
                      <w:rFonts w:hint="eastAsia"/>
                      <w:color w:val="auto"/>
                      <w:spacing w:val="-4"/>
                      <w:szCs w:val="21"/>
                    </w:rPr>
                    <w:t>是</w:t>
                  </w:r>
                </w:p>
              </w:tc>
            </w:tr>
          </w:tbl>
          <w:p>
            <w:pPr>
              <w:spacing w:line="360" w:lineRule="auto"/>
              <w:ind w:firstLine="472" w:firstLineChars="200"/>
              <w:rPr>
                <w:color w:val="auto"/>
                <w:sz w:val="24"/>
                <w:szCs w:val="24"/>
              </w:rPr>
            </w:pPr>
            <w:r>
              <w:rPr>
                <w:color w:val="auto"/>
                <w:sz w:val="24"/>
                <w:szCs w:val="24"/>
              </w:rPr>
              <w:t>从表</w:t>
            </w:r>
            <w:r>
              <w:rPr>
                <w:rFonts w:hint="eastAsia"/>
                <w:color w:val="auto"/>
                <w:sz w:val="24"/>
                <w:szCs w:val="24"/>
              </w:rPr>
              <w:t>4-7</w:t>
            </w:r>
            <w:r>
              <w:rPr>
                <w:color w:val="auto"/>
                <w:sz w:val="24"/>
                <w:szCs w:val="24"/>
              </w:rPr>
              <w:t>和</w:t>
            </w:r>
            <w:r>
              <w:rPr>
                <w:rFonts w:hint="eastAsia"/>
                <w:color w:val="auto"/>
                <w:sz w:val="24"/>
                <w:szCs w:val="24"/>
              </w:rPr>
              <w:t>表4-8</w:t>
            </w:r>
            <w:r>
              <w:rPr>
                <w:color w:val="auto"/>
                <w:sz w:val="24"/>
                <w:szCs w:val="24"/>
              </w:rPr>
              <w:t>可知，</w:t>
            </w:r>
            <w:r>
              <w:rPr>
                <w:rFonts w:hAnsi="宋体"/>
                <w:color w:val="auto"/>
                <w:sz w:val="24"/>
                <w:szCs w:val="24"/>
              </w:rPr>
              <w:t>项目</w:t>
            </w:r>
            <w:r>
              <w:rPr>
                <w:rFonts w:hAnsi="宋体"/>
                <w:bCs/>
                <w:color w:val="auto"/>
                <w:sz w:val="24"/>
                <w:szCs w:val="24"/>
              </w:rPr>
              <w:t>运营期</w:t>
            </w:r>
            <w:r>
              <w:rPr>
                <w:rFonts w:hint="eastAsia" w:hAnsi="宋体"/>
                <w:color w:val="auto"/>
                <w:kern w:val="0"/>
                <w:sz w:val="24"/>
                <w:szCs w:val="24"/>
              </w:rPr>
              <w:t>水分</w:t>
            </w:r>
            <w:r>
              <w:rPr>
                <w:rFonts w:hint="eastAsia"/>
                <w:bCs/>
                <w:color w:val="auto"/>
                <w:sz w:val="24"/>
              </w:rPr>
              <w:t>烘干、固化工序</w:t>
            </w:r>
            <w:r>
              <w:rPr>
                <w:rFonts w:hAnsi="宋体"/>
                <w:color w:val="auto"/>
                <w:sz w:val="24"/>
                <w:szCs w:val="24"/>
              </w:rPr>
              <w:t>天然气燃烧废气中</w:t>
            </w:r>
            <w:r>
              <w:rPr>
                <w:color w:val="auto"/>
                <w:sz w:val="24"/>
                <w:szCs w:val="24"/>
              </w:rPr>
              <w:t>SO</w:t>
            </w:r>
            <w:r>
              <w:rPr>
                <w:color w:val="auto"/>
                <w:sz w:val="24"/>
                <w:szCs w:val="24"/>
                <w:vertAlign w:val="subscript"/>
              </w:rPr>
              <w:t>2</w:t>
            </w:r>
            <w:r>
              <w:rPr>
                <w:rFonts w:hAnsi="宋体"/>
                <w:color w:val="auto"/>
                <w:sz w:val="24"/>
                <w:szCs w:val="24"/>
              </w:rPr>
              <w:t>、</w:t>
            </w:r>
            <w:r>
              <w:rPr>
                <w:color w:val="auto"/>
                <w:sz w:val="24"/>
                <w:szCs w:val="24"/>
              </w:rPr>
              <w:t>NO</w:t>
            </w:r>
            <w:r>
              <w:rPr>
                <w:color w:val="auto"/>
                <w:sz w:val="24"/>
                <w:szCs w:val="24"/>
                <w:vertAlign w:val="subscript"/>
              </w:rPr>
              <w:t>X</w:t>
            </w:r>
            <w:r>
              <w:rPr>
                <w:rFonts w:hAnsi="宋体"/>
                <w:color w:val="auto"/>
                <w:sz w:val="24"/>
                <w:szCs w:val="24"/>
              </w:rPr>
              <w:t>、颗粒物排放</w:t>
            </w:r>
            <w:r>
              <w:rPr>
                <w:rFonts w:hint="eastAsia" w:hAnsi="宋体"/>
                <w:color w:val="auto"/>
                <w:sz w:val="24"/>
                <w:szCs w:val="24"/>
              </w:rPr>
              <w:t>满足</w:t>
            </w:r>
            <w:r>
              <w:rPr>
                <w:rFonts w:hAnsi="宋体"/>
                <w:color w:val="auto"/>
                <w:sz w:val="24"/>
                <w:szCs w:val="24"/>
              </w:rPr>
              <w:t>《工业炉窑大气污染</w:t>
            </w:r>
            <w:r>
              <w:rPr>
                <w:rFonts w:hint="eastAsia" w:hAnsi="宋体"/>
                <w:color w:val="auto"/>
                <w:sz w:val="24"/>
                <w:szCs w:val="24"/>
              </w:rPr>
              <w:t>物排放标准</w:t>
            </w:r>
            <w:r>
              <w:rPr>
                <w:rFonts w:hAnsi="宋体"/>
                <w:color w:val="auto"/>
                <w:sz w:val="24"/>
                <w:szCs w:val="24"/>
              </w:rPr>
              <w:t>》（</w:t>
            </w:r>
            <w:r>
              <w:rPr>
                <w:rFonts w:hint="eastAsia" w:hAnsi="宋体"/>
                <w:color w:val="auto"/>
                <w:sz w:val="24"/>
                <w:szCs w:val="24"/>
              </w:rPr>
              <w:t>DB13/1640-2012</w:t>
            </w:r>
            <w:r>
              <w:rPr>
                <w:rFonts w:hAnsi="宋体"/>
                <w:color w:val="auto"/>
                <w:sz w:val="24"/>
                <w:szCs w:val="24"/>
              </w:rPr>
              <w:t>）</w:t>
            </w:r>
            <w:r>
              <w:rPr>
                <w:rFonts w:hint="eastAsia" w:hAnsi="宋体"/>
                <w:color w:val="auto"/>
                <w:sz w:val="24"/>
                <w:szCs w:val="24"/>
              </w:rPr>
              <w:t>表1表2限值，同时满足</w:t>
            </w:r>
            <w:r>
              <w:rPr>
                <w:rFonts w:hAnsi="宋体"/>
                <w:color w:val="auto"/>
                <w:sz w:val="24"/>
                <w:szCs w:val="24"/>
              </w:rPr>
              <w:t>《工业炉窑大气污染综合治理方案》（环大气［</w:t>
            </w:r>
            <w:r>
              <w:rPr>
                <w:color w:val="auto"/>
                <w:sz w:val="24"/>
                <w:szCs w:val="24"/>
              </w:rPr>
              <w:t>2019</w:t>
            </w:r>
            <w:r>
              <w:rPr>
                <w:rFonts w:hAnsi="宋体"/>
                <w:color w:val="auto"/>
                <w:sz w:val="24"/>
                <w:szCs w:val="24"/>
              </w:rPr>
              <w:t>］</w:t>
            </w:r>
            <w:r>
              <w:rPr>
                <w:color w:val="auto"/>
                <w:sz w:val="24"/>
                <w:szCs w:val="24"/>
              </w:rPr>
              <w:t>56</w:t>
            </w:r>
            <w:r>
              <w:rPr>
                <w:rFonts w:hAnsi="宋体"/>
                <w:color w:val="auto"/>
                <w:sz w:val="24"/>
                <w:szCs w:val="24"/>
              </w:rPr>
              <w:t>号文）中的相关要求（颗粒物</w:t>
            </w:r>
            <w:r>
              <w:rPr>
                <w:rFonts w:ascii="宋体" w:hAnsi="宋体"/>
                <w:color w:val="auto"/>
                <w:sz w:val="24"/>
                <w:szCs w:val="24"/>
              </w:rPr>
              <w:t>≦</w:t>
            </w:r>
            <w:r>
              <w:rPr>
                <w:color w:val="auto"/>
                <w:sz w:val="24"/>
                <w:szCs w:val="24"/>
              </w:rPr>
              <w:t>30mg/m</w:t>
            </w:r>
            <w:r>
              <w:rPr>
                <w:color w:val="auto"/>
                <w:sz w:val="24"/>
                <w:szCs w:val="24"/>
                <w:vertAlign w:val="superscript"/>
              </w:rPr>
              <w:t>3</w:t>
            </w:r>
            <w:r>
              <w:rPr>
                <w:rFonts w:hAnsi="宋体"/>
                <w:color w:val="auto"/>
                <w:sz w:val="24"/>
                <w:szCs w:val="24"/>
              </w:rPr>
              <w:t>、</w:t>
            </w:r>
            <w:r>
              <w:rPr>
                <w:color w:val="auto"/>
                <w:sz w:val="24"/>
                <w:szCs w:val="24"/>
              </w:rPr>
              <w:t>SO</w:t>
            </w:r>
            <w:r>
              <w:rPr>
                <w:color w:val="auto"/>
                <w:sz w:val="24"/>
                <w:szCs w:val="24"/>
                <w:vertAlign w:val="subscript"/>
              </w:rPr>
              <w:t>2</w:t>
            </w:r>
            <w:r>
              <w:rPr>
                <w:rFonts w:ascii="宋体" w:hAnsi="宋体"/>
                <w:color w:val="auto"/>
                <w:sz w:val="24"/>
                <w:szCs w:val="24"/>
              </w:rPr>
              <w:t>≦</w:t>
            </w:r>
            <w:r>
              <w:rPr>
                <w:color w:val="auto"/>
                <w:sz w:val="24"/>
                <w:szCs w:val="24"/>
              </w:rPr>
              <w:t>200mg/m</w:t>
            </w:r>
            <w:r>
              <w:rPr>
                <w:color w:val="auto"/>
                <w:sz w:val="24"/>
                <w:szCs w:val="24"/>
                <w:vertAlign w:val="superscript"/>
              </w:rPr>
              <w:t>3</w:t>
            </w:r>
            <w:r>
              <w:rPr>
                <w:rFonts w:hAnsi="宋体"/>
                <w:color w:val="auto"/>
                <w:sz w:val="24"/>
                <w:szCs w:val="24"/>
              </w:rPr>
              <w:t>、</w:t>
            </w:r>
            <w:r>
              <w:rPr>
                <w:color w:val="auto"/>
                <w:sz w:val="24"/>
                <w:szCs w:val="24"/>
                <w:lang w:val="fr-FR"/>
              </w:rPr>
              <w:t>NO</w:t>
            </w:r>
            <w:r>
              <w:rPr>
                <w:color w:val="auto"/>
                <w:sz w:val="24"/>
                <w:szCs w:val="24"/>
                <w:vertAlign w:val="subscript"/>
              </w:rPr>
              <w:t>x</w:t>
            </w:r>
            <w:r>
              <w:rPr>
                <w:rFonts w:ascii="宋体" w:hAnsi="宋体"/>
                <w:color w:val="auto"/>
                <w:sz w:val="24"/>
                <w:szCs w:val="24"/>
              </w:rPr>
              <w:t>≦</w:t>
            </w:r>
            <w:r>
              <w:rPr>
                <w:color w:val="auto"/>
                <w:sz w:val="24"/>
                <w:szCs w:val="24"/>
              </w:rPr>
              <w:t>300mg/m</w:t>
            </w:r>
            <w:r>
              <w:rPr>
                <w:color w:val="auto"/>
                <w:sz w:val="24"/>
                <w:szCs w:val="24"/>
                <w:vertAlign w:val="superscript"/>
              </w:rPr>
              <w:t>3</w:t>
            </w:r>
            <w:r>
              <w:rPr>
                <w:rFonts w:hAnsi="宋体"/>
                <w:color w:val="auto"/>
                <w:sz w:val="24"/>
                <w:szCs w:val="24"/>
              </w:rPr>
              <w:t>）</w:t>
            </w:r>
            <w:r>
              <w:rPr>
                <w:rFonts w:hint="eastAsia" w:hAnsi="宋体"/>
                <w:color w:val="auto"/>
                <w:sz w:val="24"/>
                <w:szCs w:val="24"/>
              </w:rPr>
              <w:t>，</w:t>
            </w:r>
            <w:r>
              <w:rPr>
                <w:rFonts w:hAnsi="宋体"/>
                <w:color w:val="auto"/>
                <w:kern w:val="0"/>
                <w:sz w:val="24"/>
                <w:szCs w:val="24"/>
              </w:rPr>
              <w:t>非甲烷总烃</w:t>
            </w:r>
            <w:r>
              <w:rPr>
                <w:rFonts w:hint="eastAsia" w:hAnsi="宋体"/>
                <w:color w:val="auto"/>
                <w:kern w:val="0"/>
                <w:sz w:val="24"/>
                <w:szCs w:val="24"/>
              </w:rPr>
              <w:t>满足</w:t>
            </w:r>
            <w:r>
              <w:rPr>
                <w:rFonts w:hAnsi="宋体"/>
                <w:color w:val="auto"/>
                <w:kern w:val="0"/>
                <w:sz w:val="24"/>
                <w:szCs w:val="24"/>
              </w:rPr>
              <w:t>执行河北省地方标准《工业企业挥发性有机物排放控制标准》</w:t>
            </w:r>
            <w:r>
              <w:rPr>
                <w:color w:val="auto"/>
                <w:kern w:val="0"/>
                <w:sz w:val="24"/>
                <w:szCs w:val="24"/>
              </w:rPr>
              <w:t>(DB13/2322-2016)</w:t>
            </w:r>
            <w:r>
              <w:rPr>
                <w:rFonts w:hAnsi="宋体"/>
                <w:color w:val="auto"/>
                <w:kern w:val="0"/>
                <w:sz w:val="24"/>
                <w:szCs w:val="24"/>
              </w:rPr>
              <w:t>表</w:t>
            </w:r>
            <w:r>
              <w:rPr>
                <w:color w:val="auto"/>
                <w:kern w:val="0"/>
                <w:sz w:val="24"/>
                <w:szCs w:val="24"/>
              </w:rPr>
              <w:t>1</w:t>
            </w:r>
            <w:r>
              <w:rPr>
                <w:rFonts w:hAnsi="宋体"/>
                <w:color w:val="auto"/>
                <w:kern w:val="0"/>
                <w:sz w:val="24"/>
                <w:szCs w:val="24"/>
              </w:rPr>
              <w:t>表面涂装业有机废气排放口排放要求</w:t>
            </w:r>
            <w:r>
              <w:rPr>
                <w:rFonts w:hAnsi="宋体"/>
                <w:color w:val="auto"/>
                <w:sz w:val="24"/>
                <w:szCs w:val="24"/>
              </w:rPr>
              <w:t>；</w:t>
            </w:r>
            <w:r>
              <w:rPr>
                <w:rFonts w:hint="eastAsia" w:hAnsi="宋体"/>
                <w:color w:val="auto"/>
                <w:sz w:val="24"/>
                <w:szCs w:val="24"/>
              </w:rPr>
              <w:t>切割、打孔、焊接废气中颗粒物满足《大气污染物综合排放标准》（GB16297-1996）表2其他行业颗粒物二级标准限值要求；喷涂废气中颗粒物满足《大气污染物综合排放标准》（GB16297-1996）表2颗粒物（染料尘）二级标准限值要求；厂界无组织</w:t>
            </w:r>
            <w:r>
              <w:rPr>
                <w:rFonts w:hAnsi="宋体"/>
                <w:bCs/>
                <w:color w:val="auto"/>
                <w:sz w:val="24"/>
                <w:szCs w:val="24"/>
              </w:rPr>
              <w:t>颗粒物排放</w:t>
            </w:r>
            <w:r>
              <w:rPr>
                <w:rFonts w:hint="eastAsia" w:hAnsi="宋体"/>
                <w:bCs/>
                <w:color w:val="auto"/>
                <w:sz w:val="24"/>
                <w:szCs w:val="24"/>
              </w:rPr>
              <w:t>满足</w:t>
            </w:r>
            <w:r>
              <w:rPr>
                <w:rFonts w:hAnsi="宋体"/>
                <w:bCs/>
                <w:color w:val="auto"/>
                <w:sz w:val="24"/>
                <w:szCs w:val="24"/>
              </w:rPr>
              <w:t>《大气污染物综合排放标准》（GB16297-1996）表2其他行业</w:t>
            </w:r>
            <w:r>
              <w:rPr>
                <w:rFonts w:hint="eastAsia" w:hAnsi="宋体"/>
                <w:bCs/>
                <w:color w:val="auto"/>
                <w:sz w:val="24"/>
                <w:szCs w:val="24"/>
              </w:rPr>
              <w:t>无组织排放监控浓度限值要求</w:t>
            </w:r>
            <w:r>
              <w:rPr>
                <w:rFonts w:hAnsi="宋体"/>
                <w:bCs/>
                <w:color w:val="auto"/>
                <w:sz w:val="24"/>
                <w:szCs w:val="24"/>
              </w:rPr>
              <w:t>；</w:t>
            </w:r>
            <w:r>
              <w:rPr>
                <w:rFonts w:hint="eastAsia" w:hAnsi="宋体"/>
                <w:color w:val="auto"/>
                <w:kern w:val="0"/>
                <w:sz w:val="24"/>
                <w:szCs w:val="24"/>
              </w:rPr>
              <w:t>无组织非甲烷总烃满足</w:t>
            </w:r>
            <w:r>
              <w:rPr>
                <w:rFonts w:hAnsi="宋体"/>
                <w:color w:val="auto"/>
                <w:kern w:val="0"/>
                <w:sz w:val="24"/>
                <w:szCs w:val="24"/>
              </w:rPr>
              <w:t>河北省地方标准《工业企业挥发性有机物排放控制标准》</w:t>
            </w:r>
            <w:r>
              <w:rPr>
                <w:color w:val="auto"/>
                <w:kern w:val="0"/>
                <w:sz w:val="24"/>
                <w:szCs w:val="24"/>
              </w:rPr>
              <w:t>(DB13/2322-2016)</w:t>
            </w:r>
            <w:r>
              <w:rPr>
                <w:rFonts w:hint="eastAsia" w:hAnsi="宋体"/>
                <w:color w:val="auto"/>
                <w:kern w:val="0"/>
                <w:sz w:val="24"/>
                <w:szCs w:val="24"/>
              </w:rPr>
              <w:t>表2其他企业边界限值</w:t>
            </w:r>
            <w:r>
              <w:rPr>
                <w:rFonts w:hint="eastAsia"/>
                <w:color w:val="auto"/>
                <w:sz w:val="24"/>
                <w:szCs w:val="24"/>
              </w:rPr>
              <w:t>，</w:t>
            </w:r>
            <w:r>
              <w:rPr>
                <w:color w:val="auto"/>
                <w:sz w:val="24"/>
                <w:szCs w:val="24"/>
              </w:rPr>
              <w:t>对周围大气环境的影响很小。</w:t>
            </w:r>
          </w:p>
          <w:p>
            <w:pPr>
              <w:spacing w:line="360" w:lineRule="auto"/>
              <w:ind w:firstLine="472" w:firstLineChars="200"/>
              <w:rPr>
                <w:color w:val="auto"/>
                <w:sz w:val="24"/>
                <w:szCs w:val="24"/>
              </w:rPr>
            </w:pPr>
            <w:r>
              <w:rPr>
                <w:color w:val="auto"/>
                <w:sz w:val="24"/>
                <w:szCs w:val="24"/>
              </w:rPr>
              <w:t>本项目营运期产生的</w:t>
            </w:r>
            <w:r>
              <w:rPr>
                <w:rFonts w:hint="eastAsia"/>
                <w:color w:val="auto"/>
                <w:sz w:val="24"/>
                <w:szCs w:val="24"/>
              </w:rPr>
              <w:t>废气</w:t>
            </w:r>
            <w:r>
              <w:rPr>
                <w:color w:val="auto"/>
                <w:sz w:val="24"/>
                <w:szCs w:val="24"/>
              </w:rPr>
              <w:t>经有效治理后，对环境影响不大。为了进一步减少废气对</w:t>
            </w:r>
            <w:r>
              <w:rPr>
                <w:rFonts w:hint="eastAsia"/>
                <w:color w:val="auto"/>
                <w:sz w:val="24"/>
                <w:szCs w:val="24"/>
              </w:rPr>
              <w:t>车间</w:t>
            </w:r>
            <w:r>
              <w:rPr>
                <w:color w:val="auto"/>
                <w:sz w:val="24"/>
                <w:szCs w:val="24"/>
              </w:rPr>
              <w:t>内及周边空气环境的影响和保障员工的健康，建议建设单位采用下列措施，进一步降低污染物对周围大气环境的影响：</w:t>
            </w:r>
          </w:p>
          <w:p>
            <w:pPr>
              <w:spacing w:line="360" w:lineRule="auto"/>
              <w:ind w:firstLine="472" w:firstLineChars="200"/>
              <w:rPr>
                <w:color w:val="auto"/>
                <w:sz w:val="24"/>
                <w:szCs w:val="24"/>
              </w:rPr>
            </w:pPr>
            <w:r>
              <w:rPr>
                <w:rFonts w:hint="eastAsia"/>
                <w:color w:val="auto"/>
                <w:sz w:val="24"/>
                <w:szCs w:val="24"/>
              </w:rPr>
              <w:t>①</w:t>
            </w:r>
            <w:r>
              <w:rPr>
                <w:color w:val="auto"/>
                <w:sz w:val="24"/>
                <w:szCs w:val="24"/>
              </w:rPr>
              <w:t>加强</w:t>
            </w:r>
            <w:r>
              <w:rPr>
                <w:rFonts w:hint="eastAsia"/>
                <w:color w:val="auto"/>
                <w:sz w:val="24"/>
                <w:szCs w:val="24"/>
              </w:rPr>
              <w:t>车间密闭，防止无组织废气排放到周边空气环境中</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②车间</w:t>
            </w:r>
            <w:r>
              <w:rPr>
                <w:color w:val="auto"/>
                <w:sz w:val="24"/>
                <w:szCs w:val="24"/>
              </w:rPr>
              <w:t>操作人员</w:t>
            </w:r>
            <w:r>
              <w:rPr>
                <w:rFonts w:hint="eastAsia"/>
                <w:color w:val="auto"/>
                <w:sz w:val="24"/>
                <w:szCs w:val="24"/>
              </w:rPr>
              <w:t>应规范操作，减少车间无组织废气的排放</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③</w:t>
            </w:r>
            <w:r>
              <w:rPr>
                <w:color w:val="auto"/>
                <w:sz w:val="24"/>
                <w:szCs w:val="24"/>
              </w:rPr>
              <w:t>加强设备维护，防止不良工况下的废气产生。</w:t>
            </w:r>
          </w:p>
          <w:p>
            <w:pPr>
              <w:spacing w:line="360" w:lineRule="auto"/>
              <w:ind w:firstLine="472" w:firstLineChars="200"/>
              <w:rPr>
                <w:rFonts w:hAnsi="宋体"/>
                <w:b/>
                <w:bCs/>
                <w:color w:val="auto"/>
                <w:sz w:val="24"/>
                <w:szCs w:val="24"/>
              </w:rPr>
            </w:pPr>
            <w:r>
              <w:rPr>
                <w:rFonts w:hint="eastAsia" w:hAnsi="宋体"/>
                <w:b/>
                <w:bCs/>
                <w:color w:val="auto"/>
                <w:sz w:val="24"/>
                <w:szCs w:val="24"/>
              </w:rPr>
              <w:t>5、废气治理措施可行性论证</w:t>
            </w:r>
          </w:p>
          <w:p>
            <w:pPr>
              <w:spacing w:line="360" w:lineRule="auto"/>
              <w:ind w:firstLine="472" w:firstLineChars="200"/>
              <w:rPr>
                <w:color w:val="auto"/>
                <w:sz w:val="24"/>
              </w:rPr>
            </w:pPr>
            <w:r>
              <w:rPr>
                <w:rFonts w:hint="eastAsia"/>
                <w:color w:val="auto"/>
                <w:sz w:val="24"/>
              </w:rPr>
              <w:t>切割、打孔和焊接工序废气经1套布袋除尘器处理后通过15m排气筒（DA001）排放到室外；喷塑工序喷塑含尘废气经喷粉房自带的</w:t>
            </w:r>
            <w:r>
              <w:rPr>
                <w:rFonts w:hint="eastAsia"/>
                <w:color w:val="auto"/>
                <w:sz w:val="24"/>
                <w:lang w:eastAsia="zh-CN"/>
              </w:rPr>
              <w:t>二级高效滤芯除尘器+布袋除尘器</w:t>
            </w:r>
            <w:r>
              <w:rPr>
                <w:rFonts w:hint="eastAsia"/>
                <w:color w:val="auto"/>
                <w:sz w:val="24"/>
              </w:rPr>
              <w:t>处理后通过15m高排气筒排放（DA002）；天然气燃烧机废气通过15m高排气筒排放（DA003)，固化废气通过旋流塔+干湿过滤箱+活性炭吸附浓缩+催化燃烧装置处理后通过15m高排气筒排放（DA004）；手动喷粉房内含粉气体经1套布袋除尘器处理后通过15m排气筒（DA005）排放到室外，手喷件固化烘箱会产生固化废气通过1套二级活性炭吸附后通过15m排气筒（DA006）排放到室外。对照</w:t>
            </w:r>
            <w:r>
              <w:rPr>
                <w:rFonts w:hint="eastAsia" w:hAnsi="宋体"/>
                <w:color w:val="auto"/>
                <w:sz w:val="24"/>
                <w:szCs w:val="24"/>
              </w:rPr>
              <w:t>《排污许可证申请与核发技术规范——铁路、船舶、航空航天和其他运输设备制造业》（HJ1124—2020）附录A表面处理（涂装）排污单位可行性技术对照表，本项目废气的治理措施属于可行治理技术。</w:t>
            </w:r>
          </w:p>
          <w:p>
            <w:pPr>
              <w:spacing w:line="360" w:lineRule="auto"/>
              <w:ind w:firstLine="472" w:firstLineChars="200"/>
              <w:rPr>
                <w:b/>
                <w:bCs/>
                <w:color w:val="auto"/>
                <w:sz w:val="24"/>
                <w:szCs w:val="24"/>
              </w:rPr>
            </w:pPr>
            <w:r>
              <w:rPr>
                <w:rFonts w:hint="eastAsia"/>
                <w:b/>
                <w:bCs/>
                <w:color w:val="auto"/>
                <w:sz w:val="24"/>
                <w:szCs w:val="24"/>
              </w:rPr>
              <w:t>6、大气环境影响评价结论</w:t>
            </w:r>
          </w:p>
          <w:p>
            <w:pPr>
              <w:spacing w:line="360" w:lineRule="auto"/>
              <w:ind w:firstLine="472" w:firstLineChars="200"/>
              <w:rPr>
                <w:color w:val="auto"/>
                <w:sz w:val="24"/>
                <w:szCs w:val="24"/>
              </w:rPr>
            </w:pPr>
            <w:r>
              <w:rPr>
                <w:color w:val="auto"/>
                <w:sz w:val="24"/>
                <w:szCs w:val="24"/>
              </w:rPr>
              <w:t>根据《20</w:t>
            </w:r>
            <w:r>
              <w:rPr>
                <w:rFonts w:hint="eastAsia"/>
                <w:color w:val="auto"/>
                <w:sz w:val="24"/>
                <w:szCs w:val="24"/>
              </w:rPr>
              <w:t>21</w:t>
            </w:r>
            <w:r>
              <w:rPr>
                <w:color w:val="auto"/>
                <w:sz w:val="24"/>
                <w:szCs w:val="24"/>
              </w:rPr>
              <w:t>年度邯郸市环境质量公报》，</w:t>
            </w:r>
            <w:r>
              <w:rPr>
                <w:rFonts w:hint="eastAsia"/>
                <w:color w:val="auto"/>
                <w:sz w:val="24"/>
                <w:szCs w:val="24"/>
              </w:rPr>
              <w:t>项目区</w:t>
            </w:r>
            <w:r>
              <w:rPr>
                <w:snapToGrid w:val="0"/>
                <w:color w:val="auto"/>
                <w:kern w:val="0"/>
                <w:sz w:val="24"/>
                <w:szCs w:val="24"/>
              </w:rPr>
              <w:t>臭氧（O</w:t>
            </w:r>
            <w:r>
              <w:rPr>
                <w:snapToGrid w:val="0"/>
                <w:color w:val="auto"/>
                <w:kern w:val="0"/>
                <w:sz w:val="24"/>
                <w:szCs w:val="24"/>
                <w:vertAlign w:val="subscript"/>
              </w:rPr>
              <w:t>3</w:t>
            </w:r>
            <w:r>
              <w:rPr>
                <w:snapToGrid w:val="0"/>
                <w:color w:val="auto"/>
                <w:kern w:val="0"/>
                <w:sz w:val="24"/>
                <w:szCs w:val="24"/>
              </w:rPr>
              <w:t>）</w:t>
            </w:r>
            <w:r>
              <w:rPr>
                <w:rFonts w:hint="eastAsia"/>
                <w:snapToGrid w:val="0"/>
                <w:color w:val="auto"/>
                <w:kern w:val="0"/>
                <w:sz w:val="24"/>
                <w:szCs w:val="24"/>
              </w:rPr>
              <w:t>、</w:t>
            </w:r>
            <w:r>
              <w:rPr>
                <w:snapToGrid w:val="0"/>
                <w:color w:val="auto"/>
                <w:kern w:val="0"/>
                <w:sz w:val="24"/>
                <w:szCs w:val="24"/>
              </w:rPr>
              <w:t>可吸入颗粒物（PM</w:t>
            </w:r>
            <w:r>
              <w:rPr>
                <w:snapToGrid w:val="0"/>
                <w:color w:val="auto"/>
                <w:kern w:val="0"/>
                <w:sz w:val="24"/>
                <w:szCs w:val="24"/>
                <w:vertAlign w:val="subscript"/>
              </w:rPr>
              <w:t>10</w:t>
            </w:r>
            <w:r>
              <w:rPr>
                <w:snapToGrid w:val="0"/>
                <w:color w:val="auto"/>
                <w:kern w:val="0"/>
                <w:sz w:val="24"/>
                <w:szCs w:val="24"/>
              </w:rPr>
              <w:t>）、细颗粒物（PM</w:t>
            </w:r>
            <w:r>
              <w:rPr>
                <w:snapToGrid w:val="0"/>
                <w:color w:val="auto"/>
                <w:kern w:val="0"/>
                <w:sz w:val="24"/>
                <w:szCs w:val="24"/>
                <w:vertAlign w:val="subscript"/>
              </w:rPr>
              <w:t>2.5</w:t>
            </w:r>
            <w:r>
              <w:rPr>
                <w:snapToGrid w:val="0"/>
                <w:color w:val="auto"/>
                <w:kern w:val="0"/>
                <w:sz w:val="24"/>
                <w:szCs w:val="24"/>
              </w:rPr>
              <w:t>）分别超标0.088倍、0.114倍、0.314倍。PM</w:t>
            </w:r>
            <w:r>
              <w:rPr>
                <w:snapToGrid w:val="0"/>
                <w:color w:val="auto"/>
                <w:kern w:val="0"/>
                <w:sz w:val="24"/>
                <w:szCs w:val="24"/>
                <w:vertAlign w:val="subscript"/>
              </w:rPr>
              <w:t>2.5</w:t>
            </w:r>
            <w:r>
              <w:rPr>
                <w:snapToGrid w:val="0"/>
                <w:color w:val="auto"/>
                <w:kern w:val="0"/>
                <w:sz w:val="24"/>
                <w:szCs w:val="24"/>
              </w:rPr>
              <w:t>和PM</w:t>
            </w:r>
            <w:r>
              <w:rPr>
                <w:snapToGrid w:val="0"/>
                <w:color w:val="auto"/>
                <w:kern w:val="0"/>
                <w:sz w:val="24"/>
                <w:szCs w:val="24"/>
                <w:vertAlign w:val="subscript"/>
              </w:rPr>
              <w:t>10</w:t>
            </w:r>
            <w:r>
              <w:rPr>
                <w:snapToGrid w:val="0"/>
                <w:color w:val="auto"/>
                <w:kern w:val="0"/>
                <w:sz w:val="24"/>
                <w:szCs w:val="24"/>
              </w:rPr>
              <w:t>是主要污染物</w:t>
            </w:r>
            <w:r>
              <w:rPr>
                <w:color w:val="auto"/>
                <w:sz w:val="24"/>
                <w:szCs w:val="24"/>
              </w:rPr>
              <w:t>。邯郸市逐步推行</w:t>
            </w:r>
            <w:r>
              <w:rPr>
                <w:rFonts w:hint="eastAsia"/>
                <w:color w:val="auto"/>
                <w:sz w:val="24"/>
                <w:szCs w:val="24"/>
              </w:rPr>
              <w:t>工业炉窑深度治理和VOCs专项整治</w:t>
            </w:r>
            <w:r>
              <w:rPr>
                <w:color w:val="auto"/>
                <w:sz w:val="24"/>
                <w:szCs w:val="24"/>
              </w:rPr>
              <w:t>工程，随着区域内各类大气污染治理工程的推进，区域内环境中</w:t>
            </w:r>
            <w:r>
              <w:rPr>
                <w:rFonts w:hint="eastAsia"/>
                <w:color w:val="auto"/>
                <w:sz w:val="24"/>
                <w:szCs w:val="24"/>
              </w:rPr>
              <w:t>PM10、PM2.5和臭氧</w:t>
            </w:r>
            <w:r>
              <w:rPr>
                <w:color w:val="auto"/>
                <w:sz w:val="24"/>
                <w:szCs w:val="24"/>
              </w:rPr>
              <w:t>能够得到有效控制，区域内环境将有所改善。</w:t>
            </w:r>
            <w:r>
              <w:rPr>
                <w:rFonts w:hint="eastAsia"/>
                <w:color w:val="auto"/>
                <w:sz w:val="24"/>
                <w:szCs w:val="24"/>
              </w:rPr>
              <w:t>本</w:t>
            </w:r>
            <w:r>
              <w:rPr>
                <w:rFonts w:hint="eastAsia"/>
                <w:color w:val="auto"/>
                <w:sz w:val="24"/>
                <w:szCs w:val="24"/>
                <w:lang w:val="zh-CN"/>
              </w:rPr>
              <w:t>项目</w:t>
            </w:r>
            <w:r>
              <w:rPr>
                <w:color w:val="auto"/>
                <w:sz w:val="24"/>
                <w:szCs w:val="24"/>
              </w:rPr>
              <w:t>排放的污染物主要为</w:t>
            </w:r>
            <w:r>
              <w:rPr>
                <w:rFonts w:hint="eastAsia"/>
                <w:color w:val="auto"/>
                <w:sz w:val="24"/>
                <w:szCs w:val="24"/>
              </w:rPr>
              <w:t>颗粒物和非甲烷总烃</w:t>
            </w:r>
            <w:r>
              <w:rPr>
                <w:color w:val="auto"/>
                <w:sz w:val="24"/>
                <w:szCs w:val="24"/>
              </w:rPr>
              <w:t>，污染物产生量较少</w:t>
            </w:r>
            <w:r>
              <w:rPr>
                <w:rFonts w:hint="eastAsia"/>
                <w:color w:val="auto"/>
                <w:sz w:val="24"/>
                <w:szCs w:val="24"/>
              </w:rPr>
              <w:t>，</w:t>
            </w:r>
            <w:r>
              <w:rPr>
                <w:color w:val="auto"/>
                <w:sz w:val="24"/>
                <w:szCs w:val="24"/>
              </w:rPr>
              <w:t>通过采取落实污染防治措施后，本项目的废气对</w:t>
            </w:r>
            <w:r>
              <w:rPr>
                <w:rFonts w:hint="eastAsia"/>
                <w:color w:val="auto"/>
                <w:sz w:val="24"/>
                <w:szCs w:val="24"/>
              </w:rPr>
              <w:t>周边</w:t>
            </w:r>
            <w:r>
              <w:rPr>
                <w:color w:val="auto"/>
                <w:sz w:val="24"/>
                <w:szCs w:val="24"/>
              </w:rPr>
              <w:t>大气环境的影响较小。</w:t>
            </w:r>
            <w:r>
              <w:rPr>
                <w:rFonts w:hint="eastAsia"/>
                <w:color w:val="auto"/>
                <w:sz w:val="24"/>
                <w:szCs w:val="24"/>
              </w:rPr>
              <w:t>本项目非正常工况下的污染物排放主要是废气治理措施出现故障或者无法达到预设的去除效果，造成的污染物不达标排放，本评价要求在发生废气治理措施故障的时候立即停止生产设备，对废气治理设备进行维修，加强日常对废气治理设备的维护和保养，确保在正常状态下运行，通过采取以上措施后可以减少非正常工况的情况发生，减少非正常情况下污染物的排放，降低对周边环境的影响。</w:t>
            </w:r>
          </w:p>
          <w:p>
            <w:pPr>
              <w:spacing w:line="360" w:lineRule="auto"/>
              <w:ind w:firstLine="472" w:firstLineChars="200"/>
              <w:rPr>
                <w:color w:val="auto"/>
                <w:sz w:val="24"/>
                <w:szCs w:val="24"/>
              </w:rPr>
            </w:pPr>
            <w:r>
              <w:rPr>
                <w:rFonts w:hint="eastAsia"/>
                <w:color w:val="auto"/>
                <w:sz w:val="24"/>
                <w:szCs w:val="24"/>
              </w:rPr>
              <w:t>综上，本项目对周边大气环境影响较小。</w:t>
            </w:r>
          </w:p>
          <w:p>
            <w:pPr>
              <w:spacing w:line="360" w:lineRule="auto"/>
              <w:ind w:firstLine="412" w:firstLineChars="200"/>
              <w:rPr>
                <w:color w:val="auto"/>
                <w:kern w:val="1"/>
                <w:sz w:val="24"/>
                <w:szCs w:val="24"/>
              </w:rPr>
            </w:pPr>
            <w:r>
              <w:rPr>
                <w:b/>
                <w:bCs/>
                <w:color w:val="auto"/>
                <w:kern w:val="1"/>
                <w:szCs w:val="21"/>
              </w:rPr>
              <w:t xml:space="preserve"> </w:t>
            </w:r>
            <w:r>
              <w:rPr>
                <w:b/>
                <w:bCs/>
                <w:color w:val="auto"/>
                <w:kern w:val="1"/>
                <w:sz w:val="24"/>
                <w:szCs w:val="24"/>
              </w:rPr>
              <w:t>二、水环境影响分析</w:t>
            </w:r>
          </w:p>
          <w:p>
            <w:pPr>
              <w:spacing w:line="360" w:lineRule="auto"/>
              <w:ind w:firstLine="482"/>
              <w:rPr>
                <w:b/>
                <w:bCs/>
                <w:color w:val="auto"/>
                <w:kern w:val="1"/>
                <w:sz w:val="24"/>
                <w:szCs w:val="24"/>
              </w:rPr>
            </w:pPr>
            <w:r>
              <w:rPr>
                <w:rFonts w:hint="eastAsia"/>
                <w:b/>
                <w:bCs/>
                <w:color w:val="auto"/>
                <w:kern w:val="1"/>
                <w:sz w:val="24"/>
                <w:szCs w:val="24"/>
              </w:rPr>
              <w:t>（一）</w:t>
            </w:r>
            <w:r>
              <w:rPr>
                <w:b/>
                <w:bCs/>
                <w:color w:val="auto"/>
                <w:kern w:val="1"/>
                <w:sz w:val="24"/>
                <w:szCs w:val="24"/>
              </w:rPr>
              <w:t>地表水环境影响分析</w:t>
            </w:r>
          </w:p>
          <w:p>
            <w:pPr>
              <w:spacing w:line="360" w:lineRule="auto"/>
              <w:ind w:firstLine="472" w:firstLineChars="200"/>
              <w:rPr>
                <w:b/>
                <w:color w:val="auto"/>
                <w:sz w:val="24"/>
              </w:rPr>
            </w:pPr>
            <w:r>
              <w:rPr>
                <w:rFonts w:hint="eastAsia"/>
                <w:b/>
                <w:color w:val="auto"/>
                <w:sz w:val="24"/>
              </w:rPr>
              <w:t>1、污染物排放源</w:t>
            </w:r>
          </w:p>
          <w:p>
            <w:pPr>
              <w:spacing w:line="360" w:lineRule="auto"/>
              <w:jc w:val="center"/>
              <w:rPr>
                <w:b/>
                <w:color w:val="auto"/>
                <w:sz w:val="24"/>
              </w:rPr>
            </w:pPr>
            <w:r>
              <w:rPr>
                <w:b/>
                <w:color w:val="auto"/>
                <w:sz w:val="24"/>
              </w:rPr>
              <w:t>表</w:t>
            </w:r>
            <w:r>
              <w:rPr>
                <w:rFonts w:hint="eastAsia"/>
                <w:b/>
                <w:color w:val="auto"/>
                <w:sz w:val="24"/>
              </w:rPr>
              <w:t>4-9</w:t>
            </w:r>
            <w:r>
              <w:rPr>
                <w:b/>
                <w:color w:val="auto"/>
                <w:sz w:val="24"/>
              </w:rPr>
              <w:t>废</w:t>
            </w:r>
            <w:r>
              <w:rPr>
                <w:rFonts w:hint="eastAsia"/>
                <w:b/>
                <w:color w:val="auto"/>
                <w:sz w:val="24"/>
              </w:rPr>
              <w:t>水类别</w:t>
            </w:r>
            <w:r>
              <w:rPr>
                <w:b/>
                <w:color w:val="auto"/>
                <w:sz w:val="24"/>
              </w:rPr>
              <w:t>、污染物及污染治理设施信息表</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27"/>
              <w:gridCol w:w="944"/>
              <w:gridCol w:w="1408"/>
              <w:gridCol w:w="886"/>
              <w:gridCol w:w="1268"/>
              <w:gridCol w:w="1376"/>
              <w:gridCol w:w="1337"/>
              <w:gridCol w:w="1028"/>
              <w:gridCol w:w="1123"/>
              <w:gridCol w:w="1131"/>
              <w:gridCol w:w="1213"/>
              <w:gridCol w:w="11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124" w:type="pct"/>
                  <w:vMerge w:val="restart"/>
                  <w:tcBorders>
                    <w:tl2br w:val="nil"/>
                    <w:tr2bl w:val="nil"/>
                  </w:tcBorders>
                  <w:vAlign w:val="center"/>
                </w:tcPr>
                <w:p>
                  <w:pPr>
                    <w:snapToGrid w:val="0"/>
                    <w:jc w:val="center"/>
                    <w:rPr>
                      <w:color w:val="auto"/>
                      <w:szCs w:val="21"/>
                    </w:rPr>
                  </w:pPr>
                  <w:r>
                    <w:rPr>
                      <w:color w:val="auto"/>
                      <w:szCs w:val="21"/>
                    </w:rPr>
                    <w:t>序号</w:t>
                  </w:r>
                </w:p>
              </w:tc>
              <w:tc>
                <w:tcPr>
                  <w:tcW w:w="358" w:type="pct"/>
                  <w:vMerge w:val="restart"/>
                  <w:tcBorders>
                    <w:tl2br w:val="nil"/>
                    <w:tr2bl w:val="nil"/>
                  </w:tcBorders>
                  <w:vAlign w:val="center"/>
                </w:tcPr>
                <w:p>
                  <w:pPr>
                    <w:snapToGrid w:val="0"/>
                    <w:jc w:val="center"/>
                    <w:rPr>
                      <w:color w:val="auto"/>
                      <w:szCs w:val="21"/>
                    </w:rPr>
                  </w:pPr>
                  <w:r>
                    <w:rPr>
                      <w:color w:val="auto"/>
                      <w:szCs w:val="21"/>
                    </w:rPr>
                    <w:t>废水类别</w:t>
                  </w:r>
                </w:p>
              </w:tc>
              <w:tc>
                <w:tcPr>
                  <w:tcW w:w="534" w:type="pct"/>
                  <w:vMerge w:val="restart"/>
                  <w:tcBorders>
                    <w:tl2br w:val="nil"/>
                    <w:tr2bl w:val="nil"/>
                  </w:tcBorders>
                  <w:vAlign w:val="center"/>
                </w:tcPr>
                <w:p>
                  <w:pPr>
                    <w:snapToGrid w:val="0"/>
                    <w:jc w:val="center"/>
                    <w:rPr>
                      <w:color w:val="auto"/>
                      <w:szCs w:val="21"/>
                    </w:rPr>
                  </w:pPr>
                  <w:r>
                    <w:rPr>
                      <w:color w:val="auto"/>
                      <w:szCs w:val="21"/>
                    </w:rPr>
                    <w:t>污染物种类</w:t>
                  </w:r>
                </w:p>
              </w:tc>
              <w:tc>
                <w:tcPr>
                  <w:tcW w:w="336" w:type="pct"/>
                  <w:vMerge w:val="restart"/>
                  <w:tcBorders>
                    <w:tl2br w:val="nil"/>
                    <w:tr2bl w:val="nil"/>
                  </w:tcBorders>
                  <w:vAlign w:val="center"/>
                </w:tcPr>
                <w:p>
                  <w:pPr>
                    <w:snapToGrid w:val="0"/>
                    <w:jc w:val="center"/>
                    <w:rPr>
                      <w:color w:val="auto"/>
                      <w:szCs w:val="21"/>
                    </w:rPr>
                  </w:pPr>
                  <w:r>
                    <w:rPr>
                      <w:rFonts w:hint="eastAsia"/>
                      <w:color w:val="auto"/>
                      <w:szCs w:val="21"/>
                    </w:rPr>
                    <w:t>排放去向</w:t>
                  </w:r>
                </w:p>
              </w:tc>
              <w:tc>
                <w:tcPr>
                  <w:tcW w:w="2326" w:type="pct"/>
                  <w:gridSpan w:val="5"/>
                  <w:tcBorders>
                    <w:tl2br w:val="nil"/>
                    <w:tr2bl w:val="nil"/>
                  </w:tcBorders>
                  <w:vAlign w:val="center"/>
                </w:tcPr>
                <w:p>
                  <w:pPr>
                    <w:snapToGrid w:val="0"/>
                    <w:jc w:val="center"/>
                    <w:rPr>
                      <w:color w:val="auto"/>
                      <w:szCs w:val="21"/>
                    </w:rPr>
                  </w:pPr>
                  <w:r>
                    <w:rPr>
                      <w:color w:val="auto"/>
                      <w:szCs w:val="21"/>
                    </w:rPr>
                    <w:t>污染治理设施</w:t>
                  </w:r>
                </w:p>
              </w:tc>
              <w:tc>
                <w:tcPr>
                  <w:tcW w:w="429" w:type="pct"/>
                  <w:vMerge w:val="restart"/>
                  <w:tcBorders>
                    <w:tl2br w:val="nil"/>
                    <w:tr2bl w:val="nil"/>
                  </w:tcBorders>
                  <w:vAlign w:val="center"/>
                </w:tcPr>
                <w:p>
                  <w:pPr>
                    <w:snapToGrid w:val="0"/>
                    <w:jc w:val="center"/>
                    <w:rPr>
                      <w:color w:val="auto"/>
                      <w:szCs w:val="21"/>
                    </w:rPr>
                  </w:pPr>
                  <w:r>
                    <w:rPr>
                      <w:color w:val="auto"/>
                      <w:szCs w:val="21"/>
                    </w:rPr>
                    <w:t>排放口</w:t>
                  </w:r>
                  <w:r>
                    <w:rPr>
                      <w:rFonts w:hint="eastAsia"/>
                      <w:color w:val="auto"/>
                      <w:szCs w:val="21"/>
                    </w:rPr>
                    <w:t>名称</w:t>
                  </w:r>
                </w:p>
              </w:tc>
              <w:tc>
                <w:tcPr>
                  <w:tcW w:w="460" w:type="pct"/>
                  <w:vMerge w:val="restart"/>
                  <w:tcBorders>
                    <w:tl2br w:val="nil"/>
                    <w:tr2bl w:val="nil"/>
                  </w:tcBorders>
                  <w:vAlign w:val="center"/>
                </w:tcPr>
                <w:p>
                  <w:pPr>
                    <w:snapToGrid w:val="0"/>
                    <w:jc w:val="center"/>
                    <w:rPr>
                      <w:color w:val="auto"/>
                      <w:szCs w:val="21"/>
                    </w:rPr>
                  </w:pPr>
                  <w:r>
                    <w:rPr>
                      <w:color w:val="auto"/>
                      <w:szCs w:val="21"/>
                    </w:rPr>
                    <w:t>排放口</w:t>
                  </w:r>
                </w:p>
                <w:p>
                  <w:pPr>
                    <w:snapToGrid w:val="0"/>
                    <w:jc w:val="center"/>
                    <w:rPr>
                      <w:color w:val="auto"/>
                      <w:szCs w:val="21"/>
                    </w:rPr>
                  </w:pPr>
                  <w:r>
                    <w:rPr>
                      <w:rFonts w:hint="eastAsia"/>
                      <w:color w:val="auto"/>
                      <w:szCs w:val="21"/>
                    </w:rPr>
                    <w:t>编号</w:t>
                  </w:r>
                </w:p>
              </w:tc>
              <w:tc>
                <w:tcPr>
                  <w:tcW w:w="430" w:type="pct"/>
                  <w:vMerge w:val="restart"/>
                  <w:tcBorders>
                    <w:tl2br w:val="nil"/>
                    <w:tr2bl w:val="nil"/>
                  </w:tcBorders>
                  <w:vAlign w:val="center"/>
                </w:tcPr>
                <w:p>
                  <w:pPr>
                    <w:snapToGrid w:val="0"/>
                    <w:jc w:val="center"/>
                    <w:rPr>
                      <w:color w:val="auto"/>
                      <w:szCs w:val="21"/>
                    </w:rPr>
                  </w:pPr>
                  <w:r>
                    <w:rPr>
                      <w:rFonts w:hint="eastAsia"/>
                      <w:color w:val="auto"/>
                      <w:szCs w:val="21"/>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vMerge w:val="continue"/>
                  <w:tcBorders>
                    <w:tl2br w:val="nil"/>
                    <w:tr2bl w:val="nil"/>
                  </w:tcBorders>
                  <w:vAlign w:val="center"/>
                </w:tcPr>
                <w:p>
                  <w:pPr>
                    <w:snapToGrid w:val="0"/>
                    <w:jc w:val="center"/>
                    <w:rPr>
                      <w:color w:val="auto"/>
                      <w:szCs w:val="21"/>
                    </w:rPr>
                  </w:pPr>
                </w:p>
              </w:tc>
              <w:tc>
                <w:tcPr>
                  <w:tcW w:w="336" w:type="pct"/>
                  <w:vMerge w:val="continue"/>
                  <w:tcBorders>
                    <w:tl2br w:val="nil"/>
                    <w:tr2bl w:val="nil"/>
                  </w:tcBorders>
                  <w:vAlign w:val="center"/>
                </w:tcPr>
                <w:p>
                  <w:pPr>
                    <w:snapToGrid w:val="0"/>
                    <w:jc w:val="center"/>
                    <w:rPr>
                      <w:color w:val="auto"/>
                      <w:szCs w:val="21"/>
                    </w:rPr>
                  </w:pPr>
                </w:p>
              </w:tc>
              <w:tc>
                <w:tcPr>
                  <w:tcW w:w="481" w:type="pct"/>
                  <w:tcBorders>
                    <w:tl2br w:val="nil"/>
                    <w:tr2bl w:val="nil"/>
                  </w:tcBorders>
                  <w:vAlign w:val="center"/>
                </w:tcPr>
                <w:p>
                  <w:pPr>
                    <w:snapToGrid w:val="0"/>
                    <w:jc w:val="center"/>
                    <w:rPr>
                      <w:color w:val="auto"/>
                      <w:szCs w:val="21"/>
                    </w:rPr>
                  </w:pPr>
                  <w:r>
                    <w:rPr>
                      <w:color w:val="auto"/>
                      <w:szCs w:val="21"/>
                    </w:rPr>
                    <w:t>污染治理设施名称</w:t>
                  </w:r>
                </w:p>
              </w:tc>
              <w:tc>
                <w:tcPr>
                  <w:tcW w:w="522" w:type="pct"/>
                  <w:tcBorders>
                    <w:tl2br w:val="nil"/>
                    <w:tr2bl w:val="nil"/>
                  </w:tcBorders>
                  <w:vAlign w:val="center"/>
                </w:tcPr>
                <w:p>
                  <w:pPr>
                    <w:snapToGrid w:val="0"/>
                    <w:jc w:val="center"/>
                    <w:rPr>
                      <w:color w:val="auto"/>
                      <w:szCs w:val="21"/>
                    </w:rPr>
                  </w:pPr>
                  <w:r>
                    <w:rPr>
                      <w:color w:val="auto"/>
                      <w:szCs w:val="21"/>
                    </w:rPr>
                    <w:t>污染治理设施工艺</w:t>
                  </w:r>
                </w:p>
              </w:tc>
              <w:tc>
                <w:tcPr>
                  <w:tcW w:w="507" w:type="pct"/>
                  <w:tcBorders>
                    <w:tl2br w:val="nil"/>
                    <w:tr2bl w:val="nil"/>
                  </w:tcBorders>
                  <w:vAlign w:val="center"/>
                </w:tcPr>
                <w:p>
                  <w:pPr>
                    <w:snapToGrid w:val="0"/>
                    <w:jc w:val="center"/>
                    <w:rPr>
                      <w:color w:val="auto"/>
                    </w:rPr>
                  </w:pPr>
                  <w:r>
                    <w:rPr>
                      <w:rFonts w:hint="eastAsia"/>
                      <w:color w:val="auto"/>
                    </w:rPr>
                    <w:t>处理能力</w:t>
                  </w:r>
                </w:p>
                <w:p>
                  <w:pPr>
                    <w:pStyle w:val="5"/>
                    <w:ind w:firstLine="412" w:firstLineChars="200"/>
                    <w:rPr>
                      <w:color w:val="auto"/>
                    </w:rPr>
                  </w:pPr>
                  <w:r>
                    <w:rPr>
                      <w:rFonts w:hint="eastAsia"/>
                      <w:color w:val="auto"/>
                      <w:sz w:val="21"/>
                      <w:szCs w:val="21"/>
                    </w:rPr>
                    <w:t>（t/d）</w:t>
                  </w:r>
                </w:p>
              </w:tc>
              <w:tc>
                <w:tcPr>
                  <w:tcW w:w="390" w:type="pct"/>
                  <w:tcBorders>
                    <w:tl2br w:val="nil"/>
                    <w:tr2bl w:val="nil"/>
                  </w:tcBorders>
                  <w:vAlign w:val="center"/>
                </w:tcPr>
                <w:p>
                  <w:pPr>
                    <w:snapToGrid w:val="0"/>
                    <w:jc w:val="center"/>
                    <w:rPr>
                      <w:color w:val="auto"/>
                    </w:rPr>
                  </w:pPr>
                  <w:r>
                    <w:rPr>
                      <w:rFonts w:hint="eastAsia"/>
                      <w:color w:val="auto"/>
                    </w:rPr>
                    <w:t>去除效率</w:t>
                  </w:r>
                </w:p>
                <w:p>
                  <w:pPr>
                    <w:pStyle w:val="5"/>
                    <w:ind w:firstLine="206" w:firstLineChars="100"/>
                    <w:rPr>
                      <w:color w:val="auto"/>
                    </w:rPr>
                  </w:pPr>
                  <w:r>
                    <w:rPr>
                      <w:rFonts w:hint="eastAsia"/>
                      <w:color w:val="auto"/>
                      <w:sz w:val="21"/>
                      <w:szCs w:val="21"/>
                    </w:rPr>
                    <w:t>（%)</w:t>
                  </w:r>
                </w:p>
              </w:tc>
              <w:tc>
                <w:tcPr>
                  <w:tcW w:w="426" w:type="pct"/>
                  <w:tcBorders>
                    <w:tl2br w:val="nil"/>
                    <w:tr2bl w:val="nil"/>
                  </w:tcBorders>
                  <w:vAlign w:val="center"/>
                </w:tcPr>
                <w:p>
                  <w:pPr>
                    <w:snapToGrid w:val="0"/>
                    <w:jc w:val="center"/>
                    <w:rPr>
                      <w:color w:val="auto"/>
                      <w:szCs w:val="21"/>
                    </w:rPr>
                  </w:pPr>
                  <w:r>
                    <w:rPr>
                      <w:color w:val="auto"/>
                      <w:szCs w:val="21"/>
                    </w:rPr>
                    <w:t>是否</w:t>
                  </w:r>
                  <w:r>
                    <w:rPr>
                      <w:rFonts w:hint="eastAsia"/>
                      <w:color w:val="auto"/>
                      <w:szCs w:val="21"/>
                    </w:rPr>
                    <w:t>为可行的技术</w:t>
                  </w: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restart"/>
                  <w:tcBorders>
                    <w:tl2br w:val="nil"/>
                    <w:tr2bl w:val="nil"/>
                  </w:tcBorders>
                  <w:vAlign w:val="center"/>
                </w:tcPr>
                <w:p>
                  <w:pPr>
                    <w:snapToGrid w:val="0"/>
                    <w:jc w:val="center"/>
                    <w:rPr>
                      <w:color w:val="auto"/>
                      <w:szCs w:val="21"/>
                    </w:rPr>
                  </w:pPr>
                  <w:r>
                    <w:rPr>
                      <w:color w:val="auto"/>
                      <w:szCs w:val="21"/>
                    </w:rPr>
                    <w:t>1</w:t>
                  </w:r>
                </w:p>
              </w:tc>
              <w:tc>
                <w:tcPr>
                  <w:tcW w:w="358" w:type="pct"/>
                  <w:vMerge w:val="restart"/>
                  <w:tcBorders>
                    <w:tl2br w:val="nil"/>
                    <w:tr2bl w:val="nil"/>
                  </w:tcBorders>
                  <w:vAlign w:val="center"/>
                </w:tcPr>
                <w:p>
                  <w:pPr>
                    <w:snapToGrid w:val="0"/>
                    <w:jc w:val="center"/>
                    <w:rPr>
                      <w:color w:val="auto"/>
                      <w:szCs w:val="21"/>
                    </w:rPr>
                  </w:pPr>
                  <w:r>
                    <w:rPr>
                      <w:rFonts w:hint="eastAsia"/>
                      <w:color w:val="auto"/>
                      <w:szCs w:val="21"/>
                    </w:rPr>
                    <w:t>生活废水</w:t>
                  </w:r>
                </w:p>
              </w:tc>
              <w:tc>
                <w:tcPr>
                  <w:tcW w:w="534" w:type="pct"/>
                  <w:tcBorders>
                    <w:tl2br w:val="nil"/>
                    <w:tr2bl w:val="nil"/>
                  </w:tcBorders>
                  <w:vAlign w:val="center"/>
                </w:tcPr>
                <w:p>
                  <w:pPr>
                    <w:snapToGrid w:val="0"/>
                    <w:jc w:val="center"/>
                    <w:rPr>
                      <w:color w:val="auto"/>
                      <w:szCs w:val="21"/>
                    </w:rPr>
                  </w:pPr>
                  <w:r>
                    <w:rPr>
                      <w:rFonts w:hint="eastAsia"/>
                      <w:color w:val="auto"/>
                      <w:szCs w:val="21"/>
                    </w:rPr>
                    <w:t>pH</w:t>
                  </w:r>
                </w:p>
              </w:tc>
              <w:tc>
                <w:tcPr>
                  <w:tcW w:w="336" w:type="pct"/>
                  <w:vMerge w:val="restart"/>
                  <w:tcBorders>
                    <w:tl2br w:val="nil"/>
                    <w:tr2bl w:val="nil"/>
                  </w:tcBorders>
                  <w:vAlign w:val="center"/>
                </w:tcPr>
                <w:p>
                  <w:pPr>
                    <w:snapToGrid w:val="0"/>
                    <w:jc w:val="center"/>
                    <w:rPr>
                      <w:color w:val="auto"/>
                      <w:szCs w:val="21"/>
                    </w:rPr>
                  </w:pPr>
                  <w:r>
                    <w:rPr>
                      <w:rFonts w:hint="eastAsia"/>
                      <w:color w:val="auto"/>
                      <w:szCs w:val="21"/>
                    </w:rPr>
                    <w:t>排入魏县开发区污水处理厂处理</w:t>
                  </w:r>
                </w:p>
              </w:tc>
              <w:tc>
                <w:tcPr>
                  <w:tcW w:w="481" w:type="pct"/>
                  <w:vMerge w:val="restart"/>
                  <w:tcBorders>
                    <w:tl2br w:val="nil"/>
                    <w:tr2bl w:val="nil"/>
                  </w:tcBorders>
                  <w:vAlign w:val="center"/>
                </w:tcPr>
                <w:p>
                  <w:pPr>
                    <w:snapToGrid w:val="0"/>
                    <w:jc w:val="center"/>
                    <w:rPr>
                      <w:color w:val="auto"/>
                      <w:szCs w:val="21"/>
                    </w:rPr>
                  </w:pPr>
                  <w:r>
                    <w:rPr>
                      <w:rFonts w:hint="eastAsia"/>
                      <w:color w:val="auto"/>
                      <w:szCs w:val="21"/>
                    </w:rPr>
                    <w:t>化粪池</w:t>
                  </w:r>
                </w:p>
              </w:tc>
              <w:tc>
                <w:tcPr>
                  <w:tcW w:w="522" w:type="pct"/>
                  <w:vMerge w:val="restart"/>
                  <w:tcBorders>
                    <w:tl2br w:val="nil"/>
                    <w:tr2bl w:val="nil"/>
                  </w:tcBorders>
                  <w:vAlign w:val="center"/>
                </w:tcPr>
                <w:p>
                  <w:pPr>
                    <w:snapToGrid w:val="0"/>
                    <w:jc w:val="center"/>
                    <w:rPr>
                      <w:color w:val="auto"/>
                      <w:szCs w:val="21"/>
                    </w:rPr>
                  </w:pPr>
                  <w:r>
                    <w:rPr>
                      <w:rFonts w:hint="eastAsia"/>
                      <w:color w:val="auto"/>
                      <w:szCs w:val="21"/>
                    </w:rPr>
                    <w:t>化粪池</w:t>
                  </w:r>
                </w:p>
              </w:tc>
              <w:tc>
                <w:tcPr>
                  <w:tcW w:w="507" w:type="pct"/>
                  <w:vMerge w:val="restart"/>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2.08</w:t>
                  </w:r>
                </w:p>
              </w:tc>
              <w:tc>
                <w:tcPr>
                  <w:tcW w:w="390" w:type="pct"/>
                  <w:tcBorders>
                    <w:tl2br w:val="nil"/>
                    <w:tr2bl w:val="nil"/>
                  </w:tcBorders>
                  <w:vAlign w:val="center"/>
                </w:tcPr>
                <w:p>
                  <w:pPr>
                    <w:snapToGrid w:val="0"/>
                    <w:jc w:val="center"/>
                    <w:rPr>
                      <w:color w:val="auto"/>
                      <w:szCs w:val="21"/>
                    </w:rPr>
                  </w:pPr>
                  <w:r>
                    <w:rPr>
                      <w:rFonts w:hint="eastAsia"/>
                      <w:color w:val="auto"/>
                      <w:szCs w:val="21"/>
                    </w:rPr>
                    <w:t>/</w:t>
                  </w:r>
                </w:p>
              </w:tc>
              <w:tc>
                <w:tcPr>
                  <w:tcW w:w="426" w:type="pct"/>
                  <w:vMerge w:val="restart"/>
                  <w:tcBorders>
                    <w:tl2br w:val="nil"/>
                    <w:tr2bl w:val="nil"/>
                  </w:tcBorders>
                  <w:vAlign w:val="center"/>
                </w:tcPr>
                <w:p>
                  <w:pPr>
                    <w:snapToGrid w:val="0"/>
                    <w:jc w:val="center"/>
                    <w:rPr>
                      <w:color w:val="auto"/>
                      <w:szCs w:val="21"/>
                    </w:rPr>
                  </w:pPr>
                  <w:r>
                    <w:rPr>
                      <w:rFonts w:hint="eastAsia"/>
                      <w:color w:val="auto"/>
                      <w:szCs w:val="21"/>
                    </w:rPr>
                    <w:t>是</w:t>
                  </w:r>
                </w:p>
              </w:tc>
              <w:tc>
                <w:tcPr>
                  <w:tcW w:w="429" w:type="pct"/>
                  <w:vMerge w:val="restart"/>
                  <w:tcBorders>
                    <w:tl2br w:val="nil"/>
                    <w:tr2bl w:val="nil"/>
                  </w:tcBorders>
                  <w:vAlign w:val="center"/>
                </w:tcPr>
                <w:p>
                  <w:pPr>
                    <w:snapToGrid w:val="0"/>
                    <w:jc w:val="center"/>
                    <w:rPr>
                      <w:color w:val="auto"/>
                      <w:szCs w:val="21"/>
                    </w:rPr>
                  </w:pPr>
                </w:p>
                <w:p>
                  <w:pPr>
                    <w:snapToGrid w:val="0"/>
                    <w:jc w:val="center"/>
                    <w:rPr>
                      <w:color w:val="auto"/>
                      <w:szCs w:val="21"/>
                    </w:rPr>
                  </w:pPr>
                  <w:r>
                    <w:rPr>
                      <w:rFonts w:hint="eastAsia"/>
                      <w:color w:val="auto"/>
                      <w:szCs w:val="21"/>
                    </w:rPr>
                    <w:t>厂区污水总排口</w:t>
                  </w:r>
                </w:p>
                <w:p>
                  <w:pPr>
                    <w:snapToGrid w:val="0"/>
                    <w:jc w:val="center"/>
                    <w:rPr>
                      <w:color w:val="auto"/>
                      <w:szCs w:val="21"/>
                    </w:rPr>
                  </w:pPr>
                </w:p>
              </w:tc>
              <w:tc>
                <w:tcPr>
                  <w:tcW w:w="460" w:type="pct"/>
                  <w:vMerge w:val="restart"/>
                  <w:tcBorders>
                    <w:tl2br w:val="nil"/>
                    <w:tr2bl w:val="nil"/>
                  </w:tcBorders>
                  <w:vAlign w:val="center"/>
                </w:tcPr>
                <w:p>
                  <w:pPr>
                    <w:snapToGrid w:val="0"/>
                    <w:jc w:val="center"/>
                    <w:rPr>
                      <w:color w:val="auto"/>
                      <w:szCs w:val="21"/>
                    </w:rPr>
                  </w:pPr>
                </w:p>
                <w:p>
                  <w:pPr>
                    <w:snapToGrid w:val="0"/>
                    <w:jc w:val="center"/>
                    <w:rPr>
                      <w:color w:val="auto"/>
                      <w:szCs w:val="21"/>
                    </w:rPr>
                  </w:pPr>
                  <w:r>
                    <w:rPr>
                      <w:rFonts w:hint="eastAsia"/>
                      <w:color w:val="auto"/>
                      <w:szCs w:val="21"/>
                    </w:rPr>
                    <w:t>DW001</w:t>
                  </w:r>
                </w:p>
                <w:p>
                  <w:pPr>
                    <w:snapToGrid w:val="0"/>
                    <w:jc w:val="center"/>
                    <w:rPr>
                      <w:color w:val="auto"/>
                      <w:szCs w:val="21"/>
                    </w:rPr>
                  </w:pPr>
                </w:p>
              </w:tc>
              <w:tc>
                <w:tcPr>
                  <w:tcW w:w="430" w:type="pct"/>
                  <w:vMerge w:val="restart"/>
                  <w:tcBorders>
                    <w:tl2br w:val="nil"/>
                    <w:tr2bl w:val="nil"/>
                  </w:tcBorders>
                  <w:vAlign w:val="center"/>
                </w:tcPr>
                <w:p>
                  <w:pPr>
                    <w:snapToGrid w:val="0"/>
                    <w:jc w:val="center"/>
                    <w:rPr>
                      <w:color w:val="auto"/>
                      <w:szCs w:val="21"/>
                    </w:rPr>
                  </w:pPr>
                </w:p>
                <w:p>
                  <w:pPr>
                    <w:snapToGrid w:val="0"/>
                    <w:jc w:val="center"/>
                    <w:rPr>
                      <w:color w:val="auto"/>
                      <w:szCs w:val="21"/>
                    </w:rPr>
                  </w:pPr>
                  <w:r>
                    <w:rPr>
                      <w:rFonts w:hint="eastAsia"/>
                      <w:color w:val="auto"/>
                      <w:szCs w:val="21"/>
                    </w:rPr>
                    <w:t>一般排放口</w:t>
                  </w:r>
                </w:p>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rPr>
                  </w:pPr>
                </w:p>
              </w:tc>
              <w:tc>
                <w:tcPr>
                  <w:tcW w:w="358" w:type="pct"/>
                  <w:vMerge w:val="continue"/>
                  <w:tcBorders>
                    <w:tl2br w:val="nil"/>
                    <w:tr2bl w:val="nil"/>
                  </w:tcBorders>
                  <w:vAlign w:val="center"/>
                </w:tcPr>
                <w:p>
                  <w:pPr>
                    <w:snapToGrid w:val="0"/>
                    <w:jc w:val="center"/>
                    <w:rPr>
                      <w:color w:val="auto"/>
                    </w:rPr>
                  </w:pPr>
                </w:p>
              </w:tc>
              <w:tc>
                <w:tcPr>
                  <w:tcW w:w="534" w:type="pct"/>
                  <w:tcBorders>
                    <w:tl2br w:val="nil"/>
                    <w:tr2bl w:val="nil"/>
                  </w:tcBorders>
                  <w:vAlign w:val="center"/>
                </w:tcPr>
                <w:p>
                  <w:pPr>
                    <w:snapToGrid w:val="0"/>
                    <w:jc w:val="center"/>
                    <w:rPr>
                      <w:color w:val="auto"/>
                      <w:szCs w:val="21"/>
                    </w:rPr>
                  </w:pPr>
                  <w:r>
                    <w:rPr>
                      <w:color w:val="auto"/>
                      <w:szCs w:val="21"/>
                    </w:rPr>
                    <w:t>COD</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30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BOD</w:t>
                  </w:r>
                  <w:r>
                    <w:rPr>
                      <w:color w:val="auto"/>
                      <w:szCs w:val="21"/>
                      <w:vertAlign w:val="subscript"/>
                    </w:rPr>
                    <w:t>5</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20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SS</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15</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氨氮</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restart"/>
                  <w:tcBorders>
                    <w:tl2br w:val="nil"/>
                    <w:tr2bl w:val="nil"/>
                  </w:tcBorders>
                  <w:vAlign w:val="center"/>
                </w:tcPr>
                <w:p>
                  <w:pPr>
                    <w:snapToGrid w:val="0"/>
                    <w:jc w:val="center"/>
                    <w:rPr>
                      <w:color w:val="auto"/>
                      <w:szCs w:val="21"/>
                    </w:rPr>
                  </w:pPr>
                  <w:r>
                    <w:rPr>
                      <w:rFonts w:hint="eastAsia"/>
                      <w:color w:val="auto"/>
                      <w:szCs w:val="21"/>
                    </w:rPr>
                    <w:t>2</w:t>
                  </w:r>
                </w:p>
              </w:tc>
              <w:tc>
                <w:tcPr>
                  <w:tcW w:w="358" w:type="pct"/>
                  <w:vMerge w:val="restart"/>
                  <w:tcBorders>
                    <w:tl2br w:val="nil"/>
                    <w:tr2bl w:val="nil"/>
                  </w:tcBorders>
                  <w:vAlign w:val="center"/>
                </w:tcPr>
                <w:p>
                  <w:pPr>
                    <w:snapToGrid w:val="0"/>
                    <w:jc w:val="center"/>
                    <w:rPr>
                      <w:color w:val="auto"/>
                      <w:szCs w:val="21"/>
                    </w:rPr>
                  </w:pPr>
                  <w:r>
                    <w:rPr>
                      <w:rFonts w:hint="eastAsia"/>
                      <w:color w:val="auto"/>
                      <w:szCs w:val="21"/>
                    </w:rPr>
                    <w:t>脱脂废水、清洗废水</w:t>
                  </w:r>
                </w:p>
              </w:tc>
              <w:tc>
                <w:tcPr>
                  <w:tcW w:w="534" w:type="pct"/>
                  <w:tcBorders>
                    <w:tl2br w:val="nil"/>
                    <w:tr2bl w:val="nil"/>
                  </w:tcBorders>
                  <w:vAlign w:val="center"/>
                </w:tcPr>
                <w:p>
                  <w:pPr>
                    <w:snapToGrid w:val="0"/>
                    <w:jc w:val="center"/>
                    <w:rPr>
                      <w:color w:val="auto"/>
                      <w:szCs w:val="21"/>
                    </w:rPr>
                  </w:pPr>
                  <w:r>
                    <w:rPr>
                      <w:rFonts w:hint="eastAsia"/>
                      <w:color w:val="auto"/>
                      <w:szCs w:val="21"/>
                    </w:rPr>
                    <w:t>pH</w:t>
                  </w:r>
                </w:p>
              </w:tc>
              <w:tc>
                <w:tcPr>
                  <w:tcW w:w="336" w:type="pct"/>
                  <w:vMerge w:val="restart"/>
                  <w:tcBorders>
                    <w:tl2br w:val="nil"/>
                    <w:tr2bl w:val="nil"/>
                  </w:tcBorders>
                  <w:vAlign w:val="center"/>
                </w:tcPr>
                <w:p>
                  <w:pPr>
                    <w:snapToGrid w:val="0"/>
                    <w:jc w:val="center"/>
                    <w:rPr>
                      <w:color w:val="auto"/>
                      <w:szCs w:val="21"/>
                    </w:rPr>
                  </w:pPr>
                  <w:r>
                    <w:rPr>
                      <w:rFonts w:hint="eastAsia"/>
                      <w:color w:val="auto"/>
                      <w:szCs w:val="21"/>
                    </w:rPr>
                    <w:t>排入魏县开发区污水处理厂处理</w:t>
                  </w:r>
                </w:p>
              </w:tc>
              <w:tc>
                <w:tcPr>
                  <w:tcW w:w="481" w:type="pct"/>
                  <w:vMerge w:val="restart"/>
                  <w:tcBorders>
                    <w:tl2br w:val="nil"/>
                    <w:tr2bl w:val="nil"/>
                  </w:tcBorders>
                  <w:vAlign w:val="center"/>
                </w:tcPr>
                <w:p>
                  <w:pPr>
                    <w:snapToGrid w:val="0"/>
                    <w:jc w:val="center"/>
                    <w:rPr>
                      <w:color w:val="auto"/>
                      <w:szCs w:val="21"/>
                    </w:rPr>
                  </w:pPr>
                  <w:r>
                    <w:rPr>
                      <w:rFonts w:hint="eastAsia"/>
                      <w:color w:val="auto"/>
                      <w:szCs w:val="21"/>
                    </w:rPr>
                    <w:t>一体化污水处理设施</w:t>
                  </w:r>
                </w:p>
              </w:tc>
              <w:tc>
                <w:tcPr>
                  <w:tcW w:w="522" w:type="pct"/>
                  <w:vMerge w:val="restart"/>
                  <w:tcBorders>
                    <w:tl2br w:val="nil"/>
                    <w:tr2bl w:val="nil"/>
                  </w:tcBorders>
                  <w:vAlign w:val="center"/>
                </w:tcPr>
                <w:p>
                  <w:pPr>
                    <w:snapToGrid w:val="0"/>
                    <w:jc w:val="center"/>
                    <w:rPr>
                      <w:color w:val="auto"/>
                      <w:szCs w:val="21"/>
                    </w:rPr>
                  </w:pPr>
                  <w:r>
                    <w:rPr>
                      <w:rFonts w:hint="eastAsia"/>
                      <w:color w:val="auto"/>
                      <w:szCs w:val="21"/>
                    </w:rPr>
                    <w:t>隔油+混凝沉淀+气浮+活性炭碳滤</w:t>
                  </w:r>
                </w:p>
              </w:tc>
              <w:tc>
                <w:tcPr>
                  <w:tcW w:w="507" w:type="pct"/>
                  <w:vMerge w:val="restart"/>
                  <w:tcBorders>
                    <w:tl2br w:val="nil"/>
                    <w:tr2bl w:val="nil"/>
                  </w:tcBorders>
                  <w:vAlign w:val="center"/>
                </w:tcPr>
                <w:p>
                  <w:pPr>
                    <w:snapToGrid w:val="0"/>
                    <w:jc w:val="center"/>
                    <w:rPr>
                      <w:color w:val="auto"/>
                      <w:szCs w:val="21"/>
                    </w:rPr>
                  </w:pPr>
                  <w:r>
                    <w:rPr>
                      <w:rFonts w:hint="eastAsia"/>
                      <w:color w:val="auto"/>
                      <w:szCs w:val="21"/>
                    </w:rPr>
                    <w:t>10</w:t>
                  </w:r>
                </w:p>
              </w:tc>
              <w:tc>
                <w:tcPr>
                  <w:tcW w:w="390" w:type="pct"/>
                  <w:tcBorders>
                    <w:tl2br w:val="nil"/>
                    <w:tr2bl w:val="nil"/>
                  </w:tcBorders>
                  <w:vAlign w:val="center"/>
                </w:tcPr>
                <w:p>
                  <w:pPr>
                    <w:snapToGrid w:val="0"/>
                    <w:jc w:val="center"/>
                    <w:rPr>
                      <w:color w:val="auto"/>
                      <w:szCs w:val="21"/>
                    </w:rPr>
                  </w:pPr>
                  <w:r>
                    <w:rPr>
                      <w:rFonts w:hint="eastAsia"/>
                      <w:color w:val="auto"/>
                      <w:szCs w:val="21"/>
                    </w:rPr>
                    <w:t>/</w:t>
                  </w:r>
                </w:p>
              </w:tc>
              <w:tc>
                <w:tcPr>
                  <w:tcW w:w="426" w:type="pct"/>
                  <w:vMerge w:val="restart"/>
                  <w:tcBorders>
                    <w:tl2br w:val="nil"/>
                    <w:tr2bl w:val="nil"/>
                  </w:tcBorders>
                  <w:vAlign w:val="center"/>
                </w:tcPr>
                <w:p>
                  <w:pPr>
                    <w:snapToGrid w:val="0"/>
                    <w:jc w:val="center"/>
                    <w:rPr>
                      <w:color w:val="auto"/>
                      <w:szCs w:val="21"/>
                    </w:rPr>
                  </w:pPr>
                  <w:r>
                    <w:rPr>
                      <w:rFonts w:hint="eastAsia"/>
                      <w:color w:val="auto"/>
                      <w:szCs w:val="21"/>
                    </w:rPr>
                    <w:t>是</w:t>
                  </w: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COD</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70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SS</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60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color w:val="auto"/>
                      <w:szCs w:val="21"/>
                    </w:rPr>
                    <w:t>氨氮</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40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Borders>
                    <w:tl2br w:val="nil"/>
                    <w:tr2bl w:val="nil"/>
                  </w:tcBorders>
                  <w:vAlign w:val="center"/>
                </w:tcPr>
                <w:p>
                  <w:pPr>
                    <w:snapToGrid w:val="0"/>
                    <w:jc w:val="center"/>
                    <w:rPr>
                      <w:color w:val="auto"/>
                      <w:szCs w:val="21"/>
                    </w:rPr>
                  </w:pPr>
                </w:p>
              </w:tc>
              <w:tc>
                <w:tcPr>
                  <w:tcW w:w="358" w:type="pct"/>
                  <w:vMerge w:val="continue"/>
                  <w:tcBorders>
                    <w:tl2br w:val="nil"/>
                    <w:tr2bl w:val="nil"/>
                  </w:tcBorders>
                  <w:vAlign w:val="center"/>
                </w:tcPr>
                <w:p>
                  <w:pPr>
                    <w:snapToGrid w:val="0"/>
                    <w:jc w:val="center"/>
                    <w:rPr>
                      <w:color w:val="auto"/>
                      <w:szCs w:val="21"/>
                    </w:rPr>
                  </w:pPr>
                </w:p>
              </w:tc>
              <w:tc>
                <w:tcPr>
                  <w:tcW w:w="534" w:type="pct"/>
                  <w:tcBorders>
                    <w:tl2br w:val="nil"/>
                    <w:tr2bl w:val="nil"/>
                  </w:tcBorders>
                  <w:vAlign w:val="center"/>
                </w:tcPr>
                <w:p>
                  <w:pPr>
                    <w:snapToGrid w:val="0"/>
                    <w:jc w:val="center"/>
                    <w:rPr>
                      <w:color w:val="auto"/>
                      <w:szCs w:val="21"/>
                    </w:rPr>
                  </w:pPr>
                  <w:r>
                    <w:rPr>
                      <w:rFonts w:hint="eastAsia"/>
                      <w:color w:val="auto"/>
                      <w:szCs w:val="21"/>
                    </w:rPr>
                    <w:t>阴离子表面活性剂</w:t>
                  </w:r>
                </w:p>
              </w:tc>
              <w:tc>
                <w:tcPr>
                  <w:tcW w:w="336" w:type="pct"/>
                  <w:vMerge w:val="continue"/>
                  <w:tcBorders>
                    <w:tl2br w:val="nil"/>
                    <w:tr2bl w:val="nil"/>
                  </w:tcBorders>
                  <w:vAlign w:val="center"/>
                </w:tcPr>
                <w:p>
                  <w:pPr>
                    <w:snapToGrid w:val="0"/>
                    <w:jc w:val="center"/>
                    <w:rPr>
                      <w:color w:val="auto"/>
                      <w:szCs w:val="21"/>
                    </w:rPr>
                  </w:pPr>
                </w:p>
              </w:tc>
              <w:tc>
                <w:tcPr>
                  <w:tcW w:w="481" w:type="pct"/>
                  <w:vMerge w:val="continue"/>
                  <w:tcBorders>
                    <w:tl2br w:val="nil"/>
                    <w:tr2bl w:val="nil"/>
                  </w:tcBorders>
                  <w:vAlign w:val="center"/>
                </w:tcPr>
                <w:p>
                  <w:pPr>
                    <w:snapToGrid w:val="0"/>
                    <w:jc w:val="center"/>
                    <w:rPr>
                      <w:color w:val="auto"/>
                      <w:szCs w:val="21"/>
                    </w:rPr>
                  </w:pPr>
                </w:p>
              </w:tc>
              <w:tc>
                <w:tcPr>
                  <w:tcW w:w="522" w:type="pct"/>
                  <w:vMerge w:val="continue"/>
                  <w:tcBorders>
                    <w:tl2br w:val="nil"/>
                    <w:tr2bl w:val="nil"/>
                  </w:tcBorders>
                  <w:vAlign w:val="center"/>
                </w:tcPr>
                <w:p>
                  <w:pPr>
                    <w:snapToGrid w:val="0"/>
                    <w:jc w:val="center"/>
                    <w:rPr>
                      <w:color w:val="auto"/>
                      <w:szCs w:val="21"/>
                    </w:rPr>
                  </w:pPr>
                </w:p>
              </w:tc>
              <w:tc>
                <w:tcPr>
                  <w:tcW w:w="507" w:type="pct"/>
                  <w:vMerge w:val="continue"/>
                  <w:tcBorders>
                    <w:tl2br w:val="nil"/>
                    <w:tr2bl w:val="nil"/>
                  </w:tcBorders>
                  <w:vAlign w:val="center"/>
                </w:tcPr>
                <w:p>
                  <w:pPr>
                    <w:snapToGrid w:val="0"/>
                    <w:jc w:val="center"/>
                    <w:rPr>
                      <w:color w:val="auto"/>
                      <w:szCs w:val="21"/>
                    </w:rPr>
                  </w:pPr>
                </w:p>
              </w:tc>
              <w:tc>
                <w:tcPr>
                  <w:tcW w:w="390" w:type="pct"/>
                  <w:tcBorders>
                    <w:tl2br w:val="nil"/>
                    <w:tr2bl w:val="nil"/>
                  </w:tcBorders>
                  <w:vAlign w:val="center"/>
                </w:tcPr>
                <w:p>
                  <w:pPr>
                    <w:snapToGrid w:val="0"/>
                    <w:jc w:val="center"/>
                    <w:rPr>
                      <w:color w:val="auto"/>
                      <w:szCs w:val="21"/>
                    </w:rPr>
                  </w:pPr>
                  <w:r>
                    <w:rPr>
                      <w:rFonts w:hint="eastAsia"/>
                      <w:color w:val="auto"/>
                      <w:szCs w:val="21"/>
                    </w:rPr>
                    <w:t>70</w:t>
                  </w:r>
                </w:p>
              </w:tc>
              <w:tc>
                <w:tcPr>
                  <w:tcW w:w="426" w:type="pct"/>
                  <w:vMerge w:val="continue"/>
                  <w:tcBorders>
                    <w:tl2br w:val="nil"/>
                    <w:tr2bl w:val="nil"/>
                  </w:tcBorders>
                  <w:vAlign w:val="center"/>
                </w:tcPr>
                <w:p>
                  <w:pPr>
                    <w:snapToGrid w:val="0"/>
                    <w:jc w:val="center"/>
                    <w:rPr>
                      <w:color w:val="auto"/>
                      <w:szCs w:val="21"/>
                    </w:rPr>
                  </w:pPr>
                </w:p>
              </w:tc>
              <w:tc>
                <w:tcPr>
                  <w:tcW w:w="429" w:type="pct"/>
                  <w:vMerge w:val="continue"/>
                  <w:tcBorders>
                    <w:tl2br w:val="nil"/>
                    <w:tr2bl w:val="nil"/>
                  </w:tcBorders>
                  <w:vAlign w:val="center"/>
                </w:tcPr>
                <w:p>
                  <w:pPr>
                    <w:snapToGrid w:val="0"/>
                    <w:jc w:val="center"/>
                    <w:rPr>
                      <w:color w:val="auto"/>
                      <w:szCs w:val="21"/>
                    </w:rPr>
                  </w:pPr>
                </w:p>
              </w:tc>
              <w:tc>
                <w:tcPr>
                  <w:tcW w:w="460" w:type="pct"/>
                  <w:vMerge w:val="continue"/>
                  <w:tcBorders>
                    <w:tl2br w:val="nil"/>
                    <w:tr2bl w:val="nil"/>
                  </w:tcBorders>
                  <w:vAlign w:val="center"/>
                </w:tcPr>
                <w:p>
                  <w:pPr>
                    <w:snapToGrid w:val="0"/>
                    <w:jc w:val="center"/>
                    <w:rPr>
                      <w:color w:val="auto"/>
                      <w:szCs w:val="21"/>
                    </w:rPr>
                  </w:pPr>
                </w:p>
              </w:tc>
              <w:tc>
                <w:tcPr>
                  <w:tcW w:w="430" w:type="pct"/>
                  <w:vMerge w:val="continue"/>
                  <w:tcBorders>
                    <w:tl2br w:val="nil"/>
                    <w:tr2bl w:val="nil"/>
                  </w:tcBorders>
                  <w:vAlign w:val="center"/>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Pr>
                <w:p>
                  <w:pPr>
                    <w:snapToGrid w:val="0"/>
                    <w:jc w:val="center"/>
                    <w:rPr>
                      <w:color w:val="auto"/>
                      <w:szCs w:val="21"/>
                    </w:rPr>
                  </w:pPr>
                </w:p>
              </w:tc>
              <w:tc>
                <w:tcPr>
                  <w:tcW w:w="358" w:type="pct"/>
                  <w:vMerge w:val="continue"/>
                </w:tcPr>
                <w:p>
                  <w:pPr>
                    <w:snapToGrid w:val="0"/>
                    <w:jc w:val="center"/>
                    <w:rPr>
                      <w:color w:val="auto"/>
                      <w:szCs w:val="21"/>
                    </w:rPr>
                  </w:pPr>
                </w:p>
              </w:tc>
              <w:tc>
                <w:tcPr>
                  <w:tcW w:w="0" w:type="auto"/>
                  <w:vAlign w:val="center"/>
                </w:tcPr>
                <w:p>
                  <w:pPr>
                    <w:snapToGrid w:val="0"/>
                    <w:jc w:val="center"/>
                    <w:rPr>
                      <w:color w:val="auto"/>
                      <w:szCs w:val="21"/>
                    </w:rPr>
                  </w:pPr>
                  <w:r>
                    <w:rPr>
                      <w:rFonts w:hint="eastAsia"/>
                      <w:color w:val="auto"/>
                      <w:szCs w:val="21"/>
                    </w:rPr>
                    <w:t>总磷</w:t>
                  </w:r>
                </w:p>
              </w:tc>
              <w:tc>
                <w:tcPr>
                  <w:tcW w:w="336" w:type="pct"/>
                  <w:vMerge w:val="continue"/>
                </w:tcPr>
                <w:p>
                  <w:pPr>
                    <w:snapToGrid w:val="0"/>
                    <w:jc w:val="center"/>
                    <w:rPr>
                      <w:color w:val="auto"/>
                      <w:szCs w:val="21"/>
                    </w:rPr>
                  </w:pPr>
                </w:p>
              </w:tc>
              <w:tc>
                <w:tcPr>
                  <w:tcW w:w="481" w:type="pct"/>
                  <w:vMerge w:val="continue"/>
                </w:tcPr>
                <w:p>
                  <w:pPr>
                    <w:snapToGrid w:val="0"/>
                    <w:jc w:val="center"/>
                    <w:rPr>
                      <w:color w:val="auto"/>
                      <w:szCs w:val="21"/>
                    </w:rPr>
                  </w:pPr>
                </w:p>
              </w:tc>
              <w:tc>
                <w:tcPr>
                  <w:tcW w:w="522" w:type="pct"/>
                  <w:vMerge w:val="continue"/>
                </w:tcPr>
                <w:p>
                  <w:pPr>
                    <w:snapToGrid w:val="0"/>
                    <w:jc w:val="center"/>
                    <w:rPr>
                      <w:color w:val="auto"/>
                      <w:szCs w:val="21"/>
                    </w:rPr>
                  </w:pPr>
                </w:p>
              </w:tc>
              <w:tc>
                <w:tcPr>
                  <w:tcW w:w="507" w:type="pct"/>
                  <w:vMerge w:val="continue"/>
                </w:tcPr>
                <w:p>
                  <w:pPr>
                    <w:snapToGrid w:val="0"/>
                    <w:jc w:val="center"/>
                    <w:rPr>
                      <w:color w:val="auto"/>
                      <w:szCs w:val="21"/>
                    </w:rPr>
                  </w:pPr>
                </w:p>
              </w:tc>
              <w:tc>
                <w:tcPr>
                  <w:tcW w:w="0" w:type="auto"/>
                </w:tcPr>
                <w:p>
                  <w:pPr>
                    <w:snapToGrid w:val="0"/>
                    <w:jc w:val="center"/>
                    <w:rPr>
                      <w:rFonts w:hint="default" w:eastAsia="宋体"/>
                      <w:color w:val="auto"/>
                      <w:szCs w:val="21"/>
                      <w:lang w:val="en-US" w:eastAsia="zh-CN"/>
                    </w:rPr>
                  </w:pPr>
                  <w:r>
                    <w:rPr>
                      <w:rFonts w:hint="eastAsia"/>
                      <w:color w:val="auto"/>
                      <w:szCs w:val="21"/>
                      <w:lang w:val="en-US" w:eastAsia="zh-CN"/>
                    </w:rPr>
                    <w:t>40</w:t>
                  </w:r>
                </w:p>
              </w:tc>
              <w:tc>
                <w:tcPr>
                  <w:tcW w:w="426" w:type="pct"/>
                  <w:vMerge w:val="continue"/>
                </w:tcPr>
                <w:p>
                  <w:pPr>
                    <w:snapToGrid w:val="0"/>
                    <w:jc w:val="center"/>
                    <w:rPr>
                      <w:color w:val="auto"/>
                      <w:szCs w:val="21"/>
                    </w:rPr>
                  </w:pPr>
                </w:p>
              </w:tc>
              <w:tc>
                <w:tcPr>
                  <w:tcW w:w="429" w:type="pct"/>
                  <w:vMerge w:val="continue"/>
                </w:tcPr>
                <w:p>
                  <w:pPr>
                    <w:snapToGrid w:val="0"/>
                    <w:jc w:val="center"/>
                    <w:rPr>
                      <w:color w:val="auto"/>
                      <w:szCs w:val="21"/>
                    </w:rPr>
                  </w:pPr>
                </w:p>
              </w:tc>
              <w:tc>
                <w:tcPr>
                  <w:tcW w:w="460" w:type="pct"/>
                  <w:vMerge w:val="continue"/>
                </w:tcPr>
                <w:p>
                  <w:pPr>
                    <w:snapToGrid w:val="0"/>
                    <w:jc w:val="center"/>
                    <w:rPr>
                      <w:color w:val="auto"/>
                      <w:szCs w:val="21"/>
                    </w:rPr>
                  </w:pPr>
                </w:p>
              </w:tc>
              <w:tc>
                <w:tcPr>
                  <w:tcW w:w="430" w:type="pct"/>
                  <w:vMerge w:val="continue"/>
                </w:tcPr>
                <w:p>
                  <w:pPr>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24" w:type="pct"/>
                  <w:vMerge w:val="continue"/>
                </w:tcPr>
                <w:p>
                  <w:pPr>
                    <w:snapToGrid w:val="0"/>
                    <w:jc w:val="center"/>
                    <w:rPr>
                      <w:color w:val="auto"/>
                      <w:szCs w:val="21"/>
                    </w:rPr>
                  </w:pPr>
                </w:p>
              </w:tc>
              <w:tc>
                <w:tcPr>
                  <w:tcW w:w="358" w:type="pct"/>
                  <w:vMerge w:val="continue"/>
                </w:tcPr>
                <w:p>
                  <w:pPr>
                    <w:snapToGrid w:val="0"/>
                    <w:jc w:val="center"/>
                    <w:rPr>
                      <w:color w:val="auto"/>
                      <w:szCs w:val="21"/>
                    </w:rPr>
                  </w:pPr>
                </w:p>
              </w:tc>
              <w:tc>
                <w:tcPr>
                  <w:tcW w:w="0" w:type="auto"/>
                  <w:vAlign w:val="center"/>
                </w:tcPr>
                <w:p>
                  <w:pPr>
                    <w:snapToGrid w:val="0"/>
                    <w:jc w:val="center"/>
                    <w:rPr>
                      <w:color w:val="auto"/>
                      <w:szCs w:val="21"/>
                    </w:rPr>
                  </w:pPr>
                  <w:r>
                    <w:rPr>
                      <w:rFonts w:hint="eastAsia"/>
                      <w:color w:val="auto"/>
                      <w:szCs w:val="21"/>
                    </w:rPr>
                    <w:t>石油类</w:t>
                  </w:r>
                </w:p>
              </w:tc>
              <w:tc>
                <w:tcPr>
                  <w:tcW w:w="336" w:type="pct"/>
                  <w:vMerge w:val="continue"/>
                </w:tcPr>
                <w:p>
                  <w:pPr>
                    <w:snapToGrid w:val="0"/>
                    <w:jc w:val="center"/>
                    <w:rPr>
                      <w:color w:val="auto"/>
                      <w:szCs w:val="21"/>
                    </w:rPr>
                  </w:pPr>
                </w:p>
              </w:tc>
              <w:tc>
                <w:tcPr>
                  <w:tcW w:w="481" w:type="pct"/>
                  <w:vMerge w:val="continue"/>
                </w:tcPr>
                <w:p>
                  <w:pPr>
                    <w:snapToGrid w:val="0"/>
                    <w:jc w:val="center"/>
                    <w:rPr>
                      <w:color w:val="auto"/>
                      <w:szCs w:val="21"/>
                    </w:rPr>
                  </w:pPr>
                </w:p>
              </w:tc>
              <w:tc>
                <w:tcPr>
                  <w:tcW w:w="522" w:type="pct"/>
                  <w:vMerge w:val="continue"/>
                </w:tcPr>
                <w:p>
                  <w:pPr>
                    <w:snapToGrid w:val="0"/>
                    <w:jc w:val="center"/>
                    <w:rPr>
                      <w:color w:val="auto"/>
                      <w:szCs w:val="21"/>
                    </w:rPr>
                  </w:pPr>
                </w:p>
              </w:tc>
              <w:tc>
                <w:tcPr>
                  <w:tcW w:w="507" w:type="pct"/>
                  <w:vMerge w:val="continue"/>
                </w:tcPr>
                <w:p>
                  <w:pPr>
                    <w:snapToGrid w:val="0"/>
                    <w:jc w:val="center"/>
                    <w:rPr>
                      <w:color w:val="auto"/>
                      <w:szCs w:val="21"/>
                    </w:rPr>
                  </w:pPr>
                </w:p>
              </w:tc>
              <w:tc>
                <w:tcPr>
                  <w:tcW w:w="0" w:type="auto"/>
                </w:tcPr>
                <w:p>
                  <w:pPr>
                    <w:snapToGrid w:val="0"/>
                    <w:jc w:val="center"/>
                    <w:rPr>
                      <w:color w:val="auto"/>
                      <w:szCs w:val="21"/>
                    </w:rPr>
                  </w:pPr>
                  <w:r>
                    <w:rPr>
                      <w:rFonts w:hint="eastAsia"/>
                      <w:color w:val="auto"/>
                      <w:szCs w:val="21"/>
                    </w:rPr>
                    <w:t>80</w:t>
                  </w:r>
                </w:p>
              </w:tc>
              <w:tc>
                <w:tcPr>
                  <w:tcW w:w="426" w:type="pct"/>
                  <w:vMerge w:val="continue"/>
                </w:tcPr>
                <w:p>
                  <w:pPr>
                    <w:snapToGrid w:val="0"/>
                    <w:jc w:val="center"/>
                    <w:rPr>
                      <w:color w:val="auto"/>
                      <w:szCs w:val="21"/>
                    </w:rPr>
                  </w:pPr>
                </w:p>
              </w:tc>
              <w:tc>
                <w:tcPr>
                  <w:tcW w:w="429" w:type="pct"/>
                  <w:vMerge w:val="continue"/>
                </w:tcPr>
                <w:p>
                  <w:pPr>
                    <w:snapToGrid w:val="0"/>
                    <w:jc w:val="center"/>
                    <w:rPr>
                      <w:color w:val="auto"/>
                      <w:szCs w:val="21"/>
                    </w:rPr>
                  </w:pPr>
                </w:p>
              </w:tc>
              <w:tc>
                <w:tcPr>
                  <w:tcW w:w="460" w:type="pct"/>
                  <w:vMerge w:val="continue"/>
                </w:tcPr>
                <w:p>
                  <w:pPr>
                    <w:snapToGrid w:val="0"/>
                    <w:jc w:val="center"/>
                    <w:rPr>
                      <w:color w:val="auto"/>
                      <w:szCs w:val="21"/>
                    </w:rPr>
                  </w:pPr>
                </w:p>
              </w:tc>
              <w:tc>
                <w:tcPr>
                  <w:tcW w:w="430" w:type="pct"/>
                  <w:vMerge w:val="continue"/>
                </w:tcPr>
                <w:p>
                  <w:pPr>
                    <w:snapToGrid w:val="0"/>
                    <w:jc w:val="center"/>
                    <w:rPr>
                      <w:color w:val="auto"/>
                      <w:szCs w:val="21"/>
                    </w:rPr>
                  </w:pPr>
                </w:p>
              </w:tc>
            </w:tr>
          </w:tbl>
          <w:p>
            <w:pPr>
              <w:pStyle w:val="32"/>
              <w:ind w:left="560" w:firstLine="0" w:firstLineChars="0"/>
              <w:jc w:val="center"/>
              <w:rPr>
                <w:b/>
                <w:color w:val="auto"/>
                <w:highlight w:val="none"/>
              </w:rPr>
            </w:pPr>
            <w:r>
              <w:rPr>
                <w:rFonts w:hint="eastAsia"/>
                <w:b/>
                <w:color w:val="auto"/>
                <w:highlight w:val="none"/>
              </w:rPr>
              <w:t>表4-10项目废水产排情况一览表</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870"/>
              <w:gridCol w:w="1969"/>
              <w:gridCol w:w="1062"/>
              <w:gridCol w:w="1347"/>
              <w:gridCol w:w="1368"/>
              <w:gridCol w:w="1571"/>
              <w:gridCol w:w="1168"/>
              <w:gridCol w:w="1408"/>
              <w:gridCol w:w="17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restart"/>
                  <w:vAlign w:val="center"/>
                </w:tcPr>
                <w:p>
                  <w:pPr>
                    <w:tabs>
                      <w:tab w:val="left" w:pos="1617"/>
                    </w:tabs>
                    <w:adjustRightInd w:val="0"/>
                    <w:snapToGrid w:val="0"/>
                    <w:spacing w:line="400" w:lineRule="exact"/>
                    <w:jc w:val="center"/>
                    <w:rPr>
                      <w:color w:val="auto"/>
                      <w:szCs w:val="21"/>
                    </w:rPr>
                  </w:pPr>
                  <w:r>
                    <w:rPr>
                      <w:rFonts w:hint="eastAsia"/>
                      <w:color w:val="auto"/>
                      <w:szCs w:val="21"/>
                    </w:rPr>
                    <w:t>序号</w:t>
                  </w:r>
                </w:p>
              </w:tc>
              <w:tc>
                <w:tcPr>
                  <w:tcW w:w="330" w:type="pct"/>
                  <w:vMerge w:val="restart"/>
                  <w:vAlign w:val="center"/>
                </w:tcPr>
                <w:p>
                  <w:pPr>
                    <w:tabs>
                      <w:tab w:val="left" w:pos="1617"/>
                    </w:tabs>
                    <w:adjustRightInd w:val="0"/>
                    <w:snapToGrid w:val="0"/>
                    <w:spacing w:line="400" w:lineRule="exact"/>
                    <w:jc w:val="center"/>
                    <w:rPr>
                      <w:color w:val="auto"/>
                      <w:spacing w:val="-10"/>
                      <w:szCs w:val="21"/>
                    </w:rPr>
                  </w:pPr>
                  <w:r>
                    <w:rPr>
                      <w:rFonts w:hint="eastAsia"/>
                      <w:color w:val="auto"/>
                      <w:szCs w:val="21"/>
                    </w:rPr>
                    <w:t>废水类别</w:t>
                  </w:r>
                </w:p>
              </w:tc>
              <w:tc>
                <w:tcPr>
                  <w:tcW w:w="747" w:type="pct"/>
                  <w:vMerge w:val="restart"/>
                  <w:vAlign w:val="center"/>
                </w:tcPr>
                <w:p>
                  <w:pPr>
                    <w:tabs>
                      <w:tab w:val="left" w:pos="1617"/>
                    </w:tabs>
                    <w:adjustRightInd w:val="0"/>
                    <w:snapToGrid w:val="0"/>
                    <w:spacing w:line="400" w:lineRule="exact"/>
                    <w:jc w:val="center"/>
                    <w:rPr>
                      <w:color w:val="auto"/>
                      <w:spacing w:val="-10"/>
                      <w:szCs w:val="21"/>
                    </w:rPr>
                  </w:pPr>
                  <w:r>
                    <w:rPr>
                      <w:color w:val="auto"/>
                      <w:szCs w:val="21"/>
                    </w:rPr>
                    <w:t>污染物种类</w:t>
                  </w:r>
                </w:p>
              </w:tc>
              <w:tc>
                <w:tcPr>
                  <w:tcW w:w="1433" w:type="pct"/>
                  <w:gridSpan w:val="3"/>
                  <w:vAlign w:val="center"/>
                </w:tcPr>
                <w:p>
                  <w:pPr>
                    <w:pStyle w:val="24"/>
                    <w:snapToGrid w:val="0"/>
                    <w:spacing w:line="300" w:lineRule="exact"/>
                    <w:jc w:val="center"/>
                    <w:rPr>
                      <w:color w:val="auto"/>
                      <w:spacing w:val="-10"/>
                      <w:sz w:val="21"/>
                      <w:szCs w:val="21"/>
                    </w:rPr>
                  </w:pPr>
                  <w:r>
                    <w:rPr>
                      <w:color w:val="auto"/>
                      <w:spacing w:val="-10"/>
                      <w:sz w:val="21"/>
                      <w:szCs w:val="21"/>
                    </w:rPr>
                    <w:t>污染物产生</w:t>
                  </w:r>
                </w:p>
              </w:tc>
              <w:tc>
                <w:tcPr>
                  <w:tcW w:w="2245" w:type="pct"/>
                  <w:gridSpan w:val="4"/>
                  <w:vAlign w:val="center"/>
                </w:tcPr>
                <w:p>
                  <w:pPr>
                    <w:pStyle w:val="24"/>
                    <w:snapToGrid w:val="0"/>
                    <w:spacing w:line="300" w:lineRule="exact"/>
                    <w:jc w:val="center"/>
                    <w:rPr>
                      <w:color w:val="auto"/>
                      <w:spacing w:val="-10"/>
                      <w:sz w:val="21"/>
                      <w:szCs w:val="21"/>
                    </w:rPr>
                  </w:pPr>
                  <w:r>
                    <w:rPr>
                      <w:color w:val="auto"/>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21"/>
                      <w:szCs w:val="21"/>
                    </w:rPr>
                  </w:pPr>
                </w:p>
              </w:tc>
              <w:tc>
                <w:tcPr>
                  <w:tcW w:w="747" w:type="pct"/>
                  <w:vMerge w:val="continue"/>
                  <w:vAlign w:val="center"/>
                </w:tcPr>
                <w:p>
                  <w:pPr>
                    <w:pStyle w:val="24"/>
                    <w:snapToGrid w:val="0"/>
                    <w:spacing w:line="300" w:lineRule="exact"/>
                    <w:jc w:val="center"/>
                    <w:rPr>
                      <w:color w:val="auto"/>
                      <w:spacing w:val="-10"/>
                      <w:sz w:val="21"/>
                      <w:szCs w:val="21"/>
                    </w:rPr>
                  </w:pPr>
                </w:p>
              </w:tc>
              <w:tc>
                <w:tcPr>
                  <w:tcW w:w="403" w:type="pct"/>
                  <w:vAlign w:val="center"/>
                </w:tcPr>
                <w:p>
                  <w:pPr>
                    <w:pStyle w:val="24"/>
                    <w:snapToGrid w:val="0"/>
                    <w:spacing w:line="300" w:lineRule="exact"/>
                    <w:jc w:val="center"/>
                    <w:rPr>
                      <w:color w:val="auto"/>
                      <w:spacing w:val="-10"/>
                      <w:sz w:val="21"/>
                      <w:szCs w:val="21"/>
                    </w:rPr>
                  </w:pPr>
                  <w:r>
                    <w:rPr>
                      <w:color w:val="auto"/>
                      <w:spacing w:val="-10"/>
                      <w:sz w:val="21"/>
                      <w:szCs w:val="21"/>
                    </w:rPr>
                    <w:t>废</w:t>
                  </w:r>
                  <w:r>
                    <w:rPr>
                      <w:rFonts w:hint="eastAsia"/>
                      <w:color w:val="auto"/>
                      <w:spacing w:val="-10"/>
                      <w:sz w:val="21"/>
                      <w:szCs w:val="21"/>
                    </w:rPr>
                    <w:t>水产生</w:t>
                  </w:r>
                  <w:r>
                    <w:rPr>
                      <w:color w:val="auto"/>
                      <w:spacing w:val="-10"/>
                      <w:sz w:val="21"/>
                      <w:szCs w:val="21"/>
                    </w:rPr>
                    <w:t>量(m</w:t>
                  </w:r>
                  <w:r>
                    <w:rPr>
                      <w:color w:val="auto"/>
                      <w:spacing w:val="-10"/>
                      <w:sz w:val="21"/>
                      <w:szCs w:val="21"/>
                      <w:vertAlign w:val="superscript"/>
                    </w:rPr>
                    <w:t>3</w:t>
                  </w:r>
                  <w:r>
                    <w:rPr>
                      <w:color w:val="auto"/>
                      <w:spacing w:val="-10"/>
                      <w:sz w:val="21"/>
                      <w:szCs w:val="21"/>
                    </w:rPr>
                    <w:t>/</w:t>
                  </w:r>
                  <w:r>
                    <w:rPr>
                      <w:rFonts w:hint="eastAsia"/>
                      <w:color w:val="auto"/>
                      <w:spacing w:val="-10"/>
                      <w:sz w:val="21"/>
                      <w:szCs w:val="21"/>
                    </w:rPr>
                    <w:t>d</w:t>
                  </w:r>
                  <w:r>
                    <w:rPr>
                      <w:color w:val="auto"/>
                      <w:spacing w:val="-10"/>
                      <w:sz w:val="21"/>
                      <w:szCs w:val="21"/>
                    </w:rPr>
                    <w:t>)</w:t>
                  </w:r>
                </w:p>
              </w:tc>
              <w:tc>
                <w:tcPr>
                  <w:tcW w:w="511" w:type="pct"/>
                  <w:vAlign w:val="center"/>
                </w:tcPr>
                <w:p>
                  <w:pPr>
                    <w:pStyle w:val="24"/>
                    <w:snapToGrid w:val="0"/>
                    <w:spacing w:line="300" w:lineRule="exact"/>
                    <w:jc w:val="center"/>
                    <w:rPr>
                      <w:color w:val="auto"/>
                      <w:spacing w:val="-10"/>
                      <w:sz w:val="21"/>
                      <w:szCs w:val="21"/>
                    </w:rPr>
                  </w:pPr>
                  <w:r>
                    <w:rPr>
                      <w:color w:val="auto"/>
                      <w:spacing w:val="-10"/>
                      <w:sz w:val="21"/>
                      <w:szCs w:val="21"/>
                    </w:rPr>
                    <w:t>产生浓度(mg/</w:t>
                  </w:r>
                  <w:r>
                    <w:rPr>
                      <w:rFonts w:hint="eastAsia"/>
                      <w:color w:val="auto"/>
                      <w:spacing w:val="-10"/>
                      <w:sz w:val="21"/>
                      <w:szCs w:val="21"/>
                    </w:rPr>
                    <w:t>L</w:t>
                  </w:r>
                  <w:r>
                    <w:rPr>
                      <w:color w:val="auto"/>
                      <w:spacing w:val="-10"/>
                      <w:sz w:val="21"/>
                      <w:szCs w:val="21"/>
                    </w:rPr>
                    <w:t>)</w:t>
                  </w:r>
                </w:p>
              </w:tc>
              <w:tc>
                <w:tcPr>
                  <w:tcW w:w="519" w:type="pct"/>
                  <w:vAlign w:val="center"/>
                </w:tcPr>
                <w:p>
                  <w:pPr>
                    <w:pStyle w:val="24"/>
                    <w:snapToGrid w:val="0"/>
                    <w:spacing w:line="300" w:lineRule="exact"/>
                    <w:jc w:val="center"/>
                    <w:rPr>
                      <w:color w:val="auto"/>
                      <w:spacing w:val="-10"/>
                      <w:sz w:val="21"/>
                      <w:szCs w:val="21"/>
                    </w:rPr>
                  </w:pPr>
                  <w:r>
                    <w:rPr>
                      <w:color w:val="auto"/>
                      <w:spacing w:val="-10"/>
                      <w:sz w:val="21"/>
                      <w:szCs w:val="21"/>
                    </w:rPr>
                    <w:t>产生量</w:t>
                  </w:r>
                </w:p>
                <w:p>
                  <w:pPr>
                    <w:pStyle w:val="24"/>
                    <w:snapToGrid w:val="0"/>
                    <w:spacing w:line="300" w:lineRule="exact"/>
                    <w:jc w:val="center"/>
                    <w:rPr>
                      <w:color w:val="auto"/>
                      <w:spacing w:val="-10"/>
                      <w:sz w:val="21"/>
                      <w:szCs w:val="21"/>
                    </w:rPr>
                  </w:pPr>
                  <w:r>
                    <w:rPr>
                      <w:color w:val="auto"/>
                      <w:spacing w:val="-10"/>
                      <w:sz w:val="21"/>
                      <w:szCs w:val="21"/>
                    </w:rPr>
                    <w:t>(t/a)</w:t>
                  </w:r>
                </w:p>
              </w:tc>
              <w:tc>
                <w:tcPr>
                  <w:tcW w:w="596" w:type="pct"/>
                  <w:vAlign w:val="center"/>
                </w:tcPr>
                <w:p>
                  <w:pPr>
                    <w:pStyle w:val="24"/>
                    <w:snapToGrid w:val="0"/>
                    <w:spacing w:line="300" w:lineRule="exact"/>
                    <w:jc w:val="center"/>
                    <w:rPr>
                      <w:color w:val="auto"/>
                      <w:spacing w:val="-10"/>
                      <w:sz w:val="21"/>
                      <w:szCs w:val="21"/>
                    </w:rPr>
                  </w:pPr>
                  <w:r>
                    <w:rPr>
                      <w:color w:val="auto"/>
                      <w:spacing w:val="-10"/>
                      <w:sz w:val="21"/>
                      <w:szCs w:val="21"/>
                    </w:rPr>
                    <w:t>废</w:t>
                  </w:r>
                  <w:r>
                    <w:rPr>
                      <w:rFonts w:hint="eastAsia"/>
                      <w:color w:val="auto"/>
                      <w:spacing w:val="-10"/>
                      <w:sz w:val="21"/>
                      <w:szCs w:val="21"/>
                    </w:rPr>
                    <w:t>水排放</w:t>
                  </w:r>
                  <w:r>
                    <w:rPr>
                      <w:color w:val="auto"/>
                      <w:spacing w:val="-10"/>
                      <w:sz w:val="21"/>
                      <w:szCs w:val="21"/>
                    </w:rPr>
                    <w:t>量(m</w:t>
                  </w:r>
                  <w:r>
                    <w:rPr>
                      <w:color w:val="auto"/>
                      <w:spacing w:val="-10"/>
                      <w:sz w:val="21"/>
                      <w:szCs w:val="21"/>
                      <w:vertAlign w:val="superscript"/>
                    </w:rPr>
                    <w:t>3</w:t>
                  </w:r>
                  <w:r>
                    <w:rPr>
                      <w:color w:val="auto"/>
                      <w:spacing w:val="-10"/>
                      <w:sz w:val="21"/>
                      <w:szCs w:val="21"/>
                    </w:rPr>
                    <w:t>/</w:t>
                  </w:r>
                  <w:r>
                    <w:rPr>
                      <w:rFonts w:hint="eastAsia"/>
                      <w:color w:val="auto"/>
                      <w:spacing w:val="-10"/>
                      <w:sz w:val="21"/>
                      <w:szCs w:val="21"/>
                    </w:rPr>
                    <w:t>d</w:t>
                  </w:r>
                  <w:r>
                    <w:rPr>
                      <w:color w:val="auto"/>
                      <w:spacing w:val="-10"/>
                      <w:sz w:val="21"/>
                      <w:szCs w:val="21"/>
                    </w:rPr>
                    <w:t>)</w:t>
                  </w:r>
                </w:p>
              </w:tc>
              <w:tc>
                <w:tcPr>
                  <w:tcW w:w="443"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w:t>
                  </w:r>
                  <w:r>
                    <w:rPr>
                      <w:color w:val="auto"/>
                      <w:spacing w:val="-10"/>
                      <w:sz w:val="21"/>
                      <w:szCs w:val="21"/>
                    </w:rPr>
                    <w:t>浓度(mg/</w:t>
                  </w:r>
                  <w:r>
                    <w:rPr>
                      <w:rFonts w:hint="eastAsia"/>
                      <w:color w:val="auto"/>
                      <w:spacing w:val="-10"/>
                      <w:sz w:val="21"/>
                      <w:szCs w:val="21"/>
                    </w:rPr>
                    <w:t>L，pH除外</w:t>
                  </w:r>
                  <w:r>
                    <w:rPr>
                      <w:color w:val="auto"/>
                      <w:spacing w:val="-10"/>
                      <w:sz w:val="21"/>
                      <w:szCs w:val="21"/>
                    </w:rPr>
                    <w:t>)</w:t>
                  </w:r>
                </w:p>
              </w:tc>
              <w:tc>
                <w:tcPr>
                  <w:tcW w:w="534"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w:t>
                  </w:r>
                  <w:r>
                    <w:rPr>
                      <w:color w:val="auto"/>
                      <w:spacing w:val="-10"/>
                      <w:sz w:val="21"/>
                      <w:szCs w:val="21"/>
                    </w:rPr>
                    <w:t>量</w:t>
                  </w:r>
                </w:p>
                <w:p>
                  <w:pPr>
                    <w:pStyle w:val="24"/>
                    <w:snapToGrid w:val="0"/>
                    <w:spacing w:line="300" w:lineRule="exact"/>
                    <w:jc w:val="center"/>
                    <w:rPr>
                      <w:color w:val="auto"/>
                      <w:spacing w:val="-10"/>
                      <w:sz w:val="21"/>
                      <w:szCs w:val="21"/>
                    </w:rPr>
                  </w:pPr>
                  <w:r>
                    <w:rPr>
                      <w:color w:val="auto"/>
                      <w:spacing w:val="-10"/>
                      <w:sz w:val="21"/>
                      <w:szCs w:val="21"/>
                    </w:rPr>
                    <w:t>(t/a)</w:t>
                  </w:r>
                </w:p>
              </w:tc>
              <w:tc>
                <w:tcPr>
                  <w:tcW w:w="671" w:type="pc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排放时间（d）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1</w:t>
                  </w:r>
                </w:p>
              </w:tc>
              <w:tc>
                <w:tcPr>
                  <w:tcW w:w="330" w:type="pct"/>
                  <w:vMerge w:val="restart"/>
                  <w:vAlign w:val="center"/>
                </w:tcPr>
                <w:p>
                  <w:pPr>
                    <w:snapToGrid w:val="0"/>
                    <w:jc w:val="center"/>
                    <w:rPr>
                      <w:color w:val="auto"/>
                      <w:spacing w:val="-10"/>
                      <w:sz w:val="18"/>
                      <w:szCs w:val="18"/>
                    </w:rPr>
                  </w:pPr>
                  <w:r>
                    <w:rPr>
                      <w:rFonts w:hint="eastAsia"/>
                      <w:color w:val="auto"/>
                      <w:spacing w:val="-10"/>
                      <w:sz w:val="18"/>
                      <w:szCs w:val="18"/>
                    </w:rPr>
                    <w:t>生活废水</w:t>
                  </w:r>
                </w:p>
              </w:tc>
              <w:tc>
                <w:tcPr>
                  <w:tcW w:w="747" w:type="pct"/>
                  <w:vAlign w:val="center"/>
                </w:tcPr>
                <w:p>
                  <w:pPr>
                    <w:snapToGrid w:val="0"/>
                    <w:jc w:val="center"/>
                    <w:rPr>
                      <w:color w:val="auto"/>
                      <w:szCs w:val="21"/>
                    </w:rPr>
                  </w:pPr>
                  <w:r>
                    <w:rPr>
                      <w:rFonts w:hint="eastAsia"/>
                      <w:color w:val="auto"/>
                      <w:szCs w:val="21"/>
                    </w:rPr>
                    <w:t>pH</w:t>
                  </w:r>
                </w:p>
              </w:tc>
              <w:tc>
                <w:tcPr>
                  <w:tcW w:w="403"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2.08</w:t>
                  </w: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19" w:type="pct"/>
                  <w:vAlign w:val="center"/>
                </w:tcPr>
                <w:p>
                  <w:pPr>
                    <w:pStyle w:val="24"/>
                    <w:snapToGrid w:val="0"/>
                    <w:spacing w:line="300" w:lineRule="exact"/>
                    <w:jc w:val="center"/>
                    <w:rPr>
                      <w:color w:val="auto"/>
                      <w:sz w:val="18"/>
                      <w:szCs w:val="18"/>
                    </w:rPr>
                  </w:pPr>
                  <w:r>
                    <w:rPr>
                      <w:rFonts w:hint="eastAsia"/>
                      <w:color w:val="auto"/>
                      <w:sz w:val="18"/>
                      <w:szCs w:val="18"/>
                    </w:rPr>
                    <w:t>/</w:t>
                  </w:r>
                </w:p>
              </w:tc>
              <w:tc>
                <w:tcPr>
                  <w:tcW w:w="596"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2.08</w:t>
                  </w: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34" w:type="pct"/>
                  <w:vAlign w:val="bottom"/>
                </w:tcPr>
                <w:p>
                  <w:pPr>
                    <w:pStyle w:val="24"/>
                    <w:snapToGrid w:val="0"/>
                    <w:spacing w:line="300" w:lineRule="exact"/>
                    <w:jc w:val="center"/>
                    <w:rPr>
                      <w:color w:val="auto"/>
                      <w:sz w:val="18"/>
                      <w:szCs w:val="18"/>
                    </w:rPr>
                  </w:pPr>
                  <w:r>
                    <w:rPr>
                      <w:rFonts w:hint="eastAsia"/>
                      <w:color w:val="auto"/>
                      <w:sz w:val="18"/>
                      <w:szCs w:val="18"/>
                    </w:rPr>
                    <w:t>/</w:t>
                  </w:r>
                </w:p>
              </w:tc>
              <w:tc>
                <w:tcPr>
                  <w:tcW w:w="671" w:type="pct"/>
                  <w:vMerge w:val="restart"/>
                  <w:vAlign w:val="center"/>
                </w:tcPr>
                <w:p>
                  <w:pPr>
                    <w:autoSpaceDE w:val="0"/>
                    <w:autoSpaceDN w:val="0"/>
                    <w:adjustRightInd w:val="0"/>
                    <w:snapToGrid w:val="0"/>
                    <w:spacing w:line="300" w:lineRule="exact"/>
                    <w:jc w:val="center"/>
                    <w:rPr>
                      <w:rFonts w:ascii="Arial" w:hAnsi="Arial" w:cs="Arial"/>
                      <w:color w:val="auto"/>
                      <w:sz w:val="18"/>
                      <w:szCs w:val="18"/>
                    </w:rPr>
                  </w:pPr>
                  <w:r>
                    <w:rPr>
                      <w:rFonts w:hint="eastAsia" w:ascii="Arial" w:hAnsi="Arial" w:cs="Arial"/>
                      <w:color w:val="auto"/>
                      <w:sz w:val="18"/>
                      <w:szCs w:val="18"/>
                    </w:rPr>
                    <w:t>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COD</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350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0.218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245</w:t>
                  </w:r>
                </w:p>
              </w:tc>
              <w:tc>
                <w:tcPr>
                  <w:tcW w:w="1408" w:type="dxa"/>
                  <w:vAlign w:val="bottom"/>
                </w:tcPr>
                <w:p>
                  <w:pPr>
                    <w:pStyle w:val="24"/>
                    <w:snapToGrid w:val="0"/>
                    <w:spacing w:line="300" w:lineRule="exact"/>
                    <w:jc w:val="center"/>
                    <w:rPr>
                      <w:rFonts w:hint="default"/>
                      <w:color w:val="auto"/>
                      <w:sz w:val="18"/>
                      <w:szCs w:val="18"/>
                      <w:lang w:val="en-US" w:eastAsia="zh-CN"/>
                    </w:rPr>
                  </w:pPr>
                  <w:r>
                    <w:rPr>
                      <w:rFonts w:hint="eastAsia"/>
                      <w:color w:val="auto"/>
                      <w:sz w:val="18"/>
                      <w:szCs w:val="18"/>
                      <w:lang w:val="en-US" w:eastAsia="zh-CN"/>
                    </w:rPr>
                    <w:t xml:space="preserve">0.153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BOD</w:t>
                  </w:r>
                  <w:r>
                    <w:rPr>
                      <w:rFonts w:hint="eastAsia"/>
                      <w:color w:val="auto"/>
                      <w:szCs w:val="21"/>
                      <w:vertAlign w:val="subscript"/>
                    </w:rPr>
                    <w:t>5</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250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0.156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200</w:t>
                  </w:r>
                </w:p>
              </w:tc>
              <w:tc>
                <w:tcPr>
                  <w:tcW w:w="1408" w:type="dxa"/>
                  <w:vAlign w:val="bottom"/>
                </w:tcPr>
                <w:p>
                  <w:pPr>
                    <w:pStyle w:val="24"/>
                    <w:snapToGrid w:val="0"/>
                    <w:spacing w:line="300" w:lineRule="exact"/>
                    <w:jc w:val="center"/>
                    <w:rPr>
                      <w:rFonts w:hint="default"/>
                      <w:color w:val="auto"/>
                      <w:sz w:val="18"/>
                      <w:szCs w:val="18"/>
                      <w:lang w:val="en-US" w:eastAsia="zh-CN"/>
                    </w:rPr>
                  </w:pPr>
                  <w:r>
                    <w:rPr>
                      <w:rFonts w:hint="eastAsia"/>
                      <w:color w:val="auto"/>
                      <w:sz w:val="18"/>
                      <w:szCs w:val="18"/>
                      <w:lang w:val="en-US" w:eastAsia="zh-CN"/>
                    </w:rPr>
                    <w:t xml:space="preserve">0.125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SS</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200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0.125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170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 xml:space="preserve">0.106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氨氮</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 xml:space="preserve">0.012 </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 xml:space="preserve">0.012 </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restart"/>
                  <w:vAlign w:val="center"/>
                </w:tcPr>
                <w:p>
                  <w:pPr>
                    <w:pStyle w:val="24"/>
                    <w:snapToGrid w:val="0"/>
                    <w:spacing w:line="300" w:lineRule="exact"/>
                    <w:jc w:val="center"/>
                    <w:rPr>
                      <w:color w:val="auto"/>
                      <w:spacing w:val="-10"/>
                      <w:sz w:val="21"/>
                      <w:szCs w:val="21"/>
                    </w:rPr>
                  </w:pPr>
                  <w:r>
                    <w:rPr>
                      <w:rFonts w:hint="eastAsia"/>
                      <w:color w:val="auto"/>
                      <w:spacing w:val="-10"/>
                      <w:sz w:val="21"/>
                      <w:szCs w:val="21"/>
                    </w:rPr>
                    <w:t>2</w:t>
                  </w:r>
                </w:p>
              </w:tc>
              <w:tc>
                <w:tcPr>
                  <w:tcW w:w="330" w:type="pct"/>
                  <w:vMerge w:val="restart"/>
                  <w:vAlign w:val="center"/>
                </w:tcPr>
                <w:p>
                  <w:pPr>
                    <w:pStyle w:val="24"/>
                    <w:snapToGrid w:val="0"/>
                    <w:spacing w:line="300" w:lineRule="exact"/>
                    <w:jc w:val="center"/>
                    <w:rPr>
                      <w:color w:val="auto"/>
                      <w:spacing w:val="-10"/>
                      <w:sz w:val="18"/>
                      <w:szCs w:val="18"/>
                    </w:rPr>
                  </w:pPr>
                  <w:r>
                    <w:rPr>
                      <w:rFonts w:hint="eastAsia"/>
                      <w:color w:val="auto"/>
                      <w:spacing w:val="-10"/>
                      <w:sz w:val="18"/>
                      <w:szCs w:val="18"/>
                    </w:rPr>
                    <w:t>脱脂废水、清洗废水</w:t>
                  </w:r>
                </w:p>
              </w:tc>
              <w:tc>
                <w:tcPr>
                  <w:tcW w:w="747" w:type="pct"/>
                  <w:vAlign w:val="center"/>
                </w:tcPr>
                <w:p>
                  <w:pPr>
                    <w:snapToGrid w:val="0"/>
                    <w:jc w:val="center"/>
                    <w:rPr>
                      <w:color w:val="auto"/>
                      <w:szCs w:val="21"/>
                    </w:rPr>
                  </w:pPr>
                  <w:r>
                    <w:rPr>
                      <w:rFonts w:hint="eastAsia"/>
                      <w:color w:val="auto"/>
                      <w:szCs w:val="21"/>
                    </w:rPr>
                    <w:t>pH</w:t>
                  </w:r>
                </w:p>
              </w:tc>
              <w:tc>
                <w:tcPr>
                  <w:tcW w:w="403"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1.8</w:t>
                  </w: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19" w:type="pct"/>
                  <w:vAlign w:val="bottom"/>
                </w:tcPr>
                <w:p>
                  <w:pPr>
                    <w:pStyle w:val="24"/>
                    <w:snapToGrid w:val="0"/>
                    <w:spacing w:line="300" w:lineRule="exact"/>
                    <w:jc w:val="center"/>
                    <w:rPr>
                      <w:rFonts w:hint="eastAsia"/>
                      <w:color w:val="auto"/>
                      <w:sz w:val="18"/>
                      <w:szCs w:val="18"/>
                    </w:rPr>
                  </w:pPr>
                  <w:r>
                    <w:rPr>
                      <w:rFonts w:hint="eastAsia"/>
                      <w:color w:val="auto"/>
                      <w:sz w:val="18"/>
                      <w:szCs w:val="18"/>
                    </w:rPr>
                    <w:t>/</w:t>
                  </w:r>
                </w:p>
              </w:tc>
              <w:tc>
                <w:tcPr>
                  <w:tcW w:w="596" w:type="pct"/>
                  <w:vMerge w:val="restar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1.8</w:t>
                  </w: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6-9</w:t>
                  </w:r>
                </w:p>
              </w:tc>
              <w:tc>
                <w:tcPr>
                  <w:tcW w:w="534" w:type="pct"/>
                  <w:vAlign w:val="bottom"/>
                </w:tcPr>
                <w:p>
                  <w:pPr>
                    <w:pStyle w:val="24"/>
                    <w:snapToGrid w:val="0"/>
                    <w:spacing w:line="300" w:lineRule="exact"/>
                    <w:jc w:val="center"/>
                    <w:rPr>
                      <w:rFonts w:hint="eastAsia"/>
                      <w:color w:val="auto"/>
                      <w:sz w:val="18"/>
                      <w:szCs w:val="18"/>
                    </w:rPr>
                  </w:pPr>
                  <w:r>
                    <w:rPr>
                      <w:rFonts w:hint="eastAsia"/>
                      <w:color w:val="auto"/>
                      <w:sz w:val="18"/>
                      <w:szCs w:val="18"/>
                    </w:rPr>
                    <w:t>/</w:t>
                  </w:r>
                </w:p>
              </w:tc>
              <w:tc>
                <w:tcPr>
                  <w:tcW w:w="671" w:type="pct"/>
                  <w:vMerge w:val="restart"/>
                  <w:vAlign w:val="center"/>
                </w:tcPr>
                <w:p>
                  <w:pPr>
                    <w:autoSpaceDE w:val="0"/>
                    <w:autoSpaceDN w:val="0"/>
                    <w:adjustRightInd w:val="0"/>
                    <w:snapToGrid w:val="0"/>
                    <w:spacing w:line="300" w:lineRule="exact"/>
                    <w:jc w:val="center"/>
                    <w:rPr>
                      <w:rFonts w:hint="default" w:ascii="Arial" w:hAnsi="Arial" w:eastAsia="宋体" w:cs="Arial"/>
                      <w:color w:val="auto"/>
                      <w:sz w:val="18"/>
                      <w:szCs w:val="18"/>
                      <w:lang w:val="en-US" w:eastAsia="zh-CN"/>
                    </w:rPr>
                  </w:pPr>
                  <w:r>
                    <w:rPr>
                      <w:rFonts w:hint="eastAsia" w:ascii="Arial" w:hAnsi="Arial" w:cs="Arial"/>
                      <w:color w:val="auto"/>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COD</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rFonts w:hint="default" w:eastAsia="宋体"/>
                      <w:color w:val="auto"/>
                      <w:sz w:val="18"/>
                      <w:szCs w:val="18"/>
                      <w:lang w:val="en-US" w:eastAsia="zh-CN"/>
                    </w:rPr>
                  </w:pPr>
                  <w:r>
                    <w:rPr>
                      <w:rFonts w:hint="eastAsia"/>
                      <w:color w:val="auto"/>
                      <w:sz w:val="18"/>
                      <w:szCs w:val="18"/>
                      <w:lang w:val="en-US" w:eastAsia="zh-CN"/>
                    </w:rPr>
                    <w:t>300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0.054</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90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0.0162</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SS</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150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0.027</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60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0.0108</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color w:val="auto"/>
                      <w:szCs w:val="21"/>
                    </w:rPr>
                    <w:t>氨氮</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0.0036</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20</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0.0036</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阴离子表面活性剂</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10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0.0018</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3</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0.00054</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vAlign w:val="center"/>
                </w:tcPr>
                <w:p>
                  <w:pPr>
                    <w:pStyle w:val="24"/>
                    <w:snapToGrid w:val="0"/>
                    <w:spacing w:line="300" w:lineRule="exact"/>
                    <w:jc w:val="center"/>
                    <w:rPr>
                      <w:color w:val="auto"/>
                      <w:spacing w:val="-10"/>
                      <w:sz w:val="21"/>
                      <w:szCs w:val="21"/>
                    </w:rPr>
                  </w:pPr>
                </w:p>
              </w:tc>
              <w:tc>
                <w:tcPr>
                  <w:tcW w:w="330" w:type="pct"/>
                  <w:vMerge w:val="continue"/>
                  <w:vAlign w:val="center"/>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总磷</w:t>
                  </w:r>
                </w:p>
              </w:tc>
              <w:tc>
                <w:tcPr>
                  <w:tcW w:w="403" w:type="pct"/>
                  <w:vMerge w:val="continue"/>
                  <w:vAlign w:val="center"/>
                </w:tcPr>
                <w:p>
                  <w:pPr>
                    <w:pStyle w:val="24"/>
                    <w:snapToGrid w:val="0"/>
                    <w:spacing w:line="300" w:lineRule="exact"/>
                    <w:jc w:val="center"/>
                    <w:rPr>
                      <w:color w:val="auto"/>
                      <w:sz w:val="18"/>
                      <w:szCs w:val="18"/>
                    </w:rPr>
                  </w:pPr>
                </w:p>
              </w:tc>
              <w:tc>
                <w:tcPr>
                  <w:tcW w:w="511" w:type="pct"/>
                  <w:vAlign w:val="center"/>
                </w:tcPr>
                <w:p>
                  <w:pPr>
                    <w:pStyle w:val="24"/>
                    <w:snapToGrid w:val="0"/>
                    <w:spacing w:line="300" w:lineRule="exact"/>
                    <w:jc w:val="center"/>
                    <w:rPr>
                      <w:color w:val="auto"/>
                      <w:sz w:val="18"/>
                      <w:szCs w:val="18"/>
                    </w:rPr>
                  </w:pPr>
                  <w:r>
                    <w:rPr>
                      <w:rFonts w:hint="eastAsia"/>
                      <w:color w:val="auto"/>
                      <w:sz w:val="18"/>
                      <w:szCs w:val="18"/>
                    </w:rPr>
                    <w:t>4</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0.00072</w:t>
                  </w:r>
                </w:p>
              </w:tc>
              <w:tc>
                <w:tcPr>
                  <w:tcW w:w="596" w:type="pct"/>
                  <w:vMerge w:val="continue"/>
                  <w:vAlign w:val="center"/>
                </w:tcPr>
                <w:p>
                  <w:pPr>
                    <w:pStyle w:val="24"/>
                    <w:snapToGrid w:val="0"/>
                    <w:spacing w:line="300" w:lineRule="exact"/>
                    <w:jc w:val="center"/>
                    <w:rPr>
                      <w:color w:val="auto"/>
                      <w:sz w:val="18"/>
                      <w:szCs w:val="18"/>
                    </w:rPr>
                  </w:pPr>
                </w:p>
              </w:tc>
              <w:tc>
                <w:tcPr>
                  <w:tcW w:w="443" w:type="pct"/>
                  <w:vAlign w:val="center"/>
                </w:tcPr>
                <w:p>
                  <w:pPr>
                    <w:pStyle w:val="24"/>
                    <w:snapToGrid w:val="0"/>
                    <w:spacing w:line="300" w:lineRule="exact"/>
                    <w:jc w:val="center"/>
                    <w:rPr>
                      <w:color w:val="auto"/>
                      <w:sz w:val="18"/>
                      <w:szCs w:val="18"/>
                    </w:rPr>
                  </w:pPr>
                  <w:r>
                    <w:rPr>
                      <w:rFonts w:hint="eastAsia"/>
                      <w:color w:val="auto"/>
                      <w:sz w:val="18"/>
                      <w:szCs w:val="18"/>
                    </w:rPr>
                    <w:t>1.6</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0.000288</w:t>
                  </w:r>
                </w:p>
              </w:tc>
              <w:tc>
                <w:tcPr>
                  <w:tcW w:w="671" w:type="pct"/>
                  <w:vMerge w:val="continue"/>
                  <w:vAlign w:val="center"/>
                </w:tcPr>
                <w:p>
                  <w:pPr>
                    <w:autoSpaceDE w:val="0"/>
                    <w:autoSpaceDN w:val="0"/>
                    <w:adjustRightInd w:val="0"/>
                    <w:snapToGrid w:val="0"/>
                    <w:spacing w:line="300" w:lineRule="exact"/>
                    <w:jc w:val="center"/>
                    <w:rPr>
                      <w:rFonts w:ascii="Arial" w:hAnsi="Arial" w:cs="Arial"/>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vMerge w:val="continue"/>
                </w:tcPr>
                <w:p>
                  <w:pPr>
                    <w:pStyle w:val="24"/>
                    <w:snapToGrid w:val="0"/>
                    <w:spacing w:line="300" w:lineRule="exact"/>
                    <w:jc w:val="center"/>
                    <w:rPr>
                      <w:color w:val="auto"/>
                      <w:spacing w:val="-10"/>
                      <w:sz w:val="21"/>
                      <w:szCs w:val="21"/>
                    </w:rPr>
                  </w:pPr>
                </w:p>
              </w:tc>
              <w:tc>
                <w:tcPr>
                  <w:tcW w:w="330" w:type="pct"/>
                  <w:vMerge w:val="continue"/>
                </w:tcPr>
                <w:p>
                  <w:pPr>
                    <w:pStyle w:val="24"/>
                    <w:snapToGrid w:val="0"/>
                    <w:spacing w:line="300" w:lineRule="exact"/>
                    <w:jc w:val="center"/>
                    <w:rPr>
                      <w:color w:val="auto"/>
                      <w:spacing w:val="-10"/>
                      <w:sz w:val="18"/>
                      <w:szCs w:val="18"/>
                    </w:rPr>
                  </w:pPr>
                </w:p>
              </w:tc>
              <w:tc>
                <w:tcPr>
                  <w:tcW w:w="747" w:type="pct"/>
                  <w:vAlign w:val="center"/>
                </w:tcPr>
                <w:p>
                  <w:pPr>
                    <w:snapToGrid w:val="0"/>
                    <w:jc w:val="center"/>
                    <w:rPr>
                      <w:color w:val="auto"/>
                      <w:szCs w:val="21"/>
                    </w:rPr>
                  </w:pPr>
                  <w:r>
                    <w:rPr>
                      <w:rFonts w:hint="eastAsia"/>
                      <w:color w:val="auto"/>
                      <w:szCs w:val="21"/>
                    </w:rPr>
                    <w:t>石油类</w:t>
                  </w:r>
                </w:p>
              </w:tc>
              <w:tc>
                <w:tcPr>
                  <w:tcW w:w="403" w:type="pct"/>
                  <w:vMerge w:val="continue"/>
                </w:tcPr>
                <w:p>
                  <w:pPr>
                    <w:pStyle w:val="24"/>
                    <w:snapToGrid w:val="0"/>
                    <w:spacing w:line="300" w:lineRule="exact"/>
                    <w:jc w:val="center"/>
                    <w:rPr>
                      <w:color w:val="auto"/>
                      <w:sz w:val="18"/>
                      <w:szCs w:val="18"/>
                    </w:rPr>
                  </w:pPr>
                </w:p>
              </w:tc>
              <w:tc>
                <w:tcPr>
                  <w:tcW w:w="0" w:type="auto"/>
                </w:tcPr>
                <w:p>
                  <w:pPr>
                    <w:pStyle w:val="24"/>
                    <w:snapToGrid w:val="0"/>
                    <w:spacing w:line="300" w:lineRule="exact"/>
                    <w:jc w:val="center"/>
                    <w:rPr>
                      <w:color w:val="auto"/>
                      <w:sz w:val="18"/>
                      <w:szCs w:val="18"/>
                    </w:rPr>
                  </w:pPr>
                  <w:r>
                    <w:rPr>
                      <w:rFonts w:hint="eastAsia"/>
                      <w:color w:val="auto"/>
                      <w:sz w:val="18"/>
                      <w:szCs w:val="18"/>
                    </w:rPr>
                    <w:t>40</w:t>
                  </w:r>
                </w:p>
              </w:tc>
              <w:tc>
                <w:tcPr>
                  <w:tcW w:w="1368" w:type="dxa"/>
                  <w:vAlign w:val="bottom"/>
                </w:tcPr>
                <w:p>
                  <w:pPr>
                    <w:pStyle w:val="24"/>
                    <w:snapToGrid w:val="0"/>
                    <w:spacing w:line="300" w:lineRule="exact"/>
                    <w:jc w:val="center"/>
                    <w:rPr>
                      <w:rFonts w:hint="eastAsia"/>
                      <w:color w:val="auto"/>
                      <w:sz w:val="18"/>
                      <w:szCs w:val="18"/>
                    </w:rPr>
                  </w:pPr>
                  <w:r>
                    <w:rPr>
                      <w:rFonts w:hint="eastAsia"/>
                      <w:color w:val="auto"/>
                      <w:sz w:val="18"/>
                      <w:szCs w:val="18"/>
                      <w:lang w:val="en-US" w:eastAsia="zh-CN"/>
                    </w:rPr>
                    <w:t>0.0072</w:t>
                  </w:r>
                </w:p>
              </w:tc>
              <w:tc>
                <w:tcPr>
                  <w:tcW w:w="596" w:type="pct"/>
                  <w:vMerge w:val="continue"/>
                </w:tcPr>
                <w:p>
                  <w:pPr>
                    <w:pStyle w:val="24"/>
                    <w:snapToGrid w:val="0"/>
                    <w:spacing w:line="300" w:lineRule="exact"/>
                    <w:jc w:val="center"/>
                    <w:rPr>
                      <w:color w:val="auto"/>
                      <w:sz w:val="18"/>
                      <w:szCs w:val="18"/>
                    </w:rPr>
                  </w:pPr>
                </w:p>
              </w:tc>
              <w:tc>
                <w:tcPr>
                  <w:tcW w:w="0" w:type="auto"/>
                </w:tcPr>
                <w:p>
                  <w:pPr>
                    <w:pStyle w:val="24"/>
                    <w:snapToGrid w:val="0"/>
                    <w:spacing w:line="300" w:lineRule="exact"/>
                    <w:jc w:val="center"/>
                    <w:rPr>
                      <w:color w:val="auto"/>
                      <w:sz w:val="18"/>
                      <w:szCs w:val="18"/>
                    </w:rPr>
                  </w:pPr>
                  <w:r>
                    <w:rPr>
                      <w:rFonts w:hint="eastAsia"/>
                      <w:color w:val="auto"/>
                      <w:sz w:val="18"/>
                      <w:szCs w:val="18"/>
                    </w:rPr>
                    <w:t>5</w:t>
                  </w:r>
                </w:p>
              </w:tc>
              <w:tc>
                <w:tcPr>
                  <w:tcW w:w="1408" w:type="dxa"/>
                  <w:vAlign w:val="bottom"/>
                </w:tcPr>
                <w:p>
                  <w:pPr>
                    <w:pStyle w:val="24"/>
                    <w:snapToGrid w:val="0"/>
                    <w:spacing w:line="300" w:lineRule="exact"/>
                    <w:jc w:val="center"/>
                    <w:rPr>
                      <w:rFonts w:hint="eastAsia"/>
                      <w:color w:val="auto"/>
                      <w:sz w:val="18"/>
                      <w:szCs w:val="18"/>
                      <w:lang w:val="en-US" w:eastAsia="zh-CN"/>
                    </w:rPr>
                  </w:pPr>
                  <w:r>
                    <w:rPr>
                      <w:rFonts w:hint="eastAsia"/>
                      <w:color w:val="auto"/>
                      <w:sz w:val="18"/>
                      <w:szCs w:val="18"/>
                      <w:lang w:val="en-US" w:eastAsia="zh-CN"/>
                    </w:rPr>
                    <w:t>0.0009</w:t>
                  </w:r>
                </w:p>
              </w:tc>
              <w:tc>
                <w:tcPr>
                  <w:tcW w:w="671" w:type="pct"/>
                  <w:vMerge w:val="continue"/>
                </w:tcPr>
                <w:p>
                  <w:pPr>
                    <w:autoSpaceDE w:val="0"/>
                    <w:autoSpaceDN w:val="0"/>
                    <w:adjustRightInd w:val="0"/>
                    <w:snapToGrid w:val="0"/>
                    <w:spacing w:line="300" w:lineRule="exact"/>
                    <w:jc w:val="center"/>
                    <w:rPr>
                      <w:rFonts w:ascii="Arial" w:hAnsi="Arial" w:cs="Arial"/>
                      <w:color w:val="auto"/>
                      <w:sz w:val="18"/>
                      <w:szCs w:val="18"/>
                    </w:rPr>
                  </w:pPr>
                </w:p>
              </w:tc>
            </w:tr>
          </w:tbl>
          <w:p>
            <w:pPr>
              <w:pStyle w:val="24"/>
              <w:spacing w:line="520" w:lineRule="exact"/>
              <w:ind w:firstLine="472" w:firstLineChars="200"/>
              <w:rPr>
                <w:color w:val="auto"/>
                <w:kern w:val="0"/>
                <w:szCs w:val="24"/>
              </w:rPr>
            </w:pPr>
            <w:r>
              <w:rPr>
                <w:rFonts w:hint="eastAsia"/>
                <w:color w:val="auto"/>
                <w:kern w:val="0"/>
                <w:szCs w:val="24"/>
              </w:rPr>
              <w:t>本项目废水主要为职工生活废水和喷塑前处理过程中产生的脱脂废水和清洗废水。生活废水经化粪池处理后，排入魏县开发区污水处理厂处理；脱脂废水和清洗废水经自建的一体化污水处理设施处理后排入魏县开发区污水处理厂处理，一体化污水处理设施采用“</w:t>
            </w:r>
            <w:r>
              <w:rPr>
                <w:rFonts w:hint="eastAsia"/>
                <w:color w:val="auto"/>
                <w:szCs w:val="21"/>
              </w:rPr>
              <w:t>隔油+混凝沉淀+气浮+活性炭碳滤”处理工艺，设计处理规模为10m³/d</w:t>
            </w:r>
            <w:r>
              <w:rPr>
                <w:rFonts w:hint="eastAsia"/>
                <w:color w:val="auto"/>
                <w:kern w:val="0"/>
                <w:szCs w:val="24"/>
              </w:rPr>
              <w:t>。</w:t>
            </w:r>
          </w:p>
          <w:p>
            <w:pPr>
              <w:pStyle w:val="24"/>
              <w:spacing w:line="520" w:lineRule="exact"/>
              <w:ind w:firstLine="472" w:firstLineChars="200"/>
              <w:rPr>
                <w:color w:val="auto"/>
              </w:rPr>
            </w:pPr>
            <w:r>
              <w:rPr>
                <w:rFonts w:hint="eastAsia"/>
                <w:color w:val="auto"/>
              </w:rPr>
              <w:t>本项目生活</w:t>
            </w:r>
            <w:r>
              <w:rPr>
                <w:rFonts w:hint="eastAsia"/>
                <w:color w:val="auto"/>
                <w:kern w:val="0"/>
                <w:szCs w:val="24"/>
              </w:rPr>
              <w:t>废水产生量为</w:t>
            </w:r>
            <w:r>
              <w:rPr>
                <w:rFonts w:hint="eastAsia"/>
                <w:color w:val="auto"/>
                <w:kern w:val="0"/>
                <w:szCs w:val="24"/>
                <w:lang w:val="en-US" w:eastAsia="zh-CN"/>
              </w:rPr>
              <w:t>2.08</w:t>
            </w:r>
            <w:r>
              <w:rPr>
                <w:rFonts w:hint="eastAsia"/>
                <w:color w:val="auto"/>
                <w:kern w:val="0"/>
                <w:szCs w:val="24"/>
              </w:rPr>
              <w:t>m³/d，</w:t>
            </w:r>
            <w:r>
              <w:rPr>
                <w:rFonts w:hint="eastAsia"/>
                <w:color w:val="auto"/>
              </w:rPr>
              <w:t>类比同类项目，生产废水浓度为pH6-9，COD350mg/L，BOD</w:t>
            </w:r>
            <w:r>
              <w:rPr>
                <w:rFonts w:hint="eastAsia"/>
                <w:color w:val="auto"/>
                <w:vertAlign w:val="subscript"/>
              </w:rPr>
              <w:t>5</w:t>
            </w:r>
            <w:r>
              <w:rPr>
                <w:rFonts w:hint="eastAsia"/>
                <w:color w:val="auto"/>
              </w:rPr>
              <w:t>250mg/L，SS200mg/L，氨氮20mg/L，经本项目污水处理站处理后出水pH6-9，COD</w:t>
            </w:r>
            <w:r>
              <w:rPr>
                <w:rFonts w:hint="eastAsia"/>
                <w:color w:val="auto"/>
                <w:lang w:val="en-US" w:eastAsia="zh-CN"/>
              </w:rPr>
              <w:t>245</w:t>
            </w:r>
            <w:r>
              <w:rPr>
                <w:rFonts w:hint="eastAsia"/>
                <w:color w:val="auto"/>
              </w:rPr>
              <w:t>mg/L，BOD</w:t>
            </w:r>
            <w:r>
              <w:rPr>
                <w:rFonts w:hint="eastAsia"/>
                <w:color w:val="auto"/>
                <w:vertAlign w:val="subscript"/>
              </w:rPr>
              <w:t>5</w:t>
            </w:r>
            <w:r>
              <w:rPr>
                <w:rFonts w:hint="eastAsia"/>
                <w:color w:val="auto"/>
                <w:lang w:val="en-US" w:eastAsia="zh-CN"/>
              </w:rPr>
              <w:t>200</w:t>
            </w:r>
            <w:r>
              <w:rPr>
                <w:rFonts w:hint="eastAsia"/>
                <w:color w:val="auto"/>
              </w:rPr>
              <w:t>mg/L，SS170mg/L，氨氮20mg/L，可以满足</w:t>
            </w:r>
            <w:r>
              <w:rPr>
                <w:rFonts w:hint="eastAsia" w:eastAsiaTheme="minorEastAsia"/>
                <w:color w:val="auto"/>
              </w:rPr>
              <w:t>《污水综合排放标准》（GB 8978-1996）中三级标准，同时满足魏县经济开发区污水处理厂进水指标要求</w:t>
            </w:r>
            <w:r>
              <w:rPr>
                <w:rFonts w:hint="eastAsia"/>
                <w:color w:val="auto"/>
              </w:rPr>
              <w:t>。</w:t>
            </w:r>
          </w:p>
          <w:p>
            <w:pPr>
              <w:pStyle w:val="24"/>
              <w:spacing w:line="520" w:lineRule="exact"/>
              <w:ind w:firstLine="472" w:firstLineChars="200"/>
              <w:rPr>
                <w:color w:val="auto"/>
              </w:rPr>
            </w:pPr>
            <w:r>
              <w:rPr>
                <w:rFonts w:hint="eastAsia"/>
                <w:color w:val="auto"/>
              </w:rPr>
              <w:t>本项目</w:t>
            </w:r>
            <w:r>
              <w:rPr>
                <w:rFonts w:hint="eastAsia"/>
                <w:color w:val="auto"/>
                <w:kern w:val="0"/>
                <w:szCs w:val="24"/>
              </w:rPr>
              <w:t>喷塑前处理过程中产生的脱脂废水和清洗废水产生量为</w:t>
            </w:r>
            <w:r>
              <w:rPr>
                <w:rFonts w:hint="eastAsia"/>
                <w:color w:val="auto"/>
                <w:kern w:val="0"/>
                <w:szCs w:val="24"/>
                <w:lang w:val="en-US" w:eastAsia="zh-CN"/>
              </w:rPr>
              <w:t>1.8</w:t>
            </w:r>
            <w:r>
              <w:rPr>
                <w:rFonts w:hint="eastAsia"/>
                <w:color w:val="auto"/>
                <w:kern w:val="0"/>
                <w:szCs w:val="24"/>
              </w:rPr>
              <w:t>m³/d，</w:t>
            </w:r>
            <w:r>
              <w:rPr>
                <w:rFonts w:hint="eastAsia"/>
                <w:color w:val="auto"/>
              </w:rPr>
              <w:t>类比</w:t>
            </w:r>
            <w:r>
              <w:rPr>
                <w:rFonts w:hint="eastAsia"/>
                <w:color w:val="auto"/>
                <w:lang w:eastAsia="zh-CN"/>
              </w:rPr>
              <w:t>《</w:t>
            </w:r>
            <w:r>
              <w:rPr>
                <w:rFonts w:hint="eastAsia"/>
                <w:color w:val="auto"/>
                <w:lang w:val="en-US" w:eastAsia="zh-CN"/>
              </w:rPr>
              <w:t>邯郸美的智能厨电有限公司电热及集成产品项目》喷塑脱脂废水</w:t>
            </w:r>
            <w:r>
              <w:rPr>
                <w:rFonts w:hint="eastAsia"/>
                <w:color w:val="auto"/>
              </w:rPr>
              <w:t>，生产废水浓度为pH6-9，COD300mg/L，SS150mg/L，氨氮20mg/L，阴离子表难活性剂10mg/L，总磷4mg/L，石油类40mg/L，经本项目污水处理站处理后出水pH6-9，COD90mg/L，SS60mg/L，氨氮20mg/L，阴离子表面活性剂10mg/L，总磷1.6mg/L，石油类5mg/L，可以满足</w:t>
            </w:r>
            <w:r>
              <w:rPr>
                <w:rFonts w:hint="eastAsia" w:eastAsiaTheme="minorEastAsia"/>
                <w:color w:val="auto"/>
              </w:rPr>
              <w:t>《污水综合排放标准》（GB 8978-1996）中三级标准，同时满足魏县经济开发区污水处理厂进水指标要求</w:t>
            </w:r>
            <w:r>
              <w:rPr>
                <w:rFonts w:hint="eastAsia"/>
                <w:color w:val="auto"/>
              </w:rPr>
              <w:t>。</w:t>
            </w:r>
          </w:p>
          <w:p>
            <w:pPr>
              <w:spacing w:line="360" w:lineRule="auto"/>
              <w:ind w:firstLine="472" w:firstLineChars="200"/>
              <w:rPr>
                <w:b/>
                <w:bCs/>
                <w:color w:val="auto"/>
                <w:sz w:val="24"/>
                <w:szCs w:val="24"/>
              </w:rPr>
            </w:pPr>
            <w:r>
              <w:rPr>
                <w:rFonts w:hint="eastAsia"/>
                <w:b/>
                <w:bCs/>
                <w:color w:val="auto"/>
                <w:sz w:val="24"/>
                <w:szCs w:val="24"/>
              </w:rPr>
              <w:t>2、排放口基本情况</w:t>
            </w:r>
          </w:p>
          <w:p>
            <w:pPr>
              <w:spacing w:line="360" w:lineRule="auto"/>
              <w:ind w:firstLine="472" w:firstLineChars="200"/>
              <w:rPr>
                <w:rFonts w:hAnsiTheme="minorEastAsia" w:eastAsiaTheme="minorEastAsia"/>
                <w:b/>
                <w:bCs/>
                <w:color w:val="auto"/>
                <w:sz w:val="24"/>
              </w:rPr>
            </w:pPr>
            <w:r>
              <w:rPr>
                <w:rFonts w:hint="eastAsia"/>
                <w:color w:val="auto"/>
                <w:sz w:val="24"/>
                <w:szCs w:val="24"/>
              </w:rPr>
              <w:t>项目排放口基本情况见表4-11。</w:t>
            </w:r>
          </w:p>
          <w:p>
            <w:pPr>
              <w:pStyle w:val="7"/>
              <w:jc w:val="center"/>
              <w:rPr>
                <w:rFonts w:hint="eastAsia" w:hAnsiTheme="minorEastAsia" w:eastAsiaTheme="minorEastAsia"/>
                <w:b/>
                <w:bCs/>
                <w:color w:val="auto"/>
                <w:sz w:val="24"/>
              </w:rPr>
            </w:pPr>
          </w:p>
          <w:p>
            <w:pPr>
              <w:pStyle w:val="7"/>
              <w:jc w:val="center"/>
              <w:rPr>
                <w:rFonts w:hint="eastAsia" w:hAnsiTheme="minorEastAsia" w:eastAsiaTheme="minorEastAsia"/>
                <w:b/>
                <w:bCs/>
                <w:color w:val="auto"/>
                <w:sz w:val="24"/>
              </w:rPr>
            </w:pPr>
          </w:p>
          <w:p>
            <w:pPr>
              <w:pStyle w:val="7"/>
              <w:jc w:val="center"/>
              <w:rPr>
                <w:rFonts w:hAnsiTheme="minorEastAsia" w:eastAsiaTheme="minorEastAsia"/>
                <w:b/>
                <w:bCs/>
                <w:color w:val="auto"/>
                <w:sz w:val="24"/>
              </w:rPr>
            </w:pPr>
            <w:r>
              <w:rPr>
                <w:rFonts w:hint="eastAsia" w:hAnsiTheme="minorEastAsia" w:eastAsiaTheme="minorEastAsia"/>
                <w:b/>
                <w:bCs/>
                <w:color w:val="auto"/>
                <w:sz w:val="24"/>
              </w:rPr>
              <w:t>表4-11项目废水排放口基本情况表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63"/>
              <w:gridCol w:w="956"/>
              <w:gridCol w:w="2009"/>
              <w:gridCol w:w="1685"/>
              <w:gridCol w:w="1408"/>
              <w:gridCol w:w="1453"/>
              <w:gridCol w:w="1039"/>
              <w:gridCol w:w="1110"/>
              <w:gridCol w:w="1518"/>
              <w:gridCol w:w="17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00" w:type="pct"/>
                  <w:vMerge w:val="restart"/>
                  <w:tcBorders>
                    <w:tl2br w:val="nil"/>
                    <w:tr2bl w:val="nil"/>
                  </w:tcBorders>
                  <w:vAlign w:val="center"/>
                </w:tcPr>
                <w:p>
                  <w:pPr>
                    <w:snapToGrid w:val="0"/>
                    <w:jc w:val="center"/>
                    <w:rPr>
                      <w:color w:val="auto"/>
                    </w:rPr>
                  </w:pPr>
                  <w:r>
                    <w:rPr>
                      <w:color w:val="auto"/>
                    </w:rPr>
                    <w:t>序号</w:t>
                  </w:r>
                </w:p>
              </w:tc>
              <w:tc>
                <w:tcPr>
                  <w:tcW w:w="363" w:type="pct"/>
                  <w:vMerge w:val="restart"/>
                  <w:tcBorders>
                    <w:tl2br w:val="nil"/>
                    <w:tr2bl w:val="nil"/>
                  </w:tcBorders>
                  <w:vAlign w:val="center"/>
                </w:tcPr>
                <w:p>
                  <w:pPr>
                    <w:snapToGrid w:val="0"/>
                    <w:jc w:val="center"/>
                    <w:rPr>
                      <w:color w:val="auto"/>
                    </w:rPr>
                  </w:pPr>
                  <w:r>
                    <w:rPr>
                      <w:color w:val="auto"/>
                    </w:rPr>
                    <w:t>排放口编号</w:t>
                  </w:r>
                </w:p>
              </w:tc>
              <w:tc>
                <w:tcPr>
                  <w:tcW w:w="762" w:type="pct"/>
                  <w:vMerge w:val="restart"/>
                  <w:tcBorders>
                    <w:tl2br w:val="nil"/>
                    <w:tr2bl w:val="nil"/>
                  </w:tcBorders>
                  <w:vAlign w:val="center"/>
                </w:tcPr>
                <w:p>
                  <w:pPr>
                    <w:snapToGrid w:val="0"/>
                    <w:jc w:val="center"/>
                    <w:rPr>
                      <w:color w:val="auto"/>
                    </w:rPr>
                  </w:pPr>
                  <w:r>
                    <w:rPr>
                      <w:color w:val="auto"/>
                    </w:rPr>
                    <w:t>排放口地理坐标（a）</w:t>
                  </w:r>
                </w:p>
              </w:tc>
              <w:tc>
                <w:tcPr>
                  <w:tcW w:w="639" w:type="pct"/>
                  <w:vMerge w:val="restart"/>
                  <w:tcBorders>
                    <w:tl2br w:val="nil"/>
                    <w:tr2bl w:val="nil"/>
                  </w:tcBorders>
                  <w:vAlign w:val="center"/>
                </w:tcPr>
                <w:p>
                  <w:pPr>
                    <w:snapToGrid w:val="0"/>
                    <w:jc w:val="center"/>
                    <w:rPr>
                      <w:color w:val="auto"/>
                    </w:rPr>
                  </w:pPr>
                  <w:r>
                    <w:rPr>
                      <w:color w:val="auto"/>
                    </w:rPr>
                    <w:t>废水排放量/（t/a）</w:t>
                  </w:r>
                </w:p>
              </w:tc>
              <w:tc>
                <w:tcPr>
                  <w:tcW w:w="534" w:type="pct"/>
                  <w:vMerge w:val="restart"/>
                  <w:tcBorders>
                    <w:tl2br w:val="nil"/>
                    <w:tr2bl w:val="nil"/>
                  </w:tcBorders>
                  <w:vAlign w:val="center"/>
                </w:tcPr>
                <w:p>
                  <w:pPr>
                    <w:snapToGrid w:val="0"/>
                    <w:jc w:val="center"/>
                    <w:rPr>
                      <w:color w:val="auto"/>
                    </w:rPr>
                  </w:pPr>
                  <w:r>
                    <w:rPr>
                      <w:color w:val="auto"/>
                    </w:rPr>
                    <w:t>排放去向</w:t>
                  </w:r>
                </w:p>
              </w:tc>
              <w:tc>
                <w:tcPr>
                  <w:tcW w:w="551" w:type="pct"/>
                  <w:vMerge w:val="restart"/>
                  <w:tcBorders>
                    <w:tl2br w:val="nil"/>
                    <w:tr2bl w:val="nil"/>
                  </w:tcBorders>
                  <w:vAlign w:val="center"/>
                </w:tcPr>
                <w:p>
                  <w:pPr>
                    <w:snapToGrid w:val="0"/>
                    <w:jc w:val="center"/>
                    <w:rPr>
                      <w:color w:val="auto"/>
                    </w:rPr>
                  </w:pPr>
                  <w:r>
                    <w:rPr>
                      <w:color w:val="auto"/>
                    </w:rPr>
                    <w:t>排放规律</w:t>
                  </w:r>
                </w:p>
              </w:tc>
              <w:tc>
                <w:tcPr>
                  <w:tcW w:w="394" w:type="pct"/>
                  <w:vMerge w:val="restart"/>
                  <w:tcBorders>
                    <w:tl2br w:val="nil"/>
                    <w:tr2bl w:val="nil"/>
                  </w:tcBorders>
                  <w:vAlign w:val="center"/>
                </w:tcPr>
                <w:p>
                  <w:pPr>
                    <w:snapToGrid w:val="0"/>
                    <w:jc w:val="center"/>
                    <w:rPr>
                      <w:color w:val="auto"/>
                    </w:rPr>
                  </w:pPr>
                  <w:r>
                    <w:rPr>
                      <w:color w:val="auto"/>
                    </w:rPr>
                    <w:t>排放口设置是否符合要求</w:t>
                  </w:r>
                </w:p>
              </w:tc>
              <w:tc>
                <w:tcPr>
                  <w:tcW w:w="1655" w:type="pct"/>
                  <w:gridSpan w:val="3"/>
                  <w:tcBorders>
                    <w:tl2br w:val="nil"/>
                    <w:tr2bl w:val="nil"/>
                  </w:tcBorders>
                  <w:vAlign w:val="center"/>
                </w:tcPr>
                <w:p>
                  <w:pPr>
                    <w:snapToGrid w:val="0"/>
                    <w:jc w:val="center"/>
                    <w:rPr>
                      <w:color w:val="auto"/>
                    </w:rPr>
                  </w:pPr>
                  <w:r>
                    <w:rPr>
                      <w:color w:val="auto"/>
                    </w:rPr>
                    <w:t>污水处理厂信息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tcBorders>
                    <w:tl2br w:val="nil"/>
                    <w:tr2bl w:val="nil"/>
                  </w:tcBorders>
                  <w:vAlign w:val="center"/>
                </w:tcPr>
                <w:p>
                  <w:pPr>
                    <w:snapToGrid w:val="0"/>
                    <w:jc w:val="center"/>
                    <w:rPr>
                      <w:color w:val="auto"/>
                    </w:rPr>
                  </w:pPr>
                  <w:r>
                    <w:rPr>
                      <w:color w:val="auto"/>
                    </w:rPr>
                    <w:t>名称（b）</w:t>
                  </w:r>
                </w:p>
              </w:tc>
              <w:tc>
                <w:tcPr>
                  <w:tcW w:w="576" w:type="pct"/>
                  <w:tcBorders>
                    <w:tl2br w:val="nil"/>
                    <w:tr2bl w:val="nil"/>
                  </w:tcBorders>
                  <w:vAlign w:val="center"/>
                </w:tcPr>
                <w:p>
                  <w:pPr>
                    <w:snapToGrid w:val="0"/>
                    <w:jc w:val="center"/>
                    <w:rPr>
                      <w:color w:val="auto"/>
                    </w:rPr>
                  </w:pPr>
                  <w:r>
                    <w:rPr>
                      <w:color w:val="auto"/>
                    </w:rPr>
                    <w:t>污染物种类</w:t>
                  </w:r>
                </w:p>
              </w:tc>
              <w:tc>
                <w:tcPr>
                  <w:tcW w:w="657" w:type="pct"/>
                  <w:tcBorders>
                    <w:tl2br w:val="nil"/>
                    <w:tr2bl w:val="nil"/>
                  </w:tcBorders>
                  <w:vAlign w:val="center"/>
                </w:tcPr>
                <w:p>
                  <w:pPr>
                    <w:snapToGrid w:val="0"/>
                    <w:jc w:val="center"/>
                    <w:rPr>
                      <w:color w:val="auto"/>
                    </w:rPr>
                  </w:pPr>
                  <w:r>
                    <w:rPr>
                      <w:rFonts w:hint="eastAsia"/>
                      <w:color w:val="auto"/>
                    </w:rPr>
                    <w:t>排放</w:t>
                  </w:r>
                  <w:r>
                    <w:rPr>
                      <w:color w:val="auto"/>
                    </w:rPr>
                    <w:t xml:space="preserve">标准 </w:t>
                  </w:r>
                </w:p>
                <w:p>
                  <w:pPr>
                    <w:snapToGrid w:val="0"/>
                    <w:jc w:val="center"/>
                    <w:rPr>
                      <w:color w:val="auto"/>
                    </w:rPr>
                  </w:pPr>
                  <w:r>
                    <w:rPr>
                      <w:color w:val="auto"/>
                    </w:rPr>
                    <w:t>(mg/L，pH除外)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100" w:type="pct"/>
                  <w:vMerge w:val="restart"/>
                  <w:tcBorders>
                    <w:tl2br w:val="nil"/>
                    <w:tr2bl w:val="nil"/>
                  </w:tcBorders>
                  <w:vAlign w:val="center"/>
                </w:tcPr>
                <w:p>
                  <w:pPr>
                    <w:snapToGrid w:val="0"/>
                    <w:jc w:val="center"/>
                    <w:rPr>
                      <w:color w:val="auto"/>
                    </w:rPr>
                  </w:pPr>
                  <w:r>
                    <w:rPr>
                      <w:color w:val="auto"/>
                    </w:rPr>
                    <w:t>1</w:t>
                  </w:r>
                </w:p>
              </w:tc>
              <w:tc>
                <w:tcPr>
                  <w:tcW w:w="363" w:type="pct"/>
                  <w:vMerge w:val="restart"/>
                  <w:tcBorders>
                    <w:tl2br w:val="nil"/>
                    <w:tr2bl w:val="nil"/>
                  </w:tcBorders>
                  <w:vAlign w:val="center"/>
                </w:tcPr>
                <w:p>
                  <w:pPr>
                    <w:snapToGrid w:val="0"/>
                    <w:jc w:val="center"/>
                    <w:rPr>
                      <w:color w:val="auto"/>
                    </w:rPr>
                  </w:pPr>
                  <w:r>
                    <w:rPr>
                      <w:color w:val="auto"/>
                    </w:rPr>
                    <w:t>DW001</w:t>
                  </w:r>
                </w:p>
              </w:tc>
              <w:tc>
                <w:tcPr>
                  <w:tcW w:w="762" w:type="pct"/>
                  <w:vMerge w:val="restart"/>
                  <w:tcBorders>
                    <w:tl2br w:val="nil"/>
                    <w:tr2bl w:val="nil"/>
                  </w:tcBorders>
                  <w:vAlign w:val="center"/>
                </w:tcPr>
                <w:p>
                  <w:pPr>
                    <w:snapToGrid w:val="0"/>
                    <w:jc w:val="center"/>
                    <w:rPr>
                      <w:color w:val="auto"/>
                    </w:rPr>
                  </w:pPr>
                  <w:r>
                    <w:rPr>
                      <w:rFonts w:hint="eastAsia"/>
                      <w:color w:val="auto"/>
                    </w:rPr>
                    <w:t>114.979471°E</w:t>
                  </w:r>
                </w:p>
                <w:p>
                  <w:pPr>
                    <w:pStyle w:val="24"/>
                    <w:ind w:firstLine="472" w:firstLineChars="200"/>
                    <w:rPr>
                      <w:color w:val="auto"/>
                    </w:rPr>
                  </w:pPr>
                  <w:r>
                    <w:rPr>
                      <w:rFonts w:hint="eastAsia"/>
                      <w:color w:val="auto"/>
                    </w:rPr>
                    <w:t>36.330051°N</w:t>
                  </w:r>
                </w:p>
              </w:tc>
              <w:tc>
                <w:tcPr>
                  <w:tcW w:w="639" w:type="pct"/>
                  <w:vMerge w:val="restart"/>
                  <w:tcBorders>
                    <w:tl2br w:val="nil"/>
                    <w:tr2bl w:val="nil"/>
                  </w:tcBorders>
                  <w:vAlign w:val="center"/>
                </w:tcPr>
                <w:p>
                  <w:pPr>
                    <w:snapToGrid w:val="0"/>
                    <w:jc w:val="center"/>
                    <w:rPr>
                      <w:rFonts w:hint="default" w:eastAsia="宋体"/>
                      <w:color w:val="auto"/>
                      <w:lang w:val="en-US" w:eastAsia="zh-CN"/>
                    </w:rPr>
                  </w:pPr>
                  <w:r>
                    <w:rPr>
                      <w:rFonts w:hint="eastAsia"/>
                      <w:color w:val="auto"/>
                      <w:lang w:val="en-US" w:eastAsia="zh-CN"/>
                    </w:rPr>
                    <w:t>804</w:t>
                  </w:r>
                </w:p>
              </w:tc>
              <w:tc>
                <w:tcPr>
                  <w:tcW w:w="534" w:type="pct"/>
                  <w:vMerge w:val="restart"/>
                  <w:tcBorders>
                    <w:tl2br w:val="nil"/>
                    <w:tr2bl w:val="nil"/>
                  </w:tcBorders>
                  <w:vAlign w:val="center"/>
                </w:tcPr>
                <w:p>
                  <w:pPr>
                    <w:snapToGrid w:val="0"/>
                    <w:jc w:val="center"/>
                    <w:rPr>
                      <w:color w:val="auto"/>
                    </w:rPr>
                  </w:pPr>
                  <w:r>
                    <w:rPr>
                      <w:color w:val="auto"/>
                    </w:rPr>
                    <w:t>排入污水处理厂</w:t>
                  </w:r>
                </w:p>
              </w:tc>
              <w:tc>
                <w:tcPr>
                  <w:tcW w:w="551" w:type="pct"/>
                  <w:vMerge w:val="restart"/>
                  <w:tcBorders>
                    <w:tl2br w:val="nil"/>
                    <w:tr2bl w:val="nil"/>
                  </w:tcBorders>
                  <w:vAlign w:val="center"/>
                </w:tcPr>
                <w:p>
                  <w:pPr>
                    <w:snapToGrid w:val="0"/>
                    <w:jc w:val="center"/>
                    <w:rPr>
                      <w:color w:val="auto"/>
                    </w:rPr>
                  </w:pPr>
                  <w:r>
                    <w:rPr>
                      <w:rFonts w:hint="eastAsia"/>
                      <w:color w:val="auto"/>
                    </w:rPr>
                    <w:t>间断排放，排放期间流量不稳定，且无规律</w:t>
                  </w:r>
                </w:p>
              </w:tc>
              <w:tc>
                <w:tcPr>
                  <w:tcW w:w="394" w:type="pct"/>
                  <w:vMerge w:val="restart"/>
                  <w:tcBorders>
                    <w:tl2br w:val="nil"/>
                    <w:tr2bl w:val="nil"/>
                  </w:tcBorders>
                  <w:vAlign w:val="center"/>
                </w:tcPr>
                <w:p>
                  <w:pPr>
                    <w:snapToGrid w:val="0"/>
                    <w:jc w:val="center"/>
                    <w:rPr>
                      <w:color w:val="auto"/>
                    </w:rPr>
                  </w:pPr>
                  <w:r>
                    <w:rPr>
                      <w:rFonts w:hint="eastAsia"/>
                      <w:color w:val="auto"/>
                    </w:rPr>
                    <w:t>☑</w:t>
                  </w:r>
                  <w:r>
                    <w:rPr>
                      <w:color w:val="auto"/>
                    </w:rPr>
                    <w:t>是</w:t>
                  </w:r>
                </w:p>
                <w:p>
                  <w:pPr>
                    <w:snapToGrid w:val="0"/>
                    <w:jc w:val="center"/>
                    <w:rPr>
                      <w:color w:val="auto"/>
                    </w:rPr>
                  </w:pPr>
                  <w:r>
                    <w:rPr>
                      <w:rFonts w:hint="eastAsia"/>
                      <w:color w:val="auto"/>
                    </w:rPr>
                    <w:t>□</w:t>
                  </w:r>
                  <w:r>
                    <w:rPr>
                      <w:color w:val="auto"/>
                    </w:rPr>
                    <w:t>否</w:t>
                  </w:r>
                </w:p>
              </w:tc>
              <w:tc>
                <w:tcPr>
                  <w:tcW w:w="421" w:type="pct"/>
                  <w:vMerge w:val="restart"/>
                  <w:tcBorders>
                    <w:tl2br w:val="nil"/>
                    <w:tr2bl w:val="nil"/>
                  </w:tcBorders>
                  <w:vAlign w:val="center"/>
                </w:tcPr>
                <w:p>
                  <w:pPr>
                    <w:snapToGrid w:val="0"/>
                    <w:jc w:val="center"/>
                    <w:rPr>
                      <w:color w:val="auto"/>
                    </w:rPr>
                  </w:pPr>
                  <w:r>
                    <w:rPr>
                      <w:rFonts w:hint="eastAsia"/>
                      <w:color w:val="auto"/>
                    </w:rPr>
                    <w:t>魏县开发区污水处理厂</w:t>
                  </w:r>
                </w:p>
              </w:tc>
              <w:tc>
                <w:tcPr>
                  <w:tcW w:w="576" w:type="pct"/>
                  <w:tcBorders>
                    <w:tl2br w:val="nil"/>
                    <w:tr2bl w:val="nil"/>
                  </w:tcBorders>
                  <w:vAlign w:val="center"/>
                </w:tcPr>
                <w:p>
                  <w:pPr>
                    <w:snapToGrid w:val="0"/>
                    <w:jc w:val="center"/>
                    <w:rPr>
                      <w:color w:val="auto"/>
                    </w:rPr>
                  </w:pPr>
                  <w:r>
                    <w:rPr>
                      <w:color w:val="auto"/>
                    </w:rPr>
                    <w:t>pH</w:t>
                  </w:r>
                </w:p>
              </w:tc>
              <w:tc>
                <w:tcPr>
                  <w:tcW w:w="657" w:type="pct"/>
                  <w:tcBorders>
                    <w:tl2br w:val="nil"/>
                    <w:tr2bl w:val="nil"/>
                  </w:tcBorders>
                  <w:vAlign w:val="center"/>
                </w:tcPr>
                <w:p>
                  <w:pPr>
                    <w:snapToGrid w:val="0"/>
                    <w:jc w:val="center"/>
                    <w:rPr>
                      <w:color w:val="auto"/>
                    </w:rPr>
                  </w:pPr>
                  <w:r>
                    <w:rPr>
                      <w:rFonts w:hint="eastAsia"/>
                      <w:color w:val="auto"/>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COD</w:t>
                  </w:r>
                </w:p>
              </w:tc>
              <w:tc>
                <w:tcPr>
                  <w:tcW w:w="657" w:type="pct"/>
                  <w:tcBorders>
                    <w:tl2br w:val="nil"/>
                    <w:tr2bl w:val="nil"/>
                  </w:tcBorders>
                  <w:vAlign w:val="center"/>
                </w:tcPr>
                <w:p>
                  <w:pPr>
                    <w:snapToGrid w:val="0"/>
                    <w:jc w:val="center"/>
                    <w:rPr>
                      <w:color w:val="auto"/>
                    </w:rPr>
                  </w:pPr>
                  <w:r>
                    <w:rPr>
                      <w:rFonts w:hint="eastAsia"/>
                      <w:color w:val="auto"/>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BOD</w:t>
                  </w:r>
                  <w:r>
                    <w:rPr>
                      <w:color w:val="auto"/>
                      <w:vertAlign w:val="subscript"/>
                    </w:rPr>
                    <w:t>5</w:t>
                  </w:r>
                </w:p>
              </w:tc>
              <w:tc>
                <w:tcPr>
                  <w:tcW w:w="657" w:type="pct"/>
                  <w:tcBorders>
                    <w:tl2br w:val="nil"/>
                    <w:tr2bl w:val="nil"/>
                  </w:tcBorders>
                  <w:vAlign w:val="center"/>
                </w:tcPr>
                <w:p>
                  <w:pPr>
                    <w:snapToGrid w:val="0"/>
                    <w:jc w:val="center"/>
                    <w:rPr>
                      <w:color w:val="auto"/>
                    </w:rPr>
                  </w:pPr>
                  <w:r>
                    <w:rPr>
                      <w:rFonts w:hint="eastAsia"/>
                      <w:color w:val="auto"/>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SS</w:t>
                  </w:r>
                </w:p>
              </w:tc>
              <w:tc>
                <w:tcPr>
                  <w:tcW w:w="657" w:type="pct"/>
                  <w:tcBorders>
                    <w:tl2br w:val="nil"/>
                    <w:tr2bl w:val="nil"/>
                  </w:tcBorders>
                  <w:vAlign w:val="center"/>
                </w:tcPr>
                <w:p>
                  <w:pPr>
                    <w:snapToGrid w:val="0"/>
                    <w:jc w:val="center"/>
                    <w:rPr>
                      <w:color w:val="auto"/>
                    </w:rPr>
                  </w:pPr>
                  <w:r>
                    <w:rPr>
                      <w:rFonts w:hint="eastAsia"/>
                      <w:color w:val="auto"/>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NH</w:t>
                  </w:r>
                  <w:r>
                    <w:rPr>
                      <w:color w:val="auto"/>
                      <w:vertAlign w:val="subscript"/>
                    </w:rPr>
                    <w:t>3</w:t>
                  </w:r>
                  <w:r>
                    <w:rPr>
                      <w:color w:val="auto"/>
                    </w:rPr>
                    <w:t>-N</w:t>
                  </w:r>
                </w:p>
              </w:tc>
              <w:tc>
                <w:tcPr>
                  <w:tcW w:w="657" w:type="pct"/>
                  <w:tcBorders>
                    <w:tl2br w:val="nil"/>
                    <w:tr2bl w:val="nil"/>
                  </w:tcBorders>
                  <w:vAlign w:val="center"/>
                </w:tcPr>
                <w:p>
                  <w:pPr>
                    <w:snapToGrid w:val="0"/>
                    <w:jc w:val="center"/>
                    <w:rPr>
                      <w:color w:val="auto"/>
                    </w:rPr>
                  </w:pPr>
                  <w:r>
                    <w:rPr>
                      <w:rFonts w:hint="eastAsia"/>
                      <w:color w:val="auto"/>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color w:val="auto"/>
                    </w:rPr>
                    <w:t>总</w:t>
                  </w:r>
                  <w:r>
                    <w:rPr>
                      <w:rFonts w:hint="eastAsia"/>
                      <w:color w:val="auto"/>
                    </w:rPr>
                    <w:t>磷</w:t>
                  </w:r>
                </w:p>
              </w:tc>
              <w:tc>
                <w:tcPr>
                  <w:tcW w:w="657" w:type="pct"/>
                  <w:tcBorders>
                    <w:tl2br w:val="nil"/>
                    <w:tr2bl w:val="nil"/>
                  </w:tcBorders>
                  <w:vAlign w:val="center"/>
                </w:tcPr>
                <w:p>
                  <w:pPr>
                    <w:snapToGrid w:val="0"/>
                    <w:jc w:val="center"/>
                    <w:rPr>
                      <w:color w:val="auto"/>
                    </w:rPr>
                  </w:pPr>
                  <w:r>
                    <w:rPr>
                      <w:rFonts w:hint="eastAsia"/>
                      <w:color w:val="auto"/>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rFonts w:hint="eastAsia"/>
                      <w:color w:val="auto"/>
                    </w:rPr>
                    <w:t>石油类</w:t>
                  </w:r>
                </w:p>
              </w:tc>
              <w:tc>
                <w:tcPr>
                  <w:tcW w:w="657" w:type="pct"/>
                  <w:tcBorders>
                    <w:tl2br w:val="nil"/>
                    <w:tr2bl w:val="nil"/>
                  </w:tcBorders>
                  <w:vAlign w:val="center"/>
                </w:tcPr>
                <w:p>
                  <w:pPr>
                    <w:snapToGrid w:val="0"/>
                    <w:jc w:val="center"/>
                    <w:rPr>
                      <w:color w:val="auto"/>
                    </w:rPr>
                  </w:pPr>
                  <w:r>
                    <w:rPr>
                      <w:rFonts w:hint="eastAsia"/>
                      <w:color w:val="auto"/>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100" w:type="pct"/>
                  <w:vMerge w:val="continue"/>
                  <w:tcBorders>
                    <w:tl2br w:val="nil"/>
                    <w:tr2bl w:val="nil"/>
                  </w:tcBorders>
                  <w:vAlign w:val="center"/>
                </w:tcPr>
                <w:p>
                  <w:pPr>
                    <w:snapToGrid w:val="0"/>
                    <w:jc w:val="center"/>
                    <w:rPr>
                      <w:color w:val="auto"/>
                    </w:rPr>
                  </w:pPr>
                </w:p>
              </w:tc>
              <w:tc>
                <w:tcPr>
                  <w:tcW w:w="363" w:type="pct"/>
                  <w:vMerge w:val="continue"/>
                  <w:tcBorders>
                    <w:tl2br w:val="nil"/>
                    <w:tr2bl w:val="nil"/>
                  </w:tcBorders>
                  <w:vAlign w:val="center"/>
                </w:tcPr>
                <w:p>
                  <w:pPr>
                    <w:snapToGrid w:val="0"/>
                    <w:jc w:val="center"/>
                    <w:rPr>
                      <w:color w:val="auto"/>
                    </w:rPr>
                  </w:pPr>
                </w:p>
              </w:tc>
              <w:tc>
                <w:tcPr>
                  <w:tcW w:w="762" w:type="pct"/>
                  <w:vMerge w:val="continue"/>
                  <w:tcBorders>
                    <w:tl2br w:val="nil"/>
                    <w:tr2bl w:val="nil"/>
                  </w:tcBorders>
                  <w:vAlign w:val="center"/>
                </w:tcPr>
                <w:p>
                  <w:pPr>
                    <w:snapToGrid w:val="0"/>
                    <w:jc w:val="center"/>
                    <w:rPr>
                      <w:color w:val="auto"/>
                    </w:rPr>
                  </w:pPr>
                </w:p>
              </w:tc>
              <w:tc>
                <w:tcPr>
                  <w:tcW w:w="639" w:type="pct"/>
                  <w:vMerge w:val="continue"/>
                  <w:tcBorders>
                    <w:tl2br w:val="nil"/>
                    <w:tr2bl w:val="nil"/>
                  </w:tcBorders>
                  <w:vAlign w:val="center"/>
                </w:tcPr>
                <w:p>
                  <w:pPr>
                    <w:snapToGrid w:val="0"/>
                    <w:jc w:val="center"/>
                    <w:rPr>
                      <w:color w:val="auto"/>
                    </w:rPr>
                  </w:pPr>
                </w:p>
              </w:tc>
              <w:tc>
                <w:tcPr>
                  <w:tcW w:w="534" w:type="pct"/>
                  <w:vMerge w:val="continue"/>
                  <w:tcBorders>
                    <w:tl2br w:val="nil"/>
                    <w:tr2bl w:val="nil"/>
                  </w:tcBorders>
                  <w:vAlign w:val="center"/>
                </w:tcPr>
                <w:p>
                  <w:pPr>
                    <w:snapToGrid w:val="0"/>
                    <w:jc w:val="center"/>
                    <w:rPr>
                      <w:color w:val="auto"/>
                    </w:rPr>
                  </w:pPr>
                </w:p>
              </w:tc>
              <w:tc>
                <w:tcPr>
                  <w:tcW w:w="551" w:type="pct"/>
                  <w:vMerge w:val="continue"/>
                  <w:tcBorders>
                    <w:tl2br w:val="nil"/>
                    <w:tr2bl w:val="nil"/>
                  </w:tcBorders>
                  <w:vAlign w:val="center"/>
                </w:tcPr>
                <w:p>
                  <w:pPr>
                    <w:snapToGrid w:val="0"/>
                    <w:jc w:val="center"/>
                    <w:rPr>
                      <w:color w:val="auto"/>
                    </w:rPr>
                  </w:pPr>
                </w:p>
              </w:tc>
              <w:tc>
                <w:tcPr>
                  <w:tcW w:w="394" w:type="pct"/>
                  <w:vMerge w:val="continue"/>
                  <w:tcBorders>
                    <w:tl2br w:val="nil"/>
                    <w:tr2bl w:val="nil"/>
                  </w:tcBorders>
                  <w:vAlign w:val="center"/>
                </w:tcPr>
                <w:p>
                  <w:pPr>
                    <w:snapToGrid w:val="0"/>
                    <w:jc w:val="center"/>
                    <w:rPr>
                      <w:color w:val="auto"/>
                    </w:rPr>
                  </w:pPr>
                </w:p>
              </w:tc>
              <w:tc>
                <w:tcPr>
                  <w:tcW w:w="421" w:type="pct"/>
                  <w:vMerge w:val="continue"/>
                  <w:tcBorders>
                    <w:tl2br w:val="nil"/>
                    <w:tr2bl w:val="nil"/>
                  </w:tcBorders>
                  <w:vAlign w:val="center"/>
                </w:tcPr>
                <w:p>
                  <w:pPr>
                    <w:snapToGrid w:val="0"/>
                    <w:jc w:val="center"/>
                    <w:rPr>
                      <w:color w:val="auto"/>
                    </w:rPr>
                  </w:pPr>
                </w:p>
              </w:tc>
              <w:tc>
                <w:tcPr>
                  <w:tcW w:w="576" w:type="pct"/>
                  <w:tcBorders>
                    <w:tl2br w:val="nil"/>
                    <w:tr2bl w:val="nil"/>
                  </w:tcBorders>
                  <w:vAlign w:val="center"/>
                </w:tcPr>
                <w:p>
                  <w:pPr>
                    <w:snapToGrid w:val="0"/>
                    <w:jc w:val="center"/>
                    <w:rPr>
                      <w:color w:val="auto"/>
                    </w:rPr>
                  </w:pPr>
                  <w:r>
                    <w:rPr>
                      <w:rFonts w:hint="eastAsia"/>
                      <w:color w:val="auto"/>
                    </w:rPr>
                    <w:t>阴离子表面活性剂</w:t>
                  </w:r>
                </w:p>
              </w:tc>
              <w:tc>
                <w:tcPr>
                  <w:tcW w:w="657" w:type="pct"/>
                  <w:tcBorders>
                    <w:tl2br w:val="nil"/>
                    <w:tr2bl w:val="nil"/>
                  </w:tcBorders>
                  <w:vAlign w:val="center"/>
                </w:tcPr>
                <w:p>
                  <w:pPr>
                    <w:snapToGrid w:val="0"/>
                    <w:jc w:val="center"/>
                    <w:rPr>
                      <w:color w:val="auto"/>
                    </w:rPr>
                  </w:pPr>
                  <w:r>
                    <w:rPr>
                      <w:rFonts w:hint="eastAsia"/>
                      <w:color w:val="auto"/>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5000" w:type="pct"/>
                  <w:gridSpan w:val="10"/>
                  <w:tcBorders>
                    <w:tl2br w:val="nil"/>
                    <w:tr2bl w:val="nil"/>
                  </w:tcBorders>
                </w:tcPr>
                <w:p>
                  <w:pPr>
                    <w:widowControl/>
                    <w:ind w:right="206" w:rightChars="100"/>
                    <w:rPr>
                      <w:color w:val="auto"/>
                    </w:rPr>
                  </w:pPr>
                  <w:r>
                    <w:rPr>
                      <w:color w:val="auto"/>
                    </w:rPr>
                    <w:t>a 对于排至厂外公共污水处理系统的排放口，指废水排出厂界处经纬度坐标。</w:t>
                  </w:r>
                </w:p>
                <w:p>
                  <w:pPr>
                    <w:widowControl/>
                    <w:ind w:right="206" w:rightChars="100"/>
                    <w:rPr>
                      <w:color w:val="auto"/>
                    </w:rPr>
                  </w:pPr>
                  <w:r>
                    <w:rPr>
                      <w:color w:val="auto"/>
                    </w:rPr>
                    <w:t>b 指厂外城镇或工业污水集中处理设施名称，如×××生活污水处理厂、×××化工园区污水处理厂等。</w:t>
                  </w:r>
                </w:p>
              </w:tc>
            </w:tr>
          </w:tbl>
          <w:p>
            <w:pPr>
              <w:spacing w:line="360" w:lineRule="auto"/>
              <w:ind w:firstLine="472" w:firstLineChars="200"/>
              <w:rPr>
                <w:b/>
                <w:bCs/>
                <w:color w:val="auto"/>
                <w:sz w:val="24"/>
                <w:szCs w:val="24"/>
              </w:rPr>
            </w:pPr>
            <w:r>
              <w:rPr>
                <w:rFonts w:hint="eastAsia"/>
                <w:b/>
                <w:bCs/>
                <w:color w:val="auto"/>
                <w:sz w:val="24"/>
                <w:szCs w:val="24"/>
              </w:rPr>
              <w:t>3、监测要求</w:t>
            </w:r>
          </w:p>
          <w:p>
            <w:pPr>
              <w:spacing w:line="360" w:lineRule="auto"/>
              <w:ind w:firstLine="472" w:firstLineChars="200"/>
              <w:rPr>
                <w:color w:val="auto"/>
                <w:sz w:val="24"/>
                <w:szCs w:val="24"/>
              </w:rPr>
            </w:pPr>
            <w:r>
              <w:rPr>
                <w:rFonts w:hint="eastAsia"/>
                <w:color w:val="auto"/>
                <w:sz w:val="24"/>
                <w:szCs w:val="24"/>
              </w:rPr>
              <w:t>环境监测是环境保护的基础，是进行污染治理和监督管理的依据，根据</w:t>
            </w:r>
            <w:r>
              <w:rPr>
                <w:rFonts w:hint="eastAsia" w:hAnsi="宋体"/>
                <w:color w:val="auto"/>
                <w:sz w:val="24"/>
                <w:szCs w:val="24"/>
              </w:rPr>
              <w:t>《排污许可证申请与核发技术规范——铁路、船舶、航空航天和其他运输设备制造业》（HJ1124—2020）附录A表面处理（涂装）排污单位和《排污许可证申请与核发技术规范——总则》（HJ942—2018）要求</w:t>
            </w:r>
            <w:r>
              <w:rPr>
                <w:rFonts w:hint="eastAsia"/>
                <w:color w:val="auto"/>
                <w:sz w:val="24"/>
                <w:szCs w:val="24"/>
              </w:rPr>
              <w:t>和本项目污染物排放情况，根据本项目运行特征和污染物排放特征，制定以下监测方案，污染源监测因子、监测频率及取样位置见表4-12。</w:t>
            </w:r>
          </w:p>
          <w:p>
            <w:pPr>
              <w:pStyle w:val="7"/>
              <w:jc w:val="center"/>
              <w:rPr>
                <w:rFonts w:hint="eastAsia" w:hAnsiTheme="minorEastAsia" w:eastAsiaTheme="minorEastAsia"/>
                <w:b/>
                <w:bCs/>
                <w:color w:val="auto"/>
                <w:sz w:val="24"/>
              </w:rPr>
            </w:pPr>
          </w:p>
          <w:p>
            <w:pPr>
              <w:pStyle w:val="7"/>
              <w:jc w:val="center"/>
              <w:rPr>
                <w:rFonts w:hint="eastAsia" w:hAnsiTheme="minorEastAsia" w:eastAsiaTheme="minorEastAsia"/>
                <w:b/>
                <w:bCs/>
                <w:color w:val="auto"/>
                <w:sz w:val="24"/>
              </w:rPr>
            </w:pPr>
          </w:p>
          <w:p>
            <w:pPr>
              <w:pStyle w:val="7"/>
              <w:jc w:val="center"/>
              <w:rPr>
                <w:rFonts w:hAnsiTheme="minorEastAsia" w:eastAsiaTheme="minorEastAsia"/>
                <w:b/>
                <w:bCs/>
                <w:color w:val="auto"/>
                <w:sz w:val="24"/>
              </w:rPr>
            </w:pPr>
            <w:r>
              <w:rPr>
                <w:rFonts w:hint="eastAsia" w:hAnsiTheme="minorEastAsia" w:eastAsiaTheme="minorEastAsia"/>
                <w:b/>
                <w:bCs/>
                <w:color w:val="auto"/>
                <w:sz w:val="24"/>
              </w:rPr>
              <w:t>表4-12项目废水监测要求一览表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650"/>
              <w:gridCol w:w="6959"/>
              <w:gridCol w:w="2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5" w:type="pct"/>
                  <w:vAlign w:val="center"/>
                </w:tcPr>
                <w:p>
                  <w:pPr>
                    <w:spacing w:line="320" w:lineRule="exact"/>
                    <w:jc w:val="center"/>
                    <w:rPr>
                      <w:color w:val="auto"/>
                    </w:rPr>
                  </w:pPr>
                  <w:r>
                    <w:rPr>
                      <w:color w:val="auto"/>
                    </w:rPr>
                    <w:t>监测</w:t>
                  </w:r>
                  <w:r>
                    <w:rPr>
                      <w:rFonts w:hint="eastAsia"/>
                      <w:color w:val="auto"/>
                    </w:rPr>
                    <w:t>点位</w:t>
                  </w:r>
                </w:p>
              </w:tc>
              <w:tc>
                <w:tcPr>
                  <w:tcW w:w="2640" w:type="pct"/>
                  <w:vAlign w:val="center"/>
                </w:tcPr>
                <w:p>
                  <w:pPr>
                    <w:spacing w:line="320" w:lineRule="exact"/>
                    <w:jc w:val="center"/>
                    <w:rPr>
                      <w:color w:val="auto"/>
                    </w:rPr>
                  </w:pPr>
                  <w:r>
                    <w:rPr>
                      <w:color w:val="auto"/>
                    </w:rPr>
                    <w:t>监测因子</w:t>
                  </w:r>
                </w:p>
              </w:tc>
              <w:tc>
                <w:tcPr>
                  <w:tcW w:w="974" w:type="pct"/>
                  <w:vAlign w:val="center"/>
                </w:tcPr>
                <w:p>
                  <w:pPr>
                    <w:spacing w:line="320" w:lineRule="exact"/>
                    <w:jc w:val="center"/>
                    <w:rPr>
                      <w:color w:val="auto"/>
                    </w:rPr>
                  </w:pPr>
                  <w:r>
                    <w:rPr>
                      <w:color w:val="auto"/>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36" w:hRule="atLeast"/>
                <w:jc w:val="center"/>
              </w:trPr>
              <w:tc>
                <w:tcPr>
                  <w:tcW w:w="1385" w:type="pct"/>
                  <w:vAlign w:val="center"/>
                </w:tcPr>
                <w:p>
                  <w:pPr>
                    <w:spacing w:line="320" w:lineRule="exact"/>
                    <w:jc w:val="center"/>
                    <w:rPr>
                      <w:color w:val="auto"/>
                    </w:rPr>
                  </w:pPr>
                  <w:r>
                    <w:rPr>
                      <w:rFonts w:hint="eastAsia"/>
                      <w:color w:val="auto"/>
                    </w:rPr>
                    <w:t>厂区废水总排口</w:t>
                  </w:r>
                </w:p>
              </w:tc>
              <w:tc>
                <w:tcPr>
                  <w:tcW w:w="2640" w:type="pct"/>
                  <w:vAlign w:val="center"/>
                </w:tcPr>
                <w:p>
                  <w:pPr>
                    <w:spacing w:line="320" w:lineRule="exact"/>
                    <w:jc w:val="center"/>
                    <w:rPr>
                      <w:color w:val="auto"/>
                    </w:rPr>
                  </w:pPr>
                  <w:r>
                    <w:rPr>
                      <w:color w:val="auto"/>
                    </w:rPr>
                    <w:t>pH 值、化学需氧量、氨氮</w:t>
                  </w:r>
                  <w:r>
                    <w:rPr>
                      <w:rFonts w:hint="eastAsia"/>
                      <w:color w:val="auto"/>
                    </w:rPr>
                    <w:t>、</w:t>
                  </w:r>
                  <w:r>
                    <w:rPr>
                      <w:color w:val="auto"/>
                    </w:rPr>
                    <w:t>悬浮物、 五日生化需氧量、</w:t>
                  </w:r>
                  <w:r>
                    <w:rPr>
                      <w:rFonts w:hint="eastAsia"/>
                      <w:color w:val="auto"/>
                    </w:rPr>
                    <w:t>石油</w:t>
                  </w:r>
                  <w:r>
                    <w:rPr>
                      <w:rFonts w:hint="eastAsia"/>
                      <w:color w:val="auto"/>
                      <w:highlight w:val="none"/>
                    </w:rPr>
                    <w:t>类</w:t>
                  </w:r>
                  <w:r>
                    <w:rPr>
                      <w:color w:val="auto"/>
                      <w:highlight w:val="none"/>
                    </w:rPr>
                    <w:t xml:space="preserve"> </w:t>
                  </w:r>
                  <w:r>
                    <w:rPr>
                      <w:rFonts w:hint="eastAsia"/>
                      <w:color w:val="auto"/>
                      <w:highlight w:val="none"/>
                    </w:rPr>
                    <w:t>、总磷、</w:t>
                  </w:r>
                  <w:r>
                    <w:rPr>
                      <w:rFonts w:hint="eastAsia"/>
                      <w:color w:val="auto"/>
                    </w:rPr>
                    <w:t>阴离子表面活性剂</w:t>
                  </w:r>
                </w:p>
              </w:tc>
              <w:tc>
                <w:tcPr>
                  <w:tcW w:w="974" w:type="pct"/>
                  <w:vAlign w:val="center"/>
                </w:tcPr>
                <w:p>
                  <w:pPr>
                    <w:spacing w:line="320" w:lineRule="exact"/>
                    <w:jc w:val="center"/>
                    <w:rPr>
                      <w:color w:val="auto"/>
                    </w:rPr>
                  </w:pPr>
                  <w:r>
                    <w:rPr>
                      <w:color w:val="auto"/>
                    </w:rPr>
                    <w:t>1次/</w:t>
                  </w:r>
                  <w:r>
                    <w:rPr>
                      <w:rFonts w:hint="eastAsia"/>
                      <w:color w:val="auto"/>
                    </w:rPr>
                    <w:t>半年</w:t>
                  </w:r>
                </w:p>
              </w:tc>
            </w:tr>
          </w:tbl>
          <w:p>
            <w:pPr>
              <w:spacing w:line="360" w:lineRule="auto"/>
              <w:ind w:left="480"/>
              <w:rPr>
                <w:rFonts w:hAnsi="宋体"/>
                <w:b/>
                <w:bCs/>
                <w:color w:val="auto"/>
                <w:sz w:val="24"/>
                <w:szCs w:val="24"/>
              </w:rPr>
            </w:pPr>
            <w:r>
              <w:rPr>
                <w:rFonts w:hint="eastAsia" w:hAnsi="宋体"/>
                <w:b/>
                <w:bCs/>
                <w:color w:val="auto"/>
                <w:sz w:val="24"/>
                <w:szCs w:val="24"/>
              </w:rPr>
              <w:t>4、本项目污水处理工艺的可行性分析</w:t>
            </w:r>
          </w:p>
          <w:p>
            <w:pPr>
              <w:pStyle w:val="24"/>
              <w:spacing w:line="520" w:lineRule="exact"/>
              <w:ind w:firstLine="472" w:firstLineChars="200"/>
              <w:rPr>
                <w:b/>
                <w:bCs/>
                <w:color w:val="auto"/>
              </w:rPr>
            </w:pPr>
            <w:r>
              <w:rPr>
                <w:rFonts w:hint="eastAsia"/>
                <w:b/>
                <w:bCs/>
                <w:color w:val="auto"/>
              </w:rPr>
              <w:t>（1）本项目污水处理工艺合理性分析：</w:t>
            </w:r>
          </w:p>
          <w:p>
            <w:pPr>
              <w:pStyle w:val="24"/>
              <w:spacing w:line="520" w:lineRule="exact"/>
              <w:ind w:firstLine="472" w:firstLineChars="200"/>
              <w:rPr>
                <w:rFonts w:hAnsi="宋体"/>
                <w:color w:val="auto"/>
                <w:szCs w:val="24"/>
              </w:rPr>
            </w:pPr>
            <w:r>
              <w:rPr>
                <w:rFonts w:hint="eastAsia"/>
                <w:color w:val="auto"/>
              </w:rPr>
              <w:t>本项目污水处理站采用“</w:t>
            </w:r>
            <w:r>
              <w:rPr>
                <w:rFonts w:hint="eastAsia"/>
                <w:color w:val="auto"/>
                <w:szCs w:val="21"/>
              </w:rPr>
              <w:t>隔油+混凝沉淀+气浮+活性炭碳滤”</w:t>
            </w:r>
            <w:r>
              <w:rPr>
                <w:rFonts w:hint="eastAsia"/>
                <w:color w:val="auto"/>
              </w:rPr>
              <w:t>工艺，</w:t>
            </w:r>
            <w:r>
              <w:rPr>
                <w:rFonts w:hint="eastAsia" w:hAnsi="宋体"/>
                <w:color w:val="auto"/>
                <w:szCs w:val="24"/>
              </w:rPr>
              <w:t>详细污水处理工艺流程简述如下：</w:t>
            </w:r>
          </w:p>
          <w:p>
            <w:pPr>
              <w:pStyle w:val="24"/>
              <w:spacing w:line="520" w:lineRule="exact"/>
              <w:ind w:firstLine="472" w:firstLineChars="200"/>
              <w:rPr>
                <w:rFonts w:hAnsi="宋体"/>
                <w:color w:val="auto"/>
                <w:szCs w:val="24"/>
              </w:rPr>
            </w:pPr>
            <w:r>
              <w:rPr>
                <w:rFonts w:hint="eastAsia" w:hAnsi="宋体"/>
                <w:color w:val="auto"/>
                <w:szCs w:val="24"/>
              </w:rPr>
              <w:t>①隔油调节池：由于污水日产生量不均匀，因此必须将产水高峰期多余的污水收集存放在调节池内进行水量的调节。在调节池前端设置隔油池，去除废水中存在的大部分油脂。</w:t>
            </w:r>
          </w:p>
          <w:p>
            <w:pPr>
              <w:pStyle w:val="24"/>
              <w:spacing w:line="520" w:lineRule="exact"/>
              <w:ind w:firstLine="472" w:firstLineChars="200"/>
              <w:rPr>
                <w:rFonts w:hAnsi="宋体"/>
                <w:color w:val="auto"/>
                <w:szCs w:val="24"/>
              </w:rPr>
            </w:pPr>
            <w:r>
              <w:rPr>
                <w:rFonts w:hint="eastAsia" w:hAnsi="宋体"/>
                <w:color w:val="auto"/>
                <w:szCs w:val="24"/>
              </w:rPr>
              <w:t>②混凝沉淀池：通过PH计控制投加酸或碱调节废水PH近中性，然后加入混凝剂，混凝后的废水进入沉淀池固液分离。</w:t>
            </w:r>
          </w:p>
          <w:p>
            <w:pPr>
              <w:pStyle w:val="24"/>
              <w:spacing w:line="520" w:lineRule="exact"/>
              <w:ind w:firstLine="472" w:firstLineChars="200"/>
              <w:rPr>
                <w:rFonts w:hAnsi="宋体"/>
                <w:color w:val="auto"/>
                <w:szCs w:val="24"/>
              </w:rPr>
            </w:pPr>
            <w:r>
              <w:rPr>
                <w:rFonts w:hint="eastAsia" w:hAnsi="宋体"/>
                <w:color w:val="auto"/>
                <w:szCs w:val="24"/>
              </w:rPr>
              <w:t>③气浮机：去除污水中的浮渣、浮油及大颗粒悬浮物后自流入中间水池。</w:t>
            </w:r>
          </w:p>
          <w:p>
            <w:pPr>
              <w:pStyle w:val="24"/>
              <w:spacing w:line="520" w:lineRule="exact"/>
              <w:ind w:firstLine="472" w:firstLineChars="200"/>
              <w:rPr>
                <w:rFonts w:hAnsi="宋体"/>
                <w:color w:val="auto"/>
                <w:szCs w:val="24"/>
              </w:rPr>
            </w:pPr>
            <w:r>
              <w:rPr>
                <w:rFonts w:hint="eastAsia" w:hAnsi="宋体"/>
                <w:color w:val="auto"/>
                <w:szCs w:val="24"/>
              </w:rPr>
              <w:t>④中间水池：沉淀池出水自流到中间水池中，通过加压泵抽到活性炭过滤器中去。</w:t>
            </w:r>
          </w:p>
          <w:p>
            <w:pPr>
              <w:pStyle w:val="24"/>
              <w:spacing w:line="520" w:lineRule="exact"/>
              <w:ind w:firstLine="472" w:firstLineChars="200"/>
              <w:rPr>
                <w:rFonts w:hAnsi="宋体"/>
                <w:color w:val="auto"/>
                <w:szCs w:val="24"/>
              </w:rPr>
            </w:pPr>
            <w:r>
              <w:rPr>
                <w:rFonts w:hint="eastAsia" w:hAnsi="宋体"/>
                <w:color w:val="auto"/>
                <w:szCs w:val="24"/>
              </w:rPr>
              <w:t>⑤活性炭过滤器：本工程采用活性炭，常用于用于水净化及污水处理，微过滤是一种精密过滤技术。它的孔径范围一般为0.05~I0//m，介于常规过滤和超滤之间，是属于以压力为驱动力达到分脔和浓缩的目的，无相态的变化和界面质量的转移，与常规过滤有所区别。出水经过果壳活性炭过滤器处理，去除废水中残留的少量悬浮物固体，多介质过滤器出水达标排放。</w:t>
            </w:r>
          </w:p>
          <w:p>
            <w:pPr>
              <w:pStyle w:val="24"/>
              <w:spacing w:line="520" w:lineRule="exact"/>
              <w:ind w:firstLine="472" w:firstLineChars="200"/>
              <w:rPr>
                <w:rFonts w:hint="default" w:hAnsi="宋体" w:eastAsia="宋体"/>
                <w:color w:val="auto"/>
                <w:szCs w:val="24"/>
                <w:lang w:val="en-US" w:eastAsia="zh-CN"/>
              </w:rPr>
            </w:pPr>
            <w:r>
              <w:rPr>
                <w:rFonts w:hint="eastAsia"/>
                <w:color w:val="auto"/>
              </w:rPr>
              <w:t>对照</w:t>
            </w:r>
            <w:r>
              <w:rPr>
                <w:rFonts w:hint="eastAsia" w:hAnsi="宋体"/>
                <w:color w:val="auto"/>
                <w:szCs w:val="24"/>
              </w:rPr>
              <w:t>《排污许可证申请与核发技术规范——铁路、船舶、航空航天和其他运输设备制造业》（HJ1124—2020）附录A表面处理（涂装）排污单位可行性技术对照表，</w:t>
            </w:r>
            <w:r>
              <w:rPr>
                <w:rFonts w:hint="eastAsia" w:hAnsi="宋体"/>
                <w:color w:val="auto"/>
                <w:szCs w:val="24"/>
                <w:lang w:val="en-US" w:eastAsia="zh-CN"/>
              </w:rPr>
              <w:t>推荐的污水处理技术为“隔油、 混凝、沉淀/气浮、砂滤、活性炭吸附”，本项目污水处理工艺为</w:t>
            </w:r>
            <w:r>
              <w:rPr>
                <w:rFonts w:hint="eastAsia"/>
                <w:color w:val="auto"/>
              </w:rPr>
              <w:t>“</w:t>
            </w:r>
            <w:r>
              <w:rPr>
                <w:rFonts w:hint="eastAsia"/>
                <w:color w:val="auto"/>
                <w:szCs w:val="21"/>
              </w:rPr>
              <w:t>隔油+混凝沉淀+气浮+活性炭碳滤”</w:t>
            </w:r>
            <w:r>
              <w:rPr>
                <w:rFonts w:hint="eastAsia"/>
                <w:color w:val="auto"/>
                <w:szCs w:val="21"/>
                <w:lang w:eastAsia="zh-CN"/>
              </w:rPr>
              <w:t>，</w:t>
            </w:r>
            <w:r>
              <w:rPr>
                <w:rFonts w:hint="eastAsia"/>
                <w:color w:val="auto"/>
                <w:szCs w:val="21"/>
                <w:lang w:val="en-US" w:eastAsia="zh-CN"/>
              </w:rPr>
              <w:t>属于污水治理可行技术。</w:t>
            </w:r>
          </w:p>
          <w:p>
            <w:pPr>
              <w:pStyle w:val="24"/>
              <w:spacing w:line="520" w:lineRule="exact"/>
              <w:ind w:firstLine="472" w:firstLineChars="200"/>
              <w:rPr>
                <w:color w:val="auto"/>
              </w:rPr>
            </w:pPr>
            <w:r>
              <w:rPr>
                <w:rFonts w:hint="eastAsia" w:hAnsi="宋体"/>
                <w:color w:val="auto"/>
                <w:szCs w:val="24"/>
              </w:rPr>
              <w:t>本项目污水处理工艺属于废水治理可行技术。</w:t>
            </w:r>
          </w:p>
          <w:p>
            <w:pPr>
              <w:pStyle w:val="5"/>
              <w:adjustRightInd w:val="0"/>
              <w:snapToGrid w:val="0"/>
              <w:spacing w:line="360" w:lineRule="auto"/>
              <w:rPr>
                <w:rFonts w:hint="eastAsia"/>
                <w:b/>
                <w:bCs/>
                <w:color w:val="auto"/>
              </w:rPr>
            </w:pPr>
          </w:p>
          <w:p>
            <w:pPr>
              <w:pStyle w:val="5"/>
              <w:adjustRightInd w:val="0"/>
              <w:snapToGrid w:val="0"/>
              <w:spacing w:line="360" w:lineRule="auto"/>
              <w:rPr>
                <w:b/>
                <w:bCs/>
                <w:color w:val="auto"/>
              </w:rPr>
            </w:pPr>
            <w:r>
              <w:rPr>
                <w:rFonts w:hint="eastAsia"/>
                <w:b/>
                <w:bCs/>
                <w:color w:val="auto"/>
              </w:rPr>
              <w:t>（2）依托魏县开发区污水处理厂可行性分析：</w:t>
            </w:r>
          </w:p>
          <w:p>
            <w:pPr>
              <w:pStyle w:val="24"/>
              <w:spacing w:line="520" w:lineRule="exact"/>
              <w:ind w:firstLine="472" w:firstLineChars="200"/>
              <w:rPr>
                <w:color w:val="auto"/>
                <w:szCs w:val="24"/>
              </w:rPr>
            </w:pPr>
            <w:r>
              <w:rPr>
                <w:rFonts w:hint="eastAsia"/>
                <w:color w:val="auto"/>
              </w:rPr>
              <w:t>本</w:t>
            </w:r>
            <w:r>
              <w:rPr>
                <w:color w:val="auto"/>
              </w:rPr>
              <w:t>项目</w:t>
            </w:r>
            <w:r>
              <w:rPr>
                <w:rFonts w:hint="eastAsia"/>
                <w:color w:val="auto"/>
              </w:rPr>
              <w:t>废水排入魏县开发区污水处理处理，魏县开发区污水处理厂现状处理能力为</w:t>
            </w:r>
            <w:r>
              <w:rPr>
                <w:color w:val="auto"/>
              </w:rPr>
              <w:t>1.5</w:t>
            </w:r>
            <w:r>
              <w:rPr>
                <w:rFonts w:hint="eastAsia"/>
                <w:color w:val="auto"/>
              </w:rPr>
              <w:t>万</w:t>
            </w:r>
            <w:r>
              <w:rPr>
                <w:color w:val="auto"/>
              </w:rPr>
              <w:t>m</w:t>
            </w:r>
            <w:r>
              <w:rPr>
                <w:color w:val="auto"/>
                <w:vertAlign w:val="superscript"/>
              </w:rPr>
              <w:t>3</w:t>
            </w:r>
            <w:r>
              <w:rPr>
                <w:color w:val="auto"/>
              </w:rPr>
              <w:t>/d</w:t>
            </w:r>
            <w:r>
              <w:rPr>
                <w:rFonts w:hint="eastAsia"/>
                <w:color w:val="auto"/>
              </w:rPr>
              <w:t>，二期扩建完成后为</w:t>
            </w:r>
            <w:r>
              <w:rPr>
                <w:color w:val="auto"/>
              </w:rPr>
              <w:t>3.0</w:t>
            </w:r>
            <w:r>
              <w:rPr>
                <w:rFonts w:hint="eastAsia"/>
                <w:color w:val="auto"/>
              </w:rPr>
              <w:t>万</w:t>
            </w:r>
            <w:r>
              <w:rPr>
                <w:color w:val="auto"/>
              </w:rPr>
              <w:t>m</w:t>
            </w:r>
            <w:r>
              <w:rPr>
                <w:color w:val="auto"/>
                <w:vertAlign w:val="superscript"/>
              </w:rPr>
              <w:t>3</w:t>
            </w:r>
            <w:r>
              <w:rPr>
                <w:color w:val="auto"/>
              </w:rPr>
              <w:t>/d</w:t>
            </w:r>
            <w:r>
              <w:rPr>
                <w:rFonts w:hint="eastAsia"/>
                <w:color w:val="auto"/>
              </w:rPr>
              <w:t>。魏县开发区污水处理厂位于河北魏县经济开发区南侧，建设项目总占地 60亩，其中一期占地50亩，主要建设粗格栅槽及进水泵房、细格栅槽及沉淀池、水解酸化池、CASS 生化反应池、絮凝沉淀池、滤池、消毒池、出水井、污泥浓缩池、脱水泵房、综合楼、总配电室、检修间等，总建(构)筑物面积4800m</w:t>
            </w:r>
            <w:r>
              <w:rPr>
                <w:rFonts w:hint="eastAsia"/>
                <w:color w:val="auto"/>
                <w:vertAlign w:val="superscript"/>
              </w:rPr>
              <w:t>2</w:t>
            </w:r>
            <w:r>
              <w:rPr>
                <w:rFonts w:hint="eastAsia"/>
                <w:color w:val="auto"/>
              </w:rPr>
              <w:t>。一期工程设计日处理污水1.5万m</w:t>
            </w:r>
            <w:r>
              <w:rPr>
                <w:rFonts w:hint="eastAsia"/>
                <w:color w:val="auto"/>
                <w:vertAlign w:val="superscript"/>
              </w:rPr>
              <w:t>3</w:t>
            </w:r>
            <w:r>
              <w:rPr>
                <w:rFonts w:hint="eastAsia"/>
                <w:color w:val="auto"/>
              </w:rPr>
              <w:t>/d，现污水实际处理量约为1万m</w:t>
            </w:r>
            <w:r>
              <w:rPr>
                <w:rFonts w:hint="eastAsia"/>
                <w:color w:val="auto"/>
                <w:vertAlign w:val="superscript"/>
              </w:rPr>
              <w:t>3</w:t>
            </w:r>
            <w:r>
              <w:rPr>
                <w:rFonts w:hint="eastAsia"/>
                <w:color w:val="auto"/>
              </w:rPr>
              <w:t>/d，采用“预处理+水解酸化+CASS+絮凝沉淀+过滤”工艺。开发区工业污水处理厂污水经处理后满足《城镇污水处理厂污染物排放标准》（GB18918-2002）表 1一级 A 标准要求，排入魏大馆渠。魏县开发区</w:t>
            </w:r>
            <w:r>
              <w:rPr>
                <w:rFonts w:hint="eastAsia"/>
                <w:color w:val="auto"/>
                <w:szCs w:val="24"/>
              </w:rPr>
              <w:t>有余量接收本项目废水（</w:t>
            </w:r>
            <w:r>
              <w:rPr>
                <w:rFonts w:hint="eastAsia"/>
                <w:color w:val="auto"/>
                <w:szCs w:val="24"/>
                <w:lang w:val="en-US" w:eastAsia="zh-CN"/>
              </w:rPr>
              <w:t>日平均排水量3.88</w:t>
            </w:r>
            <w:r>
              <w:rPr>
                <w:rFonts w:hint="eastAsia"/>
                <w:color w:val="auto"/>
                <w:highlight w:val="none"/>
              </w:rPr>
              <w:t>m</w:t>
            </w:r>
            <w:r>
              <w:rPr>
                <w:rFonts w:hint="eastAsia"/>
                <w:color w:val="auto"/>
                <w:highlight w:val="none"/>
                <w:vertAlign w:val="superscript"/>
              </w:rPr>
              <w:t>3</w:t>
            </w:r>
            <w:r>
              <w:rPr>
                <w:rFonts w:hint="eastAsia"/>
                <w:color w:val="auto"/>
                <w:highlight w:val="none"/>
              </w:rPr>
              <w:t>/d</w:t>
            </w:r>
            <w:r>
              <w:rPr>
                <w:rFonts w:hint="eastAsia"/>
                <w:color w:val="auto"/>
                <w:szCs w:val="24"/>
              </w:rPr>
              <w:t>），且本项目</w:t>
            </w:r>
            <w:r>
              <w:rPr>
                <w:rFonts w:hint="eastAsia"/>
                <w:color w:val="auto"/>
              </w:rPr>
              <w:t>出水水质符合魏县开发区污水处理厂进水水质要求，依托可行</w:t>
            </w:r>
            <w:r>
              <w:rPr>
                <w:rFonts w:hint="eastAsia"/>
                <w:color w:val="auto"/>
                <w:szCs w:val="24"/>
              </w:rPr>
              <w:t>。</w:t>
            </w:r>
          </w:p>
          <w:p>
            <w:pPr>
              <w:spacing w:line="360" w:lineRule="auto"/>
              <w:ind w:left="480"/>
              <w:rPr>
                <w:b/>
                <w:bCs/>
                <w:color w:val="auto"/>
                <w:sz w:val="24"/>
                <w:szCs w:val="24"/>
              </w:rPr>
            </w:pPr>
            <w:r>
              <w:rPr>
                <w:rFonts w:hint="eastAsia"/>
                <w:b/>
                <w:bCs/>
                <w:color w:val="auto"/>
                <w:sz w:val="24"/>
                <w:szCs w:val="24"/>
              </w:rPr>
              <w:t>5、达标排放情况</w:t>
            </w:r>
          </w:p>
          <w:p>
            <w:pPr>
              <w:spacing w:line="360" w:lineRule="auto"/>
              <w:ind w:firstLine="472" w:firstLineChars="200"/>
              <w:rPr>
                <w:color w:val="auto"/>
                <w:sz w:val="24"/>
                <w:szCs w:val="24"/>
              </w:rPr>
            </w:pPr>
            <w:r>
              <w:rPr>
                <w:rFonts w:hint="eastAsia"/>
                <w:color w:val="auto"/>
                <w:sz w:val="24"/>
                <w:szCs w:val="24"/>
              </w:rPr>
              <w:t xml:space="preserve"> 本项目废水主要为职工生活废水和喷塑前处理过程中产生的脱脂废水和清洗废水。生活废水经化粪池处理后，排入魏县开发区污水处理厂处理；脱脂废水和清洗废水经一体化污水处理设施处理后排入魏县开发区污水处理厂处理，一体化污水处理设施采用“隔油+混凝沉淀+气浮+活性炭碳滤”处理工艺，废水外排浓度满足《污水综合排放标准》（GB8978-1996）表4三级标准及魏县开发区污水处理厂收水浓度要求。对周边的地表水环境影响较小。</w:t>
            </w:r>
          </w:p>
          <w:p>
            <w:pPr>
              <w:pStyle w:val="24"/>
              <w:spacing w:line="520" w:lineRule="exact"/>
              <w:ind w:firstLine="472" w:firstLineChars="200"/>
              <w:rPr>
                <w:rFonts w:hAnsi="宋体"/>
                <w:color w:val="auto"/>
                <w:szCs w:val="24"/>
              </w:rPr>
            </w:pPr>
            <w:r>
              <w:rPr>
                <w:rFonts w:hint="eastAsia"/>
                <w:color w:val="auto"/>
              </w:rPr>
              <w:t>综上</w:t>
            </w:r>
            <w:r>
              <w:rPr>
                <w:color w:val="auto"/>
              </w:rPr>
              <w:t>，</w:t>
            </w:r>
            <w:r>
              <w:rPr>
                <w:rFonts w:hint="eastAsia"/>
                <w:color w:val="auto"/>
              </w:rPr>
              <w:t>本项目</w:t>
            </w:r>
            <w:r>
              <w:rPr>
                <w:color w:val="auto"/>
              </w:rPr>
              <w:t>不会对区域地表水环境产生明显影响。</w:t>
            </w:r>
          </w:p>
          <w:p>
            <w:pPr>
              <w:spacing w:line="360" w:lineRule="auto"/>
              <w:ind w:firstLine="472" w:firstLineChars="200"/>
              <w:rPr>
                <w:rFonts w:hAnsi="宋体"/>
                <w:b/>
                <w:bCs/>
                <w:color w:val="auto"/>
                <w:sz w:val="24"/>
                <w:szCs w:val="24"/>
              </w:rPr>
            </w:pPr>
            <w:r>
              <w:rPr>
                <w:rFonts w:hint="eastAsia" w:hAnsi="宋体"/>
                <w:b/>
                <w:bCs/>
                <w:color w:val="auto"/>
                <w:sz w:val="24"/>
                <w:szCs w:val="24"/>
              </w:rPr>
              <w:t>（二）地下水环境影响分析</w:t>
            </w:r>
          </w:p>
          <w:p>
            <w:pPr>
              <w:spacing w:line="360" w:lineRule="auto"/>
              <w:ind w:firstLine="482"/>
              <w:rPr>
                <w:color w:val="auto"/>
                <w:kern w:val="1"/>
                <w:sz w:val="24"/>
                <w:szCs w:val="24"/>
              </w:rPr>
            </w:pPr>
            <w:r>
              <w:rPr>
                <w:rFonts w:hint="eastAsia"/>
                <w:color w:val="auto"/>
                <w:kern w:val="1"/>
                <w:sz w:val="24"/>
                <w:szCs w:val="24"/>
              </w:rPr>
              <w:t>本项目地下水污染源主要是喷涂线前处理区、一体化污水处理设施和危废暂存间。喷涂线前处理区和一体化污水处理设施可能发生脱脂废水和清洗废水的泄露或者溢流，且地面防渗层破损渗入地下，对地下水环境造成影响，危废暂存间可能发生废液压油的遗洒，如不及时清理，可能对地下水环境造成影响。</w:t>
            </w:r>
          </w:p>
          <w:p>
            <w:pPr>
              <w:spacing w:line="360" w:lineRule="auto"/>
              <w:ind w:firstLine="482"/>
              <w:rPr>
                <w:color w:val="auto"/>
                <w:kern w:val="1"/>
                <w:sz w:val="24"/>
                <w:szCs w:val="24"/>
              </w:rPr>
            </w:pPr>
            <w:r>
              <w:rPr>
                <w:color w:val="auto"/>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color w:val="auto"/>
                <w:kern w:val="1"/>
                <w:sz w:val="24"/>
                <w:szCs w:val="24"/>
              </w:rPr>
            </w:pPr>
            <w:r>
              <w:rPr>
                <w:color w:val="auto"/>
                <w:kern w:val="1"/>
                <w:sz w:val="24"/>
                <w:szCs w:val="24"/>
              </w:rPr>
              <w:t>(1)源头控制措施</w:t>
            </w:r>
          </w:p>
          <w:p>
            <w:pPr>
              <w:spacing w:line="360" w:lineRule="auto"/>
              <w:ind w:firstLine="482"/>
              <w:rPr>
                <w:color w:val="auto"/>
                <w:kern w:val="1"/>
                <w:sz w:val="24"/>
                <w:szCs w:val="24"/>
              </w:rPr>
            </w:pPr>
            <w:r>
              <w:rPr>
                <w:rFonts w:hint="eastAsia"/>
                <w:color w:val="auto"/>
                <w:kern w:val="1"/>
                <w:sz w:val="24"/>
                <w:szCs w:val="24"/>
              </w:rPr>
              <w:t>提高清洁生产水平，减少污染物产生量；加强废机油日常的使用和管理，防止废机油储存过程中的跑、冒、滴、漏，将污染物泄漏的环境风险事故降到最低限度。</w:t>
            </w:r>
          </w:p>
          <w:p>
            <w:pPr>
              <w:spacing w:line="360" w:lineRule="auto"/>
              <w:ind w:firstLine="482"/>
              <w:rPr>
                <w:color w:val="auto"/>
                <w:kern w:val="1"/>
                <w:sz w:val="24"/>
                <w:szCs w:val="24"/>
              </w:rPr>
            </w:pPr>
            <w:r>
              <w:rPr>
                <w:color w:val="auto"/>
                <w:kern w:val="1"/>
                <w:sz w:val="24"/>
                <w:szCs w:val="24"/>
              </w:rPr>
              <w:t>(2)分区防控措施</w:t>
            </w:r>
          </w:p>
          <w:p>
            <w:pPr>
              <w:spacing w:line="360" w:lineRule="auto"/>
              <w:ind w:firstLine="482"/>
              <w:rPr>
                <w:color w:val="auto"/>
                <w:kern w:val="1"/>
                <w:sz w:val="24"/>
                <w:szCs w:val="24"/>
              </w:rPr>
            </w:pPr>
            <w:r>
              <w:rPr>
                <w:rFonts w:hint="eastAsia"/>
                <w:color w:val="auto"/>
                <w:sz w:val="24"/>
                <w:szCs w:val="24"/>
              </w:rPr>
              <w:t>聚银公司C厂区已经将全厂划分为重点防渗区和一般防渗区并进行防渗处理，各分区目前已经按照不同等级的防渗要求建设完成。其中本项目占用的2栋生产厂房</w:t>
            </w:r>
            <w:r>
              <w:rPr>
                <w:rFonts w:hint="eastAsia"/>
                <w:color w:val="auto"/>
                <w:kern w:val="1"/>
                <w:sz w:val="24"/>
                <w:szCs w:val="24"/>
              </w:rPr>
              <w:t>地面作为重点防渗区，车间地面已采用耐酸、防酸水泥做硬化防渗处理，经过现场踏勘，车间地面硬化良好，没有明显的地面破损和裂隙，地面防渗基本可以满足本项目建设要求。办公室、研发楼和厂区内道路作为一般防渗区，已经进行水泥硬化。</w:t>
            </w:r>
          </w:p>
          <w:p>
            <w:pPr>
              <w:spacing w:line="360" w:lineRule="auto"/>
              <w:ind w:firstLine="482"/>
              <w:rPr>
                <w:color w:val="auto"/>
                <w:kern w:val="1"/>
                <w:sz w:val="24"/>
                <w:szCs w:val="24"/>
              </w:rPr>
            </w:pPr>
            <w:r>
              <w:rPr>
                <w:rFonts w:hint="eastAsia"/>
                <w:color w:val="auto"/>
                <w:kern w:val="1"/>
                <w:sz w:val="24"/>
                <w:szCs w:val="24"/>
              </w:rPr>
              <w:t>本环评报告要求在厂区现有的防渗基础之上进行如下改造：本项目车间内分区防渗图见附图3.</w:t>
            </w:r>
          </w:p>
          <w:p>
            <w:pPr>
              <w:spacing w:line="360" w:lineRule="auto"/>
              <w:ind w:firstLine="482"/>
              <w:rPr>
                <w:color w:val="auto"/>
                <w:kern w:val="1"/>
                <w:sz w:val="24"/>
                <w:szCs w:val="24"/>
              </w:rPr>
            </w:pPr>
            <w:r>
              <w:rPr>
                <w:rFonts w:hint="eastAsia"/>
                <w:color w:val="auto"/>
                <w:kern w:val="1"/>
                <w:sz w:val="24"/>
                <w:szCs w:val="24"/>
              </w:rPr>
              <w:t>①在2号厂房内拟建的喷塑线前处理区进行防渗改造，在车间地面刷2mm环氧树脂漆，使其满足等效黏土防渗层Mb≥6m，渗透系数≤10</w:t>
            </w:r>
            <w:r>
              <w:rPr>
                <w:rFonts w:hint="eastAsia"/>
                <w:color w:val="auto"/>
                <w:kern w:val="1"/>
                <w:sz w:val="24"/>
                <w:szCs w:val="24"/>
                <w:vertAlign w:val="superscript"/>
              </w:rPr>
              <w:t>-7</w:t>
            </w:r>
            <w:r>
              <w:rPr>
                <w:rFonts w:hint="eastAsia"/>
                <w:color w:val="auto"/>
                <w:kern w:val="1"/>
                <w:sz w:val="24"/>
                <w:szCs w:val="24"/>
              </w:rPr>
              <w:t>cm/s要求。</w:t>
            </w:r>
          </w:p>
          <w:p>
            <w:pPr>
              <w:spacing w:line="360" w:lineRule="auto"/>
              <w:ind w:firstLine="482"/>
              <w:rPr>
                <w:color w:val="auto"/>
                <w:kern w:val="1"/>
                <w:sz w:val="24"/>
                <w:szCs w:val="24"/>
              </w:rPr>
            </w:pPr>
            <w:r>
              <w:rPr>
                <w:rFonts w:hint="eastAsia"/>
                <w:color w:val="auto"/>
                <w:kern w:val="1"/>
                <w:sz w:val="24"/>
                <w:szCs w:val="24"/>
              </w:rPr>
              <w:t>②本项目危废暂存间拟建设在1号厂房内，在厂房现有水泥地面防渗基础上进行改造，水泥地面上刷2mm环氧树脂漆，满足等效黏土防渗层Mb≥6m，渗透系数≤10</w:t>
            </w:r>
            <w:r>
              <w:rPr>
                <w:rFonts w:hint="eastAsia"/>
                <w:color w:val="auto"/>
                <w:kern w:val="1"/>
                <w:sz w:val="24"/>
                <w:szCs w:val="24"/>
                <w:vertAlign w:val="superscript"/>
              </w:rPr>
              <w:t>-7</w:t>
            </w:r>
            <w:r>
              <w:rPr>
                <w:rFonts w:hint="eastAsia"/>
                <w:color w:val="auto"/>
                <w:kern w:val="1"/>
                <w:sz w:val="24"/>
                <w:szCs w:val="24"/>
              </w:rPr>
              <w:t>cm/s要求，且表面无裂隙，并设置堵截泄漏的裙角，同时设置泄漏液体的收集装置。</w:t>
            </w:r>
          </w:p>
          <w:p>
            <w:pPr>
              <w:spacing w:line="360" w:lineRule="auto"/>
              <w:ind w:firstLine="482"/>
              <w:rPr>
                <w:color w:val="auto"/>
                <w:kern w:val="1"/>
                <w:sz w:val="24"/>
                <w:szCs w:val="24"/>
              </w:rPr>
            </w:pPr>
            <w:r>
              <w:rPr>
                <w:rFonts w:hint="eastAsia"/>
                <w:color w:val="auto"/>
                <w:kern w:val="1"/>
                <w:sz w:val="24"/>
                <w:szCs w:val="24"/>
              </w:rPr>
              <w:t>③一体化污水处理设施拟建设在2号厂房外西北角，在厂房现有水泥地面防渗基础上进行改造，水泥地面上刷2mm环氧树脂漆，满足等效黏土防渗层Mb≥6m，渗透系数≤10</w:t>
            </w:r>
            <w:r>
              <w:rPr>
                <w:rFonts w:hint="eastAsia"/>
                <w:color w:val="auto"/>
                <w:kern w:val="1"/>
                <w:sz w:val="24"/>
                <w:szCs w:val="24"/>
                <w:vertAlign w:val="superscript"/>
              </w:rPr>
              <w:t>-7</w:t>
            </w:r>
            <w:r>
              <w:rPr>
                <w:rFonts w:hint="eastAsia"/>
                <w:color w:val="auto"/>
                <w:kern w:val="1"/>
                <w:sz w:val="24"/>
                <w:szCs w:val="24"/>
              </w:rPr>
              <w:t>cm/s要求。</w:t>
            </w:r>
          </w:p>
          <w:p>
            <w:pPr>
              <w:spacing w:line="360" w:lineRule="auto"/>
              <w:ind w:firstLine="482"/>
              <w:rPr>
                <w:color w:val="auto"/>
                <w:kern w:val="1"/>
                <w:sz w:val="24"/>
                <w:szCs w:val="24"/>
              </w:rPr>
            </w:pPr>
            <w:r>
              <w:rPr>
                <w:rFonts w:hint="eastAsia"/>
                <w:color w:val="auto"/>
                <w:kern w:val="1"/>
                <w:sz w:val="24"/>
                <w:szCs w:val="24"/>
              </w:rPr>
              <w:t>在严格落实本环评提出的防渗层改造的基础上，同时加强日常巡视，发现有物料跑、冒、滴、漏现象的及时清理，防治污染地下水。</w:t>
            </w:r>
          </w:p>
          <w:p>
            <w:pPr>
              <w:spacing w:line="360" w:lineRule="auto"/>
              <w:ind w:firstLine="482"/>
              <w:rPr>
                <w:color w:val="auto"/>
                <w:kern w:val="1"/>
                <w:sz w:val="24"/>
                <w:szCs w:val="24"/>
              </w:rPr>
            </w:pPr>
            <w:r>
              <w:rPr>
                <w:rFonts w:hint="eastAsia"/>
                <w:color w:val="auto"/>
                <w:kern w:val="1"/>
                <w:sz w:val="24"/>
                <w:szCs w:val="24"/>
              </w:rPr>
              <w:t>综上，在严格落实本环评提出地下水污染防治措施的基础之上，本项目地下水污染防治技术可行，</w:t>
            </w:r>
            <w:r>
              <w:rPr>
                <w:color w:val="auto"/>
                <w:kern w:val="1"/>
                <w:sz w:val="24"/>
                <w:szCs w:val="24"/>
              </w:rPr>
              <w:t>项目营运期间不会对周围</w:t>
            </w:r>
            <w:r>
              <w:rPr>
                <w:rFonts w:hint="eastAsia"/>
                <w:color w:val="auto"/>
                <w:kern w:val="1"/>
                <w:sz w:val="24"/>
                <w:szCs w:val="24"/>
              </w:rPr>
              <w:t>地下水和地表水</w:t>
            </w:r>
            <w:r>
              <w:rPr>
                <w:color w:val="auto"/>
                <w:kern w:val="1"/>
                <w:sz w:val="24"/>
                <w:szCs w:val="24"/>
              </w:rPr>
              <w:t>水环境产生明显影响。</w:t>
            </w:r>
          </w:p>
          <w:p>
            <w:pPr>
              <w:spacing w:line="360" w:lineRule="auto"/>
              <w:ind w:firstLine="480"/>
              <w:rPr>
                <w:b/>
                <w:bCs/>
                <w:color w:val="auto"/>
                <w:kern w:val="1"/>
                <w:sz w:val="24"/>
                <w:szCs w:val="24"/>
              </w:rPr>
            </w:pPr>
            <w:r>
              <w:rPr>
                <w:b/>
                <w:bCs/>
                <w:color w:val="auto"/>
                <w:kern w:val="1"/>
                <w:sz w:val="24"/>
                <w:szCs w:val="24"/>
              </w:rPr>
              <w:t>三、声环境影响分析</w:t>
            </w:r>
          </w:p>
          <w:p>
            <w:pPr>
              <w:spacing w:line="360" w:lineRule="auto"/>
              <w:ind w:firstLine="472" w:firstLineChars="200"/>
              <w:rPr>
                <w:rFonts w:hAnsi="宋体"/>
                <w:bCs/>
                <w:color w:val="auto"/>
                <w:sz w:val="24"/>
              </w:rPr>
            </w:pPr>
            <w:r>
              <w:rPr>
                <w:rFonts w:hint="eastAsia" w:hAnsi="宋体"/>
                <w:b/>
                <w:color w:val="auto"/>
                <w:sz w:val="24"/>
              </w:rPr>
              <w:t>1、源强分析</w:t>
            </w:r>
          </w:p>
          <w:p>
            <w:pPr>
              <w:spacing w:line="360" w:lineRule="auto"/>
              <w:ind w:firstLine="472" w:firstLineChars="200"/>
              <w:rPr>
                <w:b/>
                <w:bCs/>
                <w:color w:val="auto"/>
                <w:sz w:val="24"/>
              </w:rPr>
            </w:pPr>
            <w:r>
              <w:rPr>
                <w:rFonts w:hint="eastAsia" w:hAnsi="宋体"/>
                <w:bCs/>
                <w:color w:val="auto"/>
                <w:sz w:val="24"/>
              </w:rPr>
              <w:t>项目营运期噪声源主要为空压机、激光切割机、砖塔冲床、数控板料折弯机、各种焊机、数控母线冲剪机、折弯机、喷淋泵和风机等生产设备运行过程产生噪声，源强约80~90dB（A）。经选用低噪声设备、</w:t>
            </w:r>
            <w:r>
              <w:rPr>
                <w:rFonts w:hAnsi="宋体"/>
                <w:bCs/>
                <w:color w:val="auto"/>
                <w:sz w:val="24"/>
              </w:rPr>
              <w:t>加装减震基础、</w:t>
            </w:r>
            <w:r>
              <w:rPr>
                <w:rFonts w:hint="eastAsia" w:hAnsi="宋体"/>
                <w:bCs/>
                <w:color w:val="auto"/>
                <w:sz w:val="24"/>
              </w:rPr>
              <w:t>厂房</w:t>
            </w:r>
            <w:r>
              <w:rPr>
                <w:rFonts w:hAnsi="宋体"/>
                <w:bCs/>
                <w:color w:val="auto"/>
                <w:sz w:val="24"/>
              </w:rPr>
              <w:t>隔声等措施降噪</w:t>
            </w:r>
            <w:r>
              <w:rPr>
                <w:rFonts w:hint="eastAsia" w:hAnsi="宋体"/>
                <w:bCs/>
                <w:color w:val="auto"/>
                <w:sz w:val="24"/>
              </w:rPr>
              <w:t>，本项目主要设备噪声源源强及治理措施一览表见表4-13。</w:t>
            </w:r>
          </w:p>
          <w:p>
            <w:pPr>
              <w:spacing w:line="360" w:lineRule="auto"/>
              <w:ind w:firstLine="472" w:firstLineChars="200"/>
              <w:jc w:val="center"/>
              <w:rPr>
                <w:b/>
                <w:bCs/>
                <w:color w:val="auto"/>
                <w:sz w:val="24"/>
              </w:rPr>
            </w:pPr>
            <w:r>
              <w:rPr>
                <w:rFonts w:hint="eastAsia"/>
                <w:b/>
                <w:bCs/>
                <w:color w:val="auto"/>
                <w:sz w:val="24"/>
              </w:rPr>
              <w:t>表4-13项目主要噪声源源强及治理措施一览表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189"/>
              <w:gridCol w:w="2567"/>
              <w:gridCol w:w="1210"/>
              <w:gridCol w:w="1381"/>
              <w:gridCol w:w="1041"/>
              <w:gridCol w:w="1046"/>
              <w:gridCol w:w="1204"/>
              <w:gridCol w:w="12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7" w:type="pct"/>
                  <w:vAlign w:val="center"/>
                </w:tcPr>
                <w:p>
                  <w:pPr>
                    <w:jc w:val="center"/>
                    <w:rPr>
                      <w:color w:val="auto"/>
                      <w:szCs w:val="21"/>
                    </w:rPr>
                  </w:pPr>
                  <w:r>
                    <w:rPr>
                      <w:color w:val="auto"/>
                      <w:szCs w:val="21"/>
                    </w:rPr>
                    <w:t>序号</w:t>
                  </w:r>
                </w:p>
              </w:tc>
              <w:tc>
                <w:tcPr>
                  <w:tcW w:w="451" w:type="pct"/>
                  <w:vAlign w:val="center"/>
                </w:tcPr>
                <w:p>
                  <w:pPr>
                    <w:jc w:val="center"/>
                    <w:rPr>
                      <w:color w:val="auto"/>
                      <w:szCs w:val="21"/>
                    </w:rPr>
                  </w:pPr>
                  <w:r>
                    <w:rPr>
                      <w:rFonts w:hint="eastAsia"/>
                      <w:color w:val="auto"/>
                      <w:szCs w:val="21"/>
                    </w:rPr>
                    <w:t>车间</w:t>
                  </w:r>
                </w:p>
              </w:tc>
              <w:tc>
                <w:tcPr>
                  <w:tcW w:w="974" w:type="pct"/>
                  <w:vAlign w:val="center"/>
                </w:tcPr>
                <w:p>
                  <w:pPr>
                    <w:jc w:val="center"/>
                    <w:rPr>
                      <w:color w:val="auto"/>
                      <w:szCs w:val="21"/>
                    </w:rPr>
                  </w:pPr>
                  <w:r>
                    <w:rPr>
                      <w:color w:val="auto"/>
                      <w:szCs w:val="21"/>
                    </w:rPr>
                    <w:t>设备名称</w:t>
                  </w:r>
                </w:p>
              </w:tc>
              <w:tc>
                <w:tcPr>
                  <w:tcW w:w="459" w:type="pct"/>
                  <w:vAlign w:val="center"/>
                </w:tcPr>
                <w:p>
                  <w:pPr>
                    <w:jc w:val="center"/>
                    <w:rPr>
                      <w:color w:val="auto"/>
                      <w:szCs w:val="21"/>
                    </w:rPr>
                  </w:pPr>
                  <w:r>
                    <w:rPr>
                      <w:color w:val="auto"/>
                      <w:szCs w:val="21"/>
                    </w:rPr>
                    <w:t>数量</w:t>
                  </w:r>
                </w:p>
                <w:p>
                  <w:pPr>
                    <w:jc w:val="center"/>
                    <w:rPr>
                      <w:color w:val="auto"/>
                      <w:szCs w:val="21"/>
                    </w:rPr>
                  </w:pPr>
                  <w:r>
                    <w:rPr>
                      <w:color w:val="auto"/>
                      <w:szCs w:val="21"/>
                    </w:rPr>
                    <w:t>（台</w:t>
                  </w:r>
                  <w:r>
                    <w:rPr>
                      <w:rFonts w:hint="eastAsia"/>
                      <w:color w:val="auto"/>
                      <w:szCs w:val="21"/>
                    </w:rPr>
                    <w:t>/</w:t>
                  </w:r>
                  <w:r>
                    <w:rPr>
                      <w:color w:val="auto"/>
                      <w:szCs w:val="21"/>
                    </w:rPr>
                    <w:t>套）</w:t>
                  </w:r>
                </w:p>
              </w:tc>
              <w:tc>
                <w:tcPr>
                  <w:tcW w:w="524" w:type="pct"/>
                  <w:vAlign w:val="center"/>
                </w:tcPr>
                <w:p>
                  <w:pPr>
                    <w:adjustRightInd w:val="0"/>
                    <w:snapToGrid w:val="0"/>
                    <w:spacing w:line="320" w:lineRule="exact"/>
                    <w:jc w:val="center"/>
                    <w:rPr>
                      <w:color w:val="auto"/>
                      <w:szCs w:val="21"/>
                    </w:rPr>
                  </w:pPr>
                  <w:r>
                    <w:rPr>
                      <w:rFonts w:hint="eastAsia"/>
                      <w:color w:val="auto"/>
                      <w:szCs w:val="21"/>
                    </w:rPr>
                    <w:t>噪声源强</w:t>
                  </w:r>
                  <w:r>
                    <w:rPr>
                      <w:color w:val="auto"/>
                      <w:szCs w:val="21"/>
                    </w:rPr>
                    <w:t>dB（A）</w:t>
                  </w:r>
                </w:p>
              </w:tc>
              <w:tc>
                <w:tcPr>
                  <w:tcW w:w="395" w:type="pct"/>
                  <w:vAlign w:val="center"/>
                </w:tcPr>
                <w:p>
                  <w:pPr>
                    <w:adjustRightInd w:val="0"/>
                    <w:snapToGrid w:val="0"/>
                    <w:spacing w:line="320" w:lineRule="exact"/>
                    <w:jc w:val="center"/>
                    <w:rPr>
                      <w:color w:val="auto"/>
                      <w:szCs w:val="21"/>
                    </w:rPr>
                  </w:pPr>
                  <w:r>
                    <w:rPr>
                      <w:rFonts w:hint="eastAsia"/>
                      <w:color w:val="auto"/>
                      <w:szCs w:val="21"/>
                    </w:rPr>
                    <w:t>声源类型</w:t>
                  </w:r>
                </w:p>
              </w:tc>
              <w:tc>
                <w:tcPr>
                  <w:tcW w:w="397" w:type="pct"/>
                  <w:vAlign w:val="center"/>
                </w:tcPr>
                <w:p>
                  <w:pPr>
                    <w:adjustRightInd w:val="0"/>
                    <w:snapToGrid w:val="0"/>
                    <w:spacing w:line="320" w:lineRule="exact"/>
                    <w:jc w:val="center"/>
                    <w:rPr>
                      <w:color w:val="auto"/>
                      <w:szCs w:val="21"/>
                    </w:rPr>
                  </w:pPr>
                  <w:r>
                    <w:rPr>
                      <w:color w:val="auto"/>
                      <w:szCs w:val="21"/>
                    </w:rPr>
                    <w:t>降噪措施</w:t>
                  </w:r>
                </w:p>
              </w:tc>
              <w:tc>
                <w:tcPr>
                  <w:tcW w:w="457" w:type="pct"/>
                  <w:vAlign w:val="center"/>
                </w:tcPr>
                <w:p>
                  <w:pPr>
                    <w:adjustRightInd w:val="0"/>
                    <w:snapToGrid w:val="0"/>
                    <w:spacing w:line="320" w:lineRule="exact"/>
                    <w:jc w:val="center"/>
                    <w:rPr>
                      <w:color w:val="auto"/>
                      <w:szCs w:val="21"/>
                    </w:rPr>
                  </w:pPr>
                  <w:r>
                    <w:rPr>
                      <w:color w:val="auto"/>
                      <w:szCs w:val="21"/>
                    </w:rPr>
                    <w:t>降噪效果</w:t>
                  </w:r>
                </w:p>
              </w:tc>
              <w:tc>
                <w:tcPr>
                  <w:tcW w:w="486" w:type="pct"/>
                  <w:vAlign w:val="center"/>
                </w:tcPr>
                <w:p>
                  <w:pPr>
                    <w:adjustRightInd w:val="0"/>
                    <w:snapToGrid w:val="0"/>
                    <w:spacing w:line="320" w:lineRule="exact"/>
                    <w:jc w:val="center"/>
                    <w:rPr>
                      <w:color w:val="auto"/>
                      <w:szCs w:val="21"/>
                    </w:rPr>
                  </w:pPr>
                  <w:r>
                    <w:rPr>
                      <w:rFonts w:hint="eastAsia"/>
                      <w:color w:val="auto"/>
                      <w:szCs w:val="21"/>
                    </w:rPr>
                    <w:t>噪声排放值</w:t>
                  </w:r>
                  <w:r>
                    <w:rPr>
                      <w:color w:val="auto"/>
                      <w:szCs w:val="21"/>
                    </w:rPr>
                    <w:t>dB（A）</w:t>
                  </w:r>
                </w:p>
              </w:tc>
              <w:tc>
                <w:tcPr>
                  <w:tcW w:w="516" w:type="pct"/>
                  <w:vAlign w:val="center"/>
                </w:tcPr>
                <w:p>
                  <w:pPr>
                    <w:adjustRightInd w:val="0"/>
                    <w:snapToGrid w:val="0"/>
                    <w:spacing w:line="320" w:lineRule="exact"/>
                    <w:jc w:val="center"/>
                    <w:rPr>
                      <w:color w:val="auto"/>
                      <w:szCs w:val="21"/>
                    </w:rPr>
                  </w:pPr>
                  <w:r>
                    <w:rPr>
                      <w:rFonts w:hint="eastAsia"/>
                      <w:color w:val="auto"/>
                      <w:szCs w:val="21"/>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w:t>
                  </w:r>
                </w:p>
              </w:tc>
              <w:tc>
                <w:tcPr>
                  <w:tcW w:w="451" w:type="pct"/>
                  <w:vMerge w:val="restart"/>
                  <w:vAlign w:val="center"/>
                </w:tcPr>
                <w:p>
                  <w:pPr>
                    <w:jc w:val="center"/>
                    <w:rPr>
                      <w:color w:val="auto"/>
                      <w:szCs w:val="21"/>
                    </w:rPr>
                  </w:pPr>
                  <w:r>
                    <w:rPr>
                      <w:rFonts w:hint="eastAsia"/>
                      <w:color w:val="auto"/>
                      <w:szCs w:val="21"/>
                    </w:rPr>
                    <w:t>1号厂房</w:t>
                  </w:r>
                </w:p>
              </w:tc>
              <w:tc>
                <w:tcPr>
                  <w:tcW w:w="974" w:type="pct"/>
                  <w:vAlign w:val="center"/>
                </w:tcPr>
                <w:p>
                  <w:pPr>
                    <w:spacing w:line="300" w:lineRule="exact"/>
                    <w:jc w:val="center"/>
                    <w:rPr>
                      <w:color w:val="auto"/>
                      <w:szCs w:val="21"/>
                    </w:rPr>
                  </w:pPr>
                  <w:r>
                    <w:rPr>
                      <w:rFonts w:hint="eastAsia"/>
                      <w:color w:val="auto"/>
                      <w:szCs w:val="21"/>
                    </w:rPr>
                    <w:t>激光切割机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restart"/>
                  <w:vAlign w:val="center"/>
                </w:tcPr>
                <w:p>
                  <w:pPr>
                    <w:jc w:val="center"/>
                    <w:rPr>
                      <w:color w:val="auto"/>
                      <w:szCs w:val="21"/>
                    </w:rPr>
                  </w:pPr>
                  <w:r>
                    <w:rPr>
                      <w:color w:val="auto"/>
                      <w:szCs w:val="21"/>
                    </w:rPr>
                    <w:t>厂房隔声、基础减振、风机安装软连接</w:t>
                  </w: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2</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砖塔冲床</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3</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数控板料折弯机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2</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7" w:type="pct"/>
                  <w:vAlign w:val="center"/>
                </w:tcPr>
                <w:p>
                  <w:pPr>
                    <w:jc w:val="center"/>
                    <w:rPr>
                      <w:color w:val="auto"/>
                      <w:szCs w:val="21"/>
                    </w:rPr>
                  </w:pPr>
                  <w:r>
                    <w:rPr>
                      <w:rFonts w:hint="eastAsia"/>
                      <w:color w:val="auto"/>
                      <w:szCs w:val="21"/>
                    </w:rPr>
                    <w:t>4</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二保焊机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5</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氩弧焊机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6</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激光焊机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2</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85</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65</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7</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数控母线冲剪机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70</w:t>
                  </w:r>
                </w:p>
              </w:tc>
              <w:tc>
                <w:tcPr>
                  <w:tcW w:w="516" w:type="pct"/>
                  <w:vAlign w:val="center"/>
                </w:tcPr>
                <w:p>
                  <w:pPr>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8</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数控母线折弯机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1</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80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60</w:t>
                  </w:r>
                </w:p>
              </w:tc>
              <w:tc>
                <w:tcPr>
                  <w:tcW w:w="516" w:type="pct"/>
                  <w:vAlign w:val="center"/>
                </w:tcPr>
                <w:p>
                  <w:pPr>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9</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空压机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2</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jc w:val="center"/>
                    <w:rPr>
                      <w:color w:val="auto"/>
                      <w:szCs w:val="21"/>
                    </w:rPr>
                  </w:pPr>
                  <w:r>
                    <w:rPr>
                      <w:rFonts w:hint="eastAsia"/>
                      <w:color w:val="auto"/>
                      <w:szCs w:val="21"/>
                    </w:rPr>
                    <w:t>20</w:t>
                  </w:r>
                </w:p>
              </w:tc>
              <w:tc>
                <w:tcPr>
                  <w:tcW w:w="486" w:type="pct"/>
                  <w:vAlign w:val="center"/>
                </w:tcPr>
                <w:p>
                  <w:pPr>
                    <w:jc w:val="center"/>
                    <w:rPr>
                      <w:color w:val="auto"/>
                      <w:szCs w:val="21"/>
                    </w:rPr>
                  </w:pPr>
                  <w:r>
                    <w:rPr>
                      <w:rFonts w:hint="eastAsia"/>
                      <w:color w:val="auto"/>
                      <w:szCs w:val="21"/>
                    </w:rPr>
                    <w:t>70</w:t>
                  </w:r>
                </w:p>
              </w:tc>
              <w:tc>
                <w:tcPr>
                  <w:tcW w:w="516" w:type="pct"/>
                  <w:vAlign w:val="center"/>
                </w:tcPr>
                <w:p>
                  <w:pPr>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10</w:t>
                  </w:r>
                </w:p>
              </w:tc>
              <w:tc>
                <w:tcPr>
                  <w:tcW w:w="451" w:type="pct"/>
                  <w:vMerge w:val="restart"/>
                  <w:vAlign w:val="center"/>
                </w:tcPr>
                <w:p>
                  <w:pPr>
                    <w:jc w:val="center"/>
                    <w:rPr>
                      <w:color w:val="auto"/>
                      <w:szCs w:val="21"/>
                    </w:rPr>
                  </w:pPr>
                  <w:r>
                    <w:rPr>
                      <w:rFonts w:hint="eastAsia"/>
                      <w:color w:val="auto"/>
                      <w:szCs w:val="21"/>
                    </w:rPr>
                    <w:t>2号厂房</w:t>
                  </w:r>
                </w:p>
              </w:tc>
              <w:tc>
                <w:tcPr>
                  <w:tcW w:w="974" w:type="pct"/>
                  <w:vAlign w:val="center"/>
                </w:tcPr>
                <w:p>
                  <w:pPr>
                    <w:spacing w:line="300" w:lineRule="exact"/>
                    <w:jc w:val="center"/>
                    <w:rPr>
                      <w:color w:val="auto"/>
                      <w:szCs w:val="21"/>
                    </w:rPr>
                  </w:pPr>
                  <w:r>
                    <w:rPr>
                      <w:rFonts w:hint="eastAsia"/>
                      <w:color w:val="auto"/>
                      <w:szCs w:val="21"/>
                    </w:rPr>
                    <w:t>喷淋泵</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3</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jc w:val="center"/>
                    <w:rPr>
                      <w:color w:val="auto"/>
                      <w:szCs w:val="21"/>
                    </w:rPr>
                  </w:pPr>
                  <w:r>
                    <w:rPr>
                      <w:rFonts w:hint="eastAsia"/>
                      <w:color w:val="auto"/>
                      <w:szCs w:val="21"/>
                    </w:rPr>
                    <w:t>11</w:t>
                  </w:r>
                </w:p>
              </w:tc>
              <w:tc>
                <w:tcPr>
                  <w:tcW w:w="451" w:type="pct"/>
                  <w:vMerge w:val="continue"/>
                  <w:vAlign w:val="center"/>
                </w:tcPr>
                <w:p>
                  <w:pPr>
                    <w:jc w:val="center"/>
                    <w:rPr>
                      <w:color w:val="auto"/>
                      <w:szCs w:val="21"/>
                    </w:rPr>
                  </w:pPr>
                </w:p>
              </w:tc>
              <w:tc>
                <w:tcPr>
                  <w:tcW w:w="974" w:type="pct"/>
                  <w:vAlign w:val="center"/>
                </w:tcPr>
                <w:p>
                  <w:pPr>
                    <w:spacing w:line="300" w:lineRule="exact"/>
                    <w:jc w:val="center"/>
                    <w:rPr>
                      <w:color w:val="auto"/>
                      <w:szCs w:val="21"/>
                    </w:rPr>
                  </w:pPr>
                  <w:r>
                    <w:rPr>
                      <w:rFonts w:hint="eastAsia"/>
                      <w:color w:val="auto"/>
                      <w:szCs w:val="21"/>
                    </w:rPr>
                    <w:t>风机</w:t>
                  </w:r>
                </w:p>
              </w:tc>
              <w:tc>
                <w:tcPr>
                  <w:tcW w:w="459" w:type="pct"/>
                  <w:vAlign w:val="center"/>
                </w:tcPr>
                <w:p>
                  <w:pPr>
                    <w:pStyle w:val="34"/>
                    <w:widowControl w:val="0"/>
                    <w:spacing w:before="0" w:beforeAutospacing="0" w:after="0" w:afterAutospacing="0" w:line="300" w:lineRule="exact"/>
                    <w:rPr>
                      <w:rFonts w:hint="eastAsia" w:ascii="Times New Roman" w:hAnsi="Times New Roman"/>
                      <w:color w:val="auto"/>
                      <w:kern w:val="2"/>
                      <w:sz w:val="21"/>
                      <w:szCs w:val="21"/>
                    </w:rPr>
                  </w:pPr>
                  <w:r>
                    <w:rPr>
                      <w:rFonts w:hint="eastAsia" w:ascii="Times New Roman" w:hAnsi="Times New Roman"/>
                      <w:color w:val="auto"/>
                      <w:kern w:val="2"/>
                      <w:sz w:val="21"/>
                      <w:szCs w:val="21"/>
                    </w:rPr>
                    <w:t>8</w:t>
                  </w:r>
                </w:p>
              </w:tc>
              <w:tc>
                <w:tcPr>
                  <w:tcW w:w="524" w:type="pct"/>
                  <w:vAlign w:val="center"/>
                </w:tcPr>
                <w:p>
                  <w:pPr>
                    <w:pStyle w:val="34"/>
                    <w:widowControl w:val="0"/>
                    <w:spacing w:before="0" w:beforeAutospacing="0" w:after="0" w:afterAutospacing="0" w:line="300" w:lineRule="exact"/>
                    <w:rPr>
                      <w:rFonts w:ascii="Times New Roman" w:hAnsi="Times New Roman"/>
                      <w:color w:val="auto"/>
                      <w:kern w:val="2"/>
                      <w:sz w:val="21"/>
                      <w:szCs w:val="21"/>
                    </w:rPr>
                  </w:pPr>
                  <w:r>
                    <w:rPr>
                      <w:rFonts w:hint="eastAsia" w:ascii="Times New Roman" w:hAnsi="Times New Roman"/>
                      <w:color w:val="auto"/>
                      <w:kern w:val="2"/>
                      <w:sz w:val="21"/>
                      <w:szCs w:val="21"/>
                    </w:rPr>
                    <w:t>90</w:t>
                  </w:r>
                </w:p>
              </w:tc>
              <w:tc>
                <w:tcPr>
                  <w:tcW w:w="395" w:type="pct"/>
                  <w:vAlign w:val="center"/>
                </w:tcPr>
                <w:p>
                  <w:pPr>
                    <w:adjustRightInd w:val="0"/>
                    <w:snapToGrid w:val="0"/>
                    <w:spacing w:line="320" w:lineRule="exact"/>
                    <w:jc w:val="center"/>
                    <w:rPr>
                      <w:color w:val="auto"/>
                      <w:szCs w:val="21"/>
                    </w:rPr>
                  </w:pPr>
                  <w:r>
                    <w:rPr>
                      <w:rFonts w:hint="eastAsia"/>
                      <w:color w:val="auto"/>
                      <w:szCs w:val="21"/>
                    </w:rPr>
                    <w:t>频发</w:t>
                  </w:r>
                </w:p>
              </w:tc>
              <w:tc>
                <w:tcPr>
                  <w:tcW w:w="397" w:type="pct"/>
                  <w:vMerge w:val="continue"/>
                  <w:vAlign w:val="center"/>
                </w:tcPr>
                <w:p>
                  <w:pPr>
                    <w:jc w:val="center"/>
                    <w:rPr>
                      <w:color w:val="auto"/>
                      <w:szCs w:val="21"/>
                    </w:rPr>
                  </w:pPr>
                </w:p>
              </w:tc>
              <w:tc>
                <w:tcPr>
                  <w:tcW w:w="457" w:type="pct"/>
                  <w:vAlign w:val="center"/>
                </w:tcPr>
                <w:p>
                  <w:pPr>
                    <w:adjustRightInd w:val="0"/>
                    <w:snapToGrid w:val="0"/>
                    <w:spacing w:line="320" w:lineRule="exact"/>
                    <w:jc w:val="center"/>
                    <w:rPr>
                      <w:color w:val="auto"/>
                      <w:szCs w:val="21"/>
                    </w:rPr>
                  </w:pPr>
                  <w:r>
                    <w:rPr>
                      <w:color w:val="auto"/>
                      <w:szCs w:val="21"/>
                    </w:rPr>
                    <w:t>20</w:t>
                  </w:r>
                </w:p>
              </w:tc>
              <w:tc>
                <w:tcPr>
                  <w:tcW w:w="486" w:type="pct"/>
                  <w:vAlign w:val="center"/>
                </w:tcPr>
                <w:p>
                  <w:pPr>
                    <w:adjustRightInd w:val="0"/>
                    <w:snapToGrid w:val="0"/>
                    <w:spacing w:line="320" w:lineRule="exact"/>
                    <w:jc w:val="center"/>
                    <w:rPr>
                      <w:color w:val="auto"/>
                      <w:szCs w:val="21"/>
                    </w:rPr>
                  </w:pPr>
                  <w:r>
                    <w:rPr>
                      <w:rFonts w:hint="eastAsia"/>
                      <w:color w:val="auto"/>
                      <w:szCs w:val="21"/>
                    </w:rPr>
                    <w:t>70</w:t>
                  </w:r>
                </w:p>
              </w:tc>
              <w:tc>
                <w:tcPr>
                  <w:tcW w:w="516" w:type="pct"/>
                  <w:vAlign w:val="center"/>
                </w:tcPr>
                <w:p>
                  <w:pPr>
                    <w:adjustRightInd w:val="0"/>
                    <w:snapToGrid w:val="0"/>
                    <w:spacing w:line="320" w:lineRule="exact"/>
                    <w:jc w:val="center"/>
                    <w:rPr>
                      <w:color w:val="auto"/>
                      <w:szCs w:val="21"/>
                    </w:rPr>
                  </w:pPr>
                  <w:r>
                    <w:rPr>
                      <w:rFonts w:hint="eastAsia"/>
                      <w:color w:val="auto"/>
                      <w:szCs w:val="21"/>
                    </w:rPr>
                    <w:t>2400</w:t>
                  </w:r>
                </w:p>
              </w:tc>
            </w:tr>
          </w:tbl>
          <w:p>
            <w:pPr>
              <w:spacing w:line="360" w:lineRule="auto"/>
              <w:ind w:left="410"/>
              <w:rPr>
                <w:rFonts w:hAnsi="宋体"/>
                <w:b/>
                <w:color w:val="auto"/>
                <w:sz w:val="24"/>
              </w:rPr>
            </w:pPr>
            <w:r>
              <w:rPr>
                <w:rFonts w:hint="eastAsia" w:hAnsi="宋体"/>
                <w:b/>
                <w:color w:val="auto"/>
                <w:sz w:val="24"/>
              </w:rPr>
              <w:t xml:space="preserve">2、达标情况分析 </w:t>
            </w:r>
          </w:p>
          <w:p>
            <w:pPr>
              <w:widowControl/>
              <w:spacing w:line="360" w:lineRule="auto"/>
              <w:ind w:firstLine="472" w:firstLineChars="200"/>
              <w:jc w:val="left"/>
              <w:rPr>
                <w:color w:val="auto"/>
                <w:sz w:val="24"/>
              </w:rPr>
            </w:pPr>
            <w:r>
              <w:rPr>
                <w:color w:val="auto"/>
                <w:kern w:val="0"/>
                <w:sz w:val="24"/>
                <w:lang w:bidi="ar"/>
              </w:rPr>
              <w:t>（</w:t>
            </w:r>
            <w:r>
              <w:rPr>
                <w:rFonts w:eastAsia="TimesNewRomanPS-BoldMT"/>
                <w:color w:val="auto"/>
                <w:kern w:val="0"/>
                <w:sz w:val="24"/>
                <w:lang w:bidi="ar"/>
              </w:rPr>
              <w:t>1</w:t>
            </w:r>
            <w:r>
              <w:rPr>
                <w:color w:val="auto"/>
                <w:kern w:val="0"/>
                <w:sz w:val="24"/>
                <w:lang w:bidi="ar"/>
              </w:rPr>
              <w:t xml:space="preserve">）评价标准 </w:t>
            </w:r>
          </w:p>
          <w:p>
            <w:pPr>
              <w:widowControl/>
              <w:spacing w:line="360" w:lineRule="auto"/>
              <w:ind w:firstLine="472" w:firstLineChars="200"/>
              <w:jc w:val="left"/>
              <w:rPr>
                <w:color w:val="auto"/>
                <w:sz w:val="24"/>
              </w:rPr>
            </w:pPr>
            <w:r>
              <w:rPr>
                <w:color w:val="auto"/>
                <w:kern w:val="0"/>
                <w:sz w:val="24"/>
                <w:lang w:bidi="ar"/>
              </w:rPr>
              <w:t>厂界噪声排放执行《工业企业厂界环境噪声排放标准》（GB12348-2008）3 类标准。</w:t>
            </w:r>
          </w:p>
          <w:p>
            <w:pPr>
              <w:widowControl/>
              <w:spacing w:line="360" w:lineRule="auto"/>
              <w:ind w:firstLine="472" w:firstLineChars="200"/>
              <w:jc w:val="left"/>
              <w:rPr>
                <w:color w:val="auto"/>
                <w:sz w:val="24"/>
              </w:rPr>
            </w:pPr>
            <w:r>
              <w:rPr>
                <w:b/>
                <w:bCs/>
                <w:color w:val="auto"/>
                <w:kern w:val="0"/>
                <w:sz w:val="24"/>
                <w:lang w:bidi="ar"/>
              </w:rPr>
              <w:t>（</w:t>
            </w:r>
            <w:r>
              <w:rPr>
                <w:rFonts w:eastAsia="TimesNewRomanPS-BoldMT"/>
                <w:color w:val="auto"/>
                <w:kern w:val="0"/>
                <w:sz w:val="24"/>
                <w:lang w:bidi="ar"/>
              </w:rPr>
              <w:t>2</w:t>
            </w:r>
            <w:r>
              <w:rPr>
                <w:b/>
                <w:bCs/>
                <w:color w:val="auto"/>
                <w:kern w:val="0"/>
                <w:sz w:val="24"/>
                <w:lang w:bidi="ar"/>
              </w:rPr>
              <w:t>）评价方法与预测</w:t>
            </w:r>
            <w:r>
              <w:rPr>
                <w:rFonts w:hint="eastAsia"/>
                <w:b/>
                <w:bCs/>
                <w:color w:val="auto"/>
                <w:kern w:val="0"/>
                <w:sz w:val="24"/>
                <w:lang w:bidi="ar"/>
              </w:rPr>
              <w:t>结果</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根据《环境影响评价技术导则 声环境》（</w:t>
            </w:r>
            <w:r>
              <w:rPr>
                <w:color w:val="auto"/>
                <w:kern w:val="0"/>
                <w:sz w:val="24"/>
                <w:lang w:bidi="ar"/>
              </w:rPr>
              <w:t>HJ2.4-20</w:t>
            </w:r>
            <w:r>
              <w:rPr>
                <w:rFonts w:hint="eastAsia"/>
                <w:color w:val="auto"/>
                <w:kern w:val="0"/>
                <w:sz w:val="24"/>
                <w:lang w:bidi="ar"/>
              </w:rPr>
              <w:t>21</w:t>
            </w:r>
            <w:r>
              <w:rPr>
                <w:rFonts w:hint="eastAsia" w:ascii="宋体" w:hAnsi="宋体" w:cs="宋体"/>
                <w:color w:val="auto"/>
                <w:kern w:val="0"/>
                <w:sz w:val="24"/>
                <w:lang w:bidi="ar"/>
              </w:rPr>
              <w:t xml:space="preserve">）推荐方法，选取点声源半自由场传播模式： </w:t>
            </w:r>
          </w:p>
          <w:p>
            <w:pPr>
              <w:widowControl/>
              <w:spacing w:line="360" w:lineRule="auto"/>
              <w:ind w:firstLine="472" w:firstLineChars="200"/>
              <w:rPr>
                <w:color w:val="auto"/>
                <w:sz w:val="24"/>
              </w:rPr>
            </w:pPr>
            <w:r>
              <w:rPr>
                <w:color w:val="auto"/>
                <w:kern w:val="0"/>
                <w:sz w:val="24"/>
                <w:lang w:bidi="ar"/>
              </w:rPr>
              <w:t>Lp=Lw-20Lgr-8-Abar</w:t>
            </w:r>
          </w:p>
          <w:p>
            <w:pPr>
              <w:widowControl/>
              <w:spacing w:line="360" w:lineRule="auto"/>
              <w:ind w:firstLine="472" w:firstLineChars="200"/>
              <w:rPr>
                <w:color w:val="auto"/>
                <w:sz w:val="24"/>
              </w:rPr>
            </w:pPr>
            <w:r>
              <w:rPr>
                <w:rFonts w:hint="eastAsia" w:ascii="宋体" w:hAnsi="宋体" w:cs="宋体"/>
                <w:color w:val="auto"/>
                <w:kern w:val="0"/>
                <w:sz w:val="24"/>
                <w:lang w:bidi="ar"/>
              </w:rPr>
              <w:t>式中：</w:t>
            </w:r>
            <w:r>
              <w:rPr>
                <w:color w:val="auto"/>
                <w:kern w:val="0"/>
                <w:sz w:val="24"/>
                <w:lang w:bidi="ar"/>
              </w:rPr>
              <w:t>Lp—</w:t>
            </w:r>
            <w:r>
              <w:rPr>
                <w:rFonts w:hint="eastAsia" w:ascii="宋体" w:hAnsi="宋体" w:cs="宋体"/>
                <w:color w:val="auto"/>
                <w:kern w:val="0"/>
                <w:sz w:val="24"/>
                <w:lang w:bidi="ar"/>
              </w:rPr>
              <w:t>预测点声压级，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Lw—</w:t>
            </w:r>
            <w:r>
              <w:rPr>
                <w:rFonts w:hint="eastAsia" w:ascii="宋体" w:hAnsi="宋体" w:cs="宋体"/>
                <w:color w:val="auto"/>
                <w:kern w:val="0"/>
                <w:sz w:val="24"/>
                <w:lang w:bidi="ar"/>
              </w:rPr>
              <w:t>声源的声功率级，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r—</w:t>
            </w:r>
            <w:r>
              <w:rPr>
                <w:rFonts w:hint="eastAsia" w:ascii="宋体" w:hAnsi="宋体" w:cs="宋体"/>
                <w:color w:val="auto"/>
                <w:kern w:val="0"/>
                <w:sz w:val="24"/>
                <w:lang w:bidi="ar"/>
              </w:rPr>
              <w:t>声源与预测点的距离，</w:t>
            </w:r>
            <w:r>
              <w:rPr>
                <w:color w:val="auto"/>
                <w:kern w:val="0"/>
                <w:sz w:val="24"/>
                <w:lang w:bidi="ar"/>
              </w:rPr>
              <w:t>m</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Abar–</w:t>
            </w:r>
            <w:r>
              <w:rPr>
                <w:rFonts w:hint="eastAsia" w:ascii="宋体" w:hAnsi="宋体" w:cs="宋体"/>
                <w:color w:val="auto"/>
                <w:kern w:val="0"/>
                <w:sz w:val="24"/>
                <w:lang w:bidi="ar"/>
              </w:rPr>
              <w:t>声障引起的衰减，主要为车间墙体隔声量，</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），本次评价厂房隔声量取值20</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该车间声源由于空气吸收引起的衰减以及由于云、雾、温度梯度、风及地面其他效应等引起的衰减量难确定其取值范围，且其引起的衰减量不大，本评价预测计算中只考虑该声源至预测点的距离衰减。</w:t>
            </w:r>
          </w:p>
          <w:p>
            <w:pPr>
              <w:spacing w:line="460" w:lineRule="exact"/>
              <w:ind w:firstLine="472" w:firstLineChars="200"/>
              <w:rPr>
                <w:b/>
                <w:bCs/>
                <w:color w:val="auto"/>
                <w:sz w:val="24"/>
              </w:rPr>
            </w:pPr>
            <w:r>
              <w:rPr>
                <w:color w:val="auto"/>
                <w:sz w:val="24"/>
                <w:lang w:val="en-GB"/>
              </w:rPr>
              <w:t>在正常生产情况下进行预测，代入模式计算，项目运行过程中，经过一系列防治措施后预计</w:t>
            </w:r>
            <w:r>
              <w:rPr>
                <w:rFonts w:hint="eastAsia"/>
                <w:color w:val="auto"/>
                <w:sz w:val="24"/>
              </w:rPr>
              <w:t>各</w:t>
            </w:r>
            <w:r>
              <w:rPr>
                <w:color w:val="auto"/>
                <w:sz w:val="24"/>
                <w:lang w:val="en-GB"/>
              </w:rPr>
              <w:t>厂界噪声值情况见表</w:t>
            </w:r>
            <w:r>
              <w:rPr>
                <w:rFonts w:hint="eastAsia"/>
                <w:color w:val="auto"/>
                <w:sz w:val="24"/>
              </w:rPr>
              <w:t>4-14。</w:t>
            </w:r>
          </w:p>
          <w:p>
            <w:pPr>
              <w:spacing w:line="460" w:lineRule="exact"/>
              <w:jc w:val="center"/>
              <w:rPr>
                <w:b/>
                <w:bCs/>
                <w:color w:val="auto"/>
                <w:sz w:val="24"/>
              </w:rPr>
            </w:pPr>
            <w:r>
              <w:rPr>
                <w:b/>
                <w:bCs/>
                <w:color w:val="auto"/>
                <w:sz w:val="24"/>
              </w:rPr>
              <w:t>表</w:t>
            </w:r>
            <w:r>
              <w:rPr>
                <w:rFonts w:hint="eastAsia"/>
                <w:b/>
                <w:bCs/>
                <w:color w:val="auto"/>
                <w:sz w:val="24"/>
              </w:rPr>
              <w:t>4-14</w:t>
            </w:r>
            <w:r>
              <w:rPr>
                <w:b/>
                <w:bCs/>
                <w:color w:val="auto"/>
                <w:sz w:val="24"/>
              </w:rPr>
              <w:t>厂界噪声贡献值一览表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2631"/>
              <w:gridCol w:w="2631"/>
              <w:gridCol w:w="2631"/>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9" w:type="pct"/>
                  <w:vMerge w:val="restart"/>
                  <w:vAlign w:val="center"/>
                </w:tcPr>
                <w:p>
                  <w:pPr>
                    <w:spacing w:line="300" w:lineRule="exact"/>
                    <w:jc w:val="center"/>
                    <w:rPr>
                      <w:color w:val="auto"/>
                      <w:szCs w:val="21"/>
                    </w:rPr>
                  </w:pPr>
                  <w:r>
                    <w:rPr>
                      <w:color w:val="auto"/>
                      <w:szCs w:val="21"/>
                    </w:rPr>
                    <w:t>项目</w:t>
                  </w:r>
                </w:p>
              </w:tc>
              <w:tc>
                <w:tcPr>
                  <w:tcW w:w="4000" w:type="pct"/>
                  <w:gridSpan w:val="4"/>
                  <w:vAlign w:val="center"/>
                </w:tcPr>
                <w:p>
                  <w:pPr>
                    <w:spacing w:line="300" w:lineRule="exact"/>
                    <w:jc w:val="center"/>
                    <w:rPr>
                      <w:color w:val="auto"/>
                      <w:szCs w:val="21"/>
                    </w:rPr>
                  </w:pPr>
                  <w:r>
                    <w:rPr>
                      <w:color w:val="auto"/>
                      <w:szCs w:val="21"/>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9" w:type="pct"/>
                  <w:vMerge w:val="continue"/>
                  <w:vAlign w:val="center"/>
                </w:tcPr>
                <w:p>
                  <w:pPr>
                    <w:spacing w:line="300" w:lineRule="exact"/>
                    <w:jc w:val="center"/>
                    <w:rPr>
                      <w:color w:val="auto"/>
                      <w:szCs w:val="21"/>
                    </w:rPr>
                  </w:pPr>
                </w:p>
              </w:tc>
              <w:tc>
                <w:tcPr>
                  <w:tcW w:w="999" w:type="pct"/>
                  <w:vAlign w:val="center"/>
                </w:tcPr>
                <w:p>
                  <w:pPr>
                    <w:spacing w:line="300" w:lineRule="exact"/>
                    <w:jc w:val="center"/>
                    <w:rPr>
                      <w:color w:val="auto"/>
                      <w:szCs w:val="21"/>
                    </w:rPr>
                  </w:pPr>
                  <w:r>
                    <w:rPr>
                      <w:color w:val="auto"/>
                      <w:szCs w:val="21"/>
                    </w:rPr>
                    <w:t>南厂界</w:t>
                  </w:r>
                </w:p>
              </w:tc>
              <w:tc>
                <w:tcPr>
                  <w:tcW w:w="999" w:type="pct"/>
                  <w:vAlign w:val="center"/>
                </w:tcPr>
                <w:p>
                  <w:pPr>
                    <w:spacing w:line="300" w:lineRule="exact"/>
                    <w:jc w:val="center"/>
                    <w:rPr>
                      <w:color w:val="auto"/>
                      <w:szCs w:val="21"/>
                      <w:highlight w:val="none"/>
                    </w:rPr>
                  </w:pPr>
                  <w:r>
                    <w:rPr>
                      <w:rFonts w:hint="eastAsia"/>
                      <w:color w:val="auto"/>
                      <w:szCs w:val="21"/>
                      <w:highlight w:val="none"/>
                    </w:rPr>
                    <w:t>北厂界</w:t>
                  </w:r>
                </w:p>
              </w:tc>
              <w:tc>
                <w:tcPr>
                  <w:tcW w:w="999" w:type="pct"/>
                  <w:vAlign w:val="center"/>
                </w:tcPr>
                <w:p>
                  <w:pPr>
                    <w:spacing w:line="300" w:lineRule="exact"/>
                    <w:jc w:val="center"/>
                    <w:rPr>
                      <w:color w:val="auto"/>
                      <w:szCs w:val="21"/>
                      <w:highlight w:val="none"/>
                    </w:rPr>
                  </w:pPr>
                  <w:r>
                    <w:rPr>
                      <w:rFonts w:hint="eastAsia"/>
                      <w:color w:val="auto"/>
                      <w:szCs w:val="21"/>
                      <w:highlight w:val="none"/>
                    </w:rPr>
                    <w:t>东厂界</w:t>
                  </w:r>
                </w:p>
              </w:tc>
              <w:tc>
                <w:tcPr>
                  <w:tcW w:w="1001" w:type="pct"/>
                  <w:vAlign w:val="center"/>
                </w:tcPr>
                <w:p>
                  <w:pPr>
                    <w:spacing w:line="300" w:lineRule="exact"/>
                    <w:jc w:val="center"/>
                    <w:rPr>
                      <w:color w:val="auto"/>
                      <w:szCs w:val="21"/>
                      <w:highlight w:val="none"/>
                    </w:rPr>
                  </w:pPr>
                  <w:r>
                    <w:rPr>
                      <w:rFonts w:hint="eastAsia"/>
                      <w:color w:val="auto"/>
                      <w:szCs w:val="21"/>
                      <w:highlight w:val="none"/>
                    </w:rPr>
                    <w:t>西厂界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9" w:type="pct"/>
                  <w:vAlign w:val="center"/>
                </w:tcPr>
                <w:p>
                  <w:pPr>
                    <w:spacing w:line="300" w:lineRule="exact"/>
                    <w:jc w:val="center"/>
                    <w:rPr>
                      <w:color w:val="auto"/>
                      <w:szCs w:val="21"/>
                    </w:rPr>
                  </w:pPr>
                  <w:r>
                    <w:rPr>
                      <w:color w:val="auto"/>
                      <w:szCs w:val="21"/>
                    </w:rPr>
                    <w:t>贡献值dB(A)</w:t>
                  </w:r>
                </w:p>
              </w:tc>
              <w:tc>
                <w:tcPr>
                  <w:tcW w:w="999" w:type="pct"/>
                  <w:vAlign w:val="center"/>
                </w:tcPr>
                <w:p>
                  <w:pPr>
                    <w:spacing w:line="300" w:lineRule="exact"/>
                    <w:jc w:val="center"/>
                    <w:rPr>
                      <w:color w:val="auto"/>
                      <w:szCs w:val="21"/>
                    </w:rPr>
                  </w:pPr>
                  <w:r>
                    <w:rPr>
                      <w:rFonts w:hint="eastAsia"/>
                      <w:color w:val="auto"/>
                      <w:szCs w:val="21"/>
                    </w:rPr>
                    <w:t>48.5；夜间不生产</w:t>
                  </w:r>
                </w:p>
              </w:tc>
              <w:tc>
                <w:tcPr>
                  <w:tcW w:w="999" w:type="pct"/>
                  <w:vAlign w:val="center"/>
                </w:tcPr>
                <w:p>
                  <w:pPr>
                    <w:spacing w:line="300" w:lineRule="exact"/>
                    <w:jc w:val="center"/>
                    <w:rPr>
                      <w:color w:val="auto"/>
                      <w:szCs w:val="21"/>
                      <w:highlight w:val="none"/>
                    </w:rPr>
                  </w:pPr>
                  <w:r>
                    <w:rPr>
                      <w:rFonts w:hint="eastAsia"/>
                      <w:color w:val="auto"/>
                      <w:szCs w:val="21"/>
                      <w:highlight w:val="none"/>
                      <w:lang w:val="en-US" w:eastAsia="zh-CN"/>
                    </w:rPr>
                    <w:t>56.4</w:t>
                  </w:r>
                  <w:r>
                    <w:rPr>
                      <w:rFonts w:hint="eastAsia"/>
                      <w:color w:val="auto"/>
                      <w:szCs w:val="21"/>
                      <w:highlight w:val="none"/>
                    </w:rPr>
                    <w:t>；夜间不生产</w:t>
                  </w:r>
                </w:p>
              </w:tc>
              <w:tc>
                <w:tcPr>
                  <w:tcW w:w="999" w:type="pct"/>
                  <w:vAlign w:val="center"/>
                </w:tcPr>
                <w:p>
                  <w:pPr>
                    <w:spacing w:line="300" w:lineRule="exact"/>
                    <w:jc w:val="center"/>
                    <w:rPr>
                      <w:color w:val="auto"/>
                      <w:szCs w:val="21"/>
                      <w:highlight w:val="none"/>
                    </w:rPr>
                  </w:pPr>
                  <w:r>
                    <w:rPr>
                      <w:rFonts w:hint="eastAsia"/>
                      <w:color w:val="auto"/>
                      <w:szCs w:val="21"/>
                      <w:highlight w:val="none"/>
                    </w:rPr>
                    <w:t>62.4；夜间不生产</w:t>
                  </w:r>
                </w:p>
              </w:tc>
              <w:tc>
                <w:tcPr>
                  <w:tcW w:w="1001" w:type="pct"/>
                  <w:vAlign w:val="center"/>
                </w:tcPr>
                <w:p>
                  <w:pPr>
                    <w:spacing w:line="300" w:lineRule="exact"/>
                    <w:jc w:val="center"/>
                    <w:rPr>
                      <w:color w:val="auto"/>
                      <w:szCs w:val="21"/>
                      <w:highlight w:val="none"/>
                    </w:rPr>
                  </w:pPr>
                  <w:r>
                    <w:rPr>
                      <w:rFonts w:hint="eastAsia"/>
                      <w:color w:val="auto"/>
                      <w:szCs w:val="21"/>
                      <w:highlight w:val="none"/>
                    </w:rPr>
                    <w:t>62.4；夜间不生产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9" w:type="pct"/>
                  <w:vAlign w:val="center"/>
                </w:tcPr>
                <w:p>
                  <w:pPr>
                    <w:spacing w:line="300" w:lineRule="exact"/>
                    <w:jc w:val="center"/>
                    <w:rPr>
                      <w:color w:val="auto"/>
                      <w:szCs w:val="21"/>
                    </w:rPr>
                  </w:pPr>
                  <w:r>
                    <w:rPr>
                      <w:color w:val="auto"/>
                      <w:szCs w:val="21"/>
                    </w:rPr>
                    <w:t>标准值</w:t>
                  </w:r>
                </w:p>
              </w:tc>
              <w:tc>
                <w:tcPr>
                  <w:tcW w:w="999" w:type="pct"/>
                  <w:vAlign w:val="center"/>
                </w:tcPr>
                <w:p>
                  <w:pPr>
                    <w:spacing w:line="300" w:lineRule="exact"/>
                    <w:jc w:val="center"/>
                    <w:rPr>
                      <w:color w:val="auto"/>
                      <w:szCs w:val="21"/>
                    </w:rPr>
                  </w:pPr>
                  <w:r>
                    <w:rPr>
                      <w:color w:val="auto"/>
                      <w:szCs w:val="21"/>
                    </w:rPr>
                    <w:t>65</w:t>
                  </w:r>
                  <w:r>
                    <w:rPr>
                      <w:rFonts w:hint="eastAsia"/>
                      <w:color w:val="auto"/>
                      <w:szCs w:val="21"/>
                    </w:rPr>
                    <w:t>；55</w:t>
                  </w:r>
                </w:p>
              </w:tc>
              <w:tc>
                <w:tcPr>
                  <w:tcW w:w="999" w:type="pct"/>
                  <w:vAlign w:val="center"/>
                </w:tcPr>
                <w:p>
                  <w:pPr>
                    <w:spacing w:line="300" w:lineRule="exact"/>
                    <w:jc w:val="center"/>
                    <w:rPr>
                      <w:color w:val="auto"/>
                      <w:szCs w:val="21"/>
                      <w:highlight w:val="none"/>
                    </w:rPr>
                  </w:pPr>
                  <w:r>
                    <w:rPr>
                      <w:color w:val="auto"/>
                      <w:szCs w:val="21"/>
                      <w:highlight w:val="none"/>
                    </w:rPr>
                    <w:t>65</w:t>
                  </w:r>
                  <w:r>
                    <w:rPr>
                      <w:rFonts w:hint="eastAsia"/>
                      <w:color w:val="auto"/>
                      <w:szCs w:val="21"/>
                      <w:highlight w:val="none"/>
                    </w:rPr>
                    <w:t>；55</w:t>
                  </w:r>
                </w:p>
              </w:tc>
              <w:tc>
                <w:tcPr>
                  <w:tcW w:w="999" w:type="pct"/>
                  <w:vAlign w:val="center"/>
                </w:tcPr>
                <w:p>
                  <w:pPr>
                    <w:spacing w:line="300" w:lineRule="exact"/>
                    <w:jc w:val="center"/>
                    <w:rPr>
                      <w:color w:val="auto"/>
                      <w:szCs w:val="21"/>
                      <w:highlight w:val="none"/>
                    </w:rPr>
                  </w:pPr>
                  <w:r>
                    <w:rPr>
                      <w:color w:val="auto"/>
                      <w:szCs w:val="21"/>
                      <w:highlight w:val="none"/>
                    </w:rPr>
                    <w:t>65</w:t>
                  </w:r>
                  <w:r>
                    <w:rPr>
                      <w:rFonts w:hint="eastAsia"/>
                      <w:color w:val="auto"/>
                      <w:szCs w:val="21"/>
                      <w:highlight w:val="none"/>
                    </w:rPr>
                    <w:t>；55</w:t>
                  </w:r>
                </w:p>
              </w:tc>
              <w:tc>
                <w:tcPr>
                  <w:tcW w:w="1001" w:type="pct"/>
                  <w:vAlign w:val="center"/>
                </w:tcPr>
                <w:p>
                  <w:pPr>
                    <w:spacing w:line="300" w:lineRule="exact"/>
                    <w:jc w:val="center"/>
                    <w:rPr>
                      <w:color w:val="auto"/>
                      <w:szCs w:val="21"/>
                      <w:highlight w:val="none"/>
                    </w:rPr>
                  </w:pPr>
                  <w:r>
                    <w:rPr>
                      <w:color w:val="auto"/>
                      <w:szCs w:val="21"/>
                      <w:highlight w:val="none"/>
                    </w:rPr>
                    <w:t>65</w:t>
                  </w:r>
                  <w:r>
                    <w:rPr>
                      <w:rFonts w:hint="eastAsia"/>
                      <w:color w:val="auto"/>
                      <w:szCs w:val="21"/>
                      <w:highlight w:val="none"/>
                    </w:rPr>
                    <w:t>；55</w:t>
                  </w:r>
                </w:p>
              </w:tc>
            </w:tr>
          </w:tbl>
          <w:p>
            <w:pPr>
              <w:spacing w:line="360" w:lineRule="auto"/>
              <w:ind w:left="410"/>
              <w:rPr>
                <w:color w:val="auto"/>
                <w:sz w:val="24"/>
              </w:rPr>
            </w:pPr>
            <w:r>
              <w:rPr>
                <w:color w:val="auto"/>
                <w:sz w:val="24"/>
              </w:rPr>
              <w:t>由上表可以看出，经采取以上降噪措施及距离衰减后，厂界</w:t>
            </w:r>
            <w:r>
              <w:rPr>
                <w:rFonts w:hint="eastAsia"/>
                <w:color w:val="auto"/>
                <w:sz w:val="24"/>
              </w:rPr>
              <w:t>昼间</w:t>
            </w:r>
            <w:r>
              <w:rPr>
                <w:color w:val="auto"/>
                <w:sz w:val="24"/>
              </w:rPr>
              <w:t>噪声</w:t>
            </w:r>
            <w:r>
              <w:rPr>
                <w:rFonts w:hint="eastAsia"/>
                <w:color w:val="auto"/>
                <w:sz w:val="24"/>
              </w:rPr>
              <w:t>最大</w:t>
            </w:r>
            <w:r>
              <w:rPr>
                <w:color w:val="auto"/>
                <w:sz w:val="24"/>
              </w:rPr>
              <w:t>预测值</w:t>
            </w:r>
            <w:r>
              <w:rPr>
                <w:rFonts w:hint="eastAsia"/>
                <w:color w:val="auto"/>
                <w:sz w:val="24"/>
              </w:rPr>
              <w:t>为62.4</w:t>
            </w:r>
            <w:r>
              <w:rPr>
                <w:color w:val="auto"/>
                <w:sz w:val="24"/>
              </w:rPr>
              <w:t>dB(A)</w:t>
            </w:r>
            <w:r>
              <w:rPr>
                <w:rFonts w:hint="eastAsia"/>
                <w:color w:val="auto"/>
                <w:sz w:val="24"/>
              </w:rPr>
              <w:t>，</w:t>
            </w:r>
            <w:r>
              <w:rPr>
                <w:color w:val="auto"/>
                <w:sz w:val="24"/>
              </w:rPr>
              <w:t>噪声符合《工业企业厂界环境噪声排放标准》（GB12348-2008）3类标准要求，本项目不会对周围声环境产生明显影响，区域声环境可维持现状。</w:t>
            </w:r>
          </w:p>
          <w:p>
            <w:pPr>
              <w:spacing w:line="360" w:lineRule="auto"/>
              <w:ind w:left="410"/>
              <w:rPr>
                <w:b/>
                <w:bCs/>
                <w:color w:val="auto"/>
                <w:kern w:val="1"/>
                <w:sz w:val="24"/>
                <w:szCs w:val="24"/>
              </w:rPr>
            </w:pPr>
            <w:r>
              <w:rPr>
                <w:rFonts w:hint="eastAsia"/>
                <w:b/>
                <w:bCs/>
                <w:color w:val="auto"/>
                <w:kern w:val="1"/>
                <w:sz w:val="24"/>
                <w:szCs w:val="24"/>
              </w:rPr>
              <w:t>3、监测要求</w:t>
            </w:r>
          </w:p>
          <w:p>
            <w:pPr>
              <w:spacing w:line="360" w:lineRule="auto"/>
              <w:ind w:firstLine="472" w:firstLineChars="200"/>
              <w:rPr>
                <w:rFonts w:hAnsi="宋体"/>
                <w:color w:val="auto"/>
                <w:sz w:val="24"/>
                <w:szCs w:val="24"/>
              </w:rPr>
            </w:pPr>
            <w:r>
              <w:rPr>
                <w:rFonts w:hint="eastAsia" w:hAnsi="宋体"/>
                <w:color w:val="auto"/>
                <w:sz w:val="24"/>
                <w:szCs w:val="24"/>
              </w:rPr>
              <w:t>监测点位、监测因子及监测频次见表4-15</w:t>
            </w:r>
          </w:p>
          <w:p>
            <w:pPr>
              <w:pStyle w:val="32"/>
              <w:ind w:left="560" w:firstLine="0" w:firstLineChars="0"/>
              <w:jc w:val="center"/>
              <w:rPr>
                <w:b/>
                <w:color w:val="auto"/>
              </w:rPr>
            </w:pPr>
            <w:r>
              <w:rPr>
                <w:rFonts w:hint="eastAsia"/>
                <w:b/>
                <w:color w:val="auto"/>
              </w:rPr>
              <w:t>表4-15项目噪声监测要求一览表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648"/>
              <w:gridCol w:w="6960"/>
              <w:gridCol w:w="2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4" w:type="pct"/>
                  <w:vAlign w:val="center"/>
                </w:tcPr>
                <w:p>
                  <w:pPr>
                    <w:spacing w:line="320" w:lineRule="exact"/>
                    <w:jc w:val="center"/>
                    <w:rPr>
                      <w:color w:val="auto"/>
                      <w:spacing w:val="-4"/>
                      <w:szCs w:val="21"/>
                    </w:rPr>
                  </w:pPr>
                  <w:r>
                    <w:rPr>
                      <w:color w:val="auto"/>
                      <w:spacing w:val="-4"/>
                      <w:szCs w:val="21"/>
                    </w:rPr>
                    <w:t>监测</w:t>
                  </w:r>
                  <w:r>
                    <w:rPr>
                      <w:rFonts w:hint="eastAsia"/>
                      <w:color w:val="auto"/>
                      <w:spacing w:val="-4"/>
                      <w:szCs w:val="21"/>
                    </w:rPr>
                    <w:t>点位</w:t>
                  </w:r>
                </w:p>
              </w:tc>
              <w:tc>
                <w:tcPr>
                  <w:tcW w:w="2640" w:type="pct"/>
                  <w:vAlign w:val="center"/>
                </w:tcPr>
                <w:p>
                  <w:pPr>
                    <w:spacing w:line="320" w:lineRule="exact"/>
                    <w:jc w:val="center"/>
                    <w:rPr>
                      <w:color w:val="auto"/>
                      <w:spacing w:val="-4"/>
                      <w:szCs w:val="21"/>
                    </w:rPr>
                  </w:pPr>
                  <w:r>
                    <w:rPr>
                      <w:color w:val="auto"/>
                      <w:spacing w:val="-4"/>
                      <w:szCs w:val="21"/>
                    </w:rPr>
                    <w:t>监测因子</w:t>
                  </w:r>
                </w:p>
              </w:tc>
              <w:tc>
                <w:tcPr>
                  <w:tcW w:w="974" w:type="pct"/>
                  <w:vAlign w:val="center"/>
                </w:tcPr>
                <w:p>
                  <w:pPr>
                    <w:spacing w:line="320" w:lineRule="exact"/>
                    <w:jc w:val="center"/>
                    <w:rPr>
                      <w:color w:val="auto"/>
                      <w:spacing w:val="-4"/>
                      <w:szCs w:val="21"/>
                    </w:rPr>
                  </w:pPr>
                  <w:r>
                    <w:rPr>
                      <w:color w:val="auto"/>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4" w:type="pct"/>
                  <w:vAlign w:val="center"/>
                </w:tcPr>
                <w:p>
                  <w:pPr>
                    <w:spacing w:line="320" w:lineRule="exact"/>
                    <w:jc w:val="center"/>
                    <w:rPr>
                      <w:color w:val="auto"/>
                      <w:spacing w:val="-4"/>
                      <w:szCs w:val="21"/>
                    </w:rPr>
                  </w:pPr>
                  <w:r>
                    <w:rPr>
                      <w:color w:val="auto"/>
                      <w:spacing w:val="-4"/>
                      <w:szCs w:val="21"/>
                    </w:rPr>
                    <w:t>项目</w:t>
                  </w:r>
                  <w:r>
                    <w:rPr>
                      <w:rFonts w:hint="eastAsia"/>
                      <w:color w:val="auto"/>
                      <w:spacing w:val="-4"/>
                      <w:szCs w:val="21"/>
                    </w:rPr>
                    <w:t>厂界</w:t>
                  </w:r>
                </w:p>
              </w:tc>
              <w:tc>
                <w:tcPr>
                  <w:tcW w:w="2640" w:type="pct"/>
                  <w:vAlign w:val="center"/>
                </w:tcPr>
                <w:p>
                  <w:pPr>
                    <w:spacing w:line="320" w:lineRule="exact"/>
                    <w:jc w:val="center"/>
                    <w:rPr>
                      <w:color w:val="auto"/>
                      <w:spacing w:val="-4"/>
                      <w:szCs w:val="21"/>
                    </w:rPr>
                  </w:pPr>
                  <w:r>
                    <w:rPr>
                      <w:color w:val="auto"/>
                      <w:spacing w:val="-4"/>
                      <w:szCs w:val="21"/>
                    </w:rPr>
                    <w:t>等效连续A声级</w:t>
                  </w:r>
                </w:p>
              </w:tc>
              <w:tc>
                <w:tcPr>
                  <w:tcW w:w="974" w:type="pct"/>
                  <w:vAlign w:val="center"/>
                </w:tcPr>
                <w:p>
                  <w:pPr>
                    <w:spacing w:line="320" w:lineRule="exact"/>
                    <w:jc w:val="center"/>
                    <w:rPr>
                      <w:color w:val="auto"/>
                      <w:spacing w:val="-4"/>
                      <w:szCs w:val="21"/>
                    </w:rPr>
                  </w:pPr>
                  <w:r>
                    <w:rPr>
                      <w:rFonts w:hint="eastAsia"/>
                      <w:color w:val="auto"/>
                      <w:spacing w:val="-4"/>
                      <w:szCs w:val="21"/>
                    </w:rPr>
                    <w:t>1次/季度</w:t>
                  </w:r>
                </w:p>
              </w:tc>
            </w:tr>
          </w:tbl>
          <w:p>
            <w:pPr>
              <w:spacing w:line="360" w:lineRule="auto"/>
              <w:ind w:firstLine="480"/>
              <w:rPr>
                <w:color w:val="auto"/>
                <w:sz w:val="24"/>
                <w:szCs w:val="24"/>
              </w:rPr>
            </w:pPr>
            <w:r>
              <w:rPr>
                <w:rFonts w:hint="eastAsia"/>
                <w:color w:val="auto"/>
                <w:sz w:val="24"/>
                <w:szCs w:val="24"/>
              </w:rPr>
              <w:t>厂界四周噪声执行</w:t>
            </w:r>
            <w:r>
              <w:rPr>
                <w:color w:val="auto"/>
                <w:sz w:val="24"/>
                <w:szCs w:val="24"/>
              </w:rPr>
              <w:t>《工业企业厂界环境噪声排放标准》（GB12348-2008）3 类标准（昼间≤65dB（A），夜间≤55dB（A））。</w:t>
            </w:r>
          </w:p>
          <w:p>
            <w:pPr>
              <w:spacing w:line="360" w:lineRule="auto"/>
              <w:ind w:firstLine="480"/>
              <w:rPr>
                <w:rFonts w:hAnsiTheme="minorEastAsia" w:eastAsiaTheme="minorEastAsia"/>
                <w:color w:val="auto"/>
                <w:sz w:val="24"/>
                <w:szCs w:val="24"/>
              </w:rPr>
            </w:pPr>
            <w:r>
              <w:rPr>
                <w:b/>
                <w:bCs/>
                <w:color w:val="auto"/>
                <w:kern w:val="1"/>
                <w:sz w:val="24"/>
                <w:szCs w:val="24"/>
              </w:rPr>
              <w:t>四、固体废物环境影响分析</w:t>
            </w:r>
          </w:p>
          <w:p>
            <w:pPr>
              <w:overflowPunct w:val="0"/>
              <w:adjustRightInd w:val="0"/>
              <w:snapToGrid w:val="0"/>
              <w:spacing w:line="360" w:lineRule="auto"/>
              <w:ind w:firstLine="472" w:firstLineChars="200"/>
              <w:rPr>
                <w:color w:val="auto"/>
                <w:sz w:val="24"/>
                <w:szCs w:val="24"/>
              </w:rPr>
            </w:pPr>
            <w:r>
              <w:rPr>
                <w:rFonts w:hint="eastAsia"/>
                <w:color w:val="auto"/>
                <w:sz w:val="24"/>
                <w:szCs w:val="24"/>
              </w:rPr>
              <w:t>1、固体废物产生及处置情况</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本项目建成后，产生的固体废物主要如下：</w:t>
            </w:r>
          </w:p>
          <w:p>
            <w:pPr>
              <w:pStyle w:val="24"/>
              <w:spacing w:line="360" w:lineRule="auto"/>
              <w:ind w:firstLine="472" w:firstLineChars="200"/>
              <w:rPr>
                <w:color w:val="auto"/>
                <w:szCs w:val="21"/>
              </w:rPr>
            </w:pPr>
            <w:r>
              <w:rPr>
                <w:color w:val="auto"/>
                <w:szCs w:val="21"/>
              </w:rPr>
              <w:t>边角料</w:t>
            </w:r>
            <w:r>
              <w:rPr>
                <w:rFonts w:hint="eastAsia"/>
                <w:color w:val="auto"/>
                <w:szCs w:val="21"/>
              </w:rPr>
              <w:t>、废铜线、焊渣</w:t>
            </w:r>
            <w:r>
              <w:rPr>
                <w:color w:val="auto"/>
                <w:szCs w:val="21"/>
              </w:rPr>
              <w:t>收集后外售，</w:t>
            </w:r>
            <w:r>
              <w:rPr>
                <w:rFonts w:hint="eastAsia"/>
                <w:color w:val="auto"/>
                <w:szCs w:val="21"/>
              </w:rPr>
              <w:t>塑粉废包装袋、</w:t>
            </w:r>
            <w:r>
              <w:rPr>
                <w:rFonts w:hint="eastAsia"/>
                <w:color w:val="auto"/>
                <w:szCs w:val="21"/>
                <w:lang w:val="en-US" w:eastAsia="zh-CN"/>
              </w:rPr>
              <w:t>脱脂剂</w:t>
            </w:r>
            <w:r>
              <w:rPr>
                <w:rFonts w:hint="eastAsia"/>
                <w:color w:val="auto"/>
                <w:szCs w:val="21"/>
              </w:rPr>
              <w:t>废包装桶、催化燃烧设备产生的废催化剂、喷涂产生的废滤芯由厂家回收利用，</w:t>
            </w:r>
            <w:r>
              <w:rPr>
                <w:rFonts w:hint="eastAsia"/>
                <w:color w:val="auto"/>
                <w:szCs w:val="21"/>
                <w:lang w:val="en-US" w:eastAsia="zh-CN"/>
              </w:rPr>
              <w:t>废塑粉</w:t>
            </w:r>
            <w:r>
              <w:rPr>
                <w:rFonts w:hint="eastAsia"/>
                <w:color w:val="auto"/>
                <w:szCs w:val="21"/>
              </w:rPr>
              <w:t>回用于喷塑工序</w:t>
            </w:r>
            <w:r>
              <w:rPr>
                <w:rFonts w:hint="eastAsia"/>
                <w:color w:val="auto"/>
                <w:szCs w:val="21"/>
                <w:lang w:eastAsia="zh-CN"/>
              </w:rPr>
              <w:t>，</w:t>
            </w:r>
            <w:r>
              <w:rPr>
                <w:rFonts w:hint="eastAsia"/>
                <w:color w:val="auto"/>
                <w:szCs w:val="21"/>
                <w:lang w:val="en-US" w:eastAsia="zh-CN"/>
              </w:rPr>
              <w:t>布袋除尘器产生的除尘灰外售综合利用</w:t>
            </w:r>
            <w:r>
              <w:rPr>
                <w:rFonts w:hint="eastAsia"/>
                <w:color w:val="auto"/>
                <w:szCs w:val="21"/>
              </w:rPr>
              <w:t>；</w:t>
            </w:r>
            <w:r>
              <w:rPr>
                <w:color w:val="auto"/>
                <w:szCs w:val="21"/>
              </w:rPr>
              <w:t>废活性炭、</w:t>
            </w:r>
            <w:r>
              <w:rPr>
                <w:rFonts w:hint="eastAsia"/>
                <w:color w:val="auto"/>
                <w:szCs w:val="21"/>
              </w:rPr>
              <w:t>废过滤棉、</w:t>
            </w:r>
            <w:r>
              <w:rPr>
                <w:color w:val="auto"/>
                <w:szCs w:val="21"/>
              </w:rPr>
              <w:t>废液压油</w:t>
            </w:r>
            <w:r>
              <w:rPr>
                <w:rFonts w:hint="eastAsia"/>
                <w:color w:val="auto"/>
                <w:szCs w:val="21"/>
              </w:rPr>
              <w:t>、废油桶、污水处理站污泥和气浮机产生的废油、脱脂槽产生的废槽渣</w:t>
            </w:r>
            <w:r>
              <w:rPr>
                <w:color w:val="auto"/>
                <w:szCs w:val="21"/>
              </w:rPr>
              <w:t>贮存于危险废物贮存间定期交由有资质单位收集处置，生活垃圾由环卫部门统一定期清运。</w:t>
            </w:r>
          </w:p>
          <w:p>
            <w:pPr>
              <w:pStyle w:val="24"/>
              <w:spacing w:line="360" w:lineRule="auto"/>
              <w:ind w:firstLine="472" w:firstLineChars="200"/>
              <w:rPr>
                <w:color w:val="auto"/>
                <w:szCs w:val="24"/>
              </w:rPr>
            </w:pPr>
            <w:r>
              <w:rPr>
                <w:color w:val="auto"/>
                <w:szCs w:val="24"/>
              </w:rPr>
              <w:t>项目固体废物产生及处置情况见表</w:t>
            </w:r>
            <w:r>
              <w:rPr>
                <w:rFonts w:hint="eastAsia"/>
                <w:color w:val="auto"/>
                <w:szCs w:val="24"/>
              </w:rPr>
              <w:t>4-16</w:t>
            </w:r>
            <w:r>
              <w:rPr>
                <w:color w:val="auto"/>
                <w:szCs w:val="24"/>
              </w:rPr>
              <w:t>。</w:t>
            </w:r>
          </w:p>
          <w:p>
            <w:pPr>
              <w:overflowPunct w:val="0"/>
              <w:adjustRightInd w:val="0"/>
              <w:snapToGrid w:val="0"/>
              <w:spacing w:line="360" w:lineRule="auto"/>
              <w:ind w:firstLine="472" w:firstLineChars="200"/>
              <w:jc w:val="center"/>
              <w:rPr>
                <w:b/>
                <w:bCs/>
                <w:color w:val="auto"/>
                <w:sz w:val="24"/>
                <w:szCs w:val="24"/>
              </w:rPr>
            </w:pPr>
            <w:r>
              <w:rPr>
                <w:b/>
                <w:bCs/>
                <w:color w:val="auto"/>
                <w:sz w:val="24"/>
                <w:szCs w:val="24"/>
              </w:rPr>
              <w:t>表</w:t>
            </w:r>
            <w:r>
              <w:rPr>
                <w:rFonts w:hint="eastAsia"/>
                <w:b/>
                <w:bCs/>
                <w:color w:val="auto"/>
                <w:sz w:val="24"/>
                <w:szCs w:val="24"/>
              </w:rPr>
              <w:t>4-16</w:t>
            </w:r>
            <w:r>
              <w:rPr>
                <w:b/>
                <w:bCs/>
                <w:color w:val="auto"/>
                <w:sz w:val="24"/>
                <w:szCs w:val="24"/>
              </w:rPr>
              <w:t>项目固体废物产生及处置情况</w:t>
            </w:r>
          </w:p>
          <w:tbl>
            <w:tblPr>
              <w:tblStyle w:val="19"/>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021"/>
              <w:gridCol w:w="1690"/>
              <w:gridCol w:w="2175"/>
              <w:gridCol w:w="1648"/>
              <w:gridCol w:w="857"/>
              <w:gridCol w:w="1975"/>
              <w:gridCol w:w="21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编号</w:t>
                  </w:r>
                </w:p>
              </w:tc>
              <w:tc>
                <w:tcPr>
                  <w:tcW w:w="767"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产生环节</w:t>
                  </w:r>
                </w:p>
              </w:tc>
              <w:tc>
                <w:tcPr>
                  <w:tcW w:w="641"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固废名称</w:t>
                  </w:r>
                </w:p>
              </w:tc>
              <w:tc>
                <w:tcPr>
                  <w:tcW w:w="825"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主要成分</w:t>
                  </w:r>
                </w:p>
              </w:tc>
              <w:tc>
                <w:tcPr>
                  <w:tcW w:w="625" w:type="pct"/>
                  <w:vAlign w:val="center"/>
                </w:tcPr>
                <w:p>
                  <w:pPr>
                    <w:spacing w:line="240" w:lineRule="exact"/>
                    <w:jc w:val="center"/>
                    <w:rPr>
                      <w:rFonts w:ascii="宋体" w:hAnsi="宋体" w:cs="宋体"/>
                      <w:b/>
                      <w:color w:val="auto"/>
                      <w:kern w:val="1"/>
                      <w:szCs w:val="21"/>
                    </w:rPr>
                  </w:pPr>
                  <w:r>
                    <w:rPr>
                      <w:rFonts w:hint="eastAsia" w:ascii="宋体" w:hAnsi="宋体" w:cs="宋体"/>
                      <w:b/>
                      <w:color w:val="auto"/>
                      <w:kern w:val="1"/>
                      <w:szCs w:val="21"/>
                    </w:rPr>
                    <w:t>产生量（t/a）</w:t>
                  </w:r>
                </w:p>
              </w:tc>
              <w:tc>
                <w:tcPr>
                  <w:tcW w:w="325"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性质</w:t>
                  </w:r>
                </w:p>
              </w:tc>
              <w:tc>
                <w:tcPr>
                  <w:tcW w:w="749"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危险固废编号</w:t>
                  </w:r>
                </w:p>
              </w:tc>
              <w:tc>
                <w:tcPr>
                  <w:tcW w:w="806" w:type="pct"/>
                  <w:vAlign w:val="center"/>
                </w:tcPr>
                <w:p>
                  <w:pPr>
                    <w:adjustRightInd w:val="0"/>
                    <w:snapToGrid w:val="0"/>
                    <w:jc w:val="center"/>
                    <w:rPr>
                      <w:rFonts w:ascii="宋体" w:hAnsi="宋体" w:cs="宋体"/>
                      <w:b/>
                      <w:color w:val="auto"/>
                      <w:kern w:val="1"/>
                      <w:szCs w:val="21"/>
                    </w:rPr>
                  </w:pPr>
                  <w:r>
                    <w:rPr>
                      <w:rFonts w:hint="eastAsia" w:ascii="宋体" w:hAnsi="宋体" w:cs="宋体"/>
                      <w:b/>
                      <w:bCs/>
                      <w:color w:val="auto"/>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1</w:t>
                  </w:r>
                </w:p>
              </w:tc>
              <w:tc>
                <w:tcPr>
                  <w:tcW w:w="767" w:type="pct"/>
                  <w:vAlign w:val="center"/>
                </w:tcPr>
                <w:p>
                  <w:pPr>
                    <w:spacing w:line="300" w:lineRule="exact"/>
                    <w:jc w:val="center"/>
                    <w:rPr>
                      <w:rFonts w:ascii="宋体" w:hAnsi="宋体" w:cs="宋体"/>
                      <w:color w:val="auto"/>
                      <w:szCs w:val="21"/>
                    </w:rPr>
                  </w:pPr>
                  <w:r>
                    <w:rPr>
                      <w:rFonts w:hint="eastAsia"/>
                      <w:color w:val="auto"/>
                      <w:szCs w:val="21"/>
                    </w:rPr>
                    <w:t>下料、打孔、折弯</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废边角料</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钢、铁</w:t>
                  </w:r>
                </w:p>
              </w:tc>
              <w:tc>
                <w:tcPr>
                  <w:tcW w:w="625" w:type="pct"/>
                  <w:vAlign w:val="center"/>
                </w:tcPr>
                <w:p>
                  <w:pPr>
                    <w:spacing w:line="240" w:lineRule="exact"/>
                    <w:jc w:val="center"/>
                    <w:rPr>
                      <w:color w:val="auto"/>
                      <w:kern w:val="1"/>
                      <w:szCs w:val="21"/>
                    </w:rPr>
                  </w:pPr>
                  <w:r>
                    <w:rPr>
                      <w:rFonts w:hint="eastAsia"/>
                      <w:color w:val="auto"/>
                      <w:kern w:val="1"/>
                      <w:szCs w:val="21"/>
                    </w:rPr>
                    <w:t>15</w:t>
                  </w:r>
                </w:p>
              </w:tc>
              <w:tc>
                <w:tcPr>
                  <w:tcW w:w="325" w:type="pct"/>
                  <w:vMerge w:val="restart"/>
                  <w:vAlign w:val="center"/>
                </w:tcPr>
                <w:p>
                  <w:pPr>
                    <w:jc w:val="center"/>
                    <w:rPr>
                      <w:rFonts w:ascii="宋体" w:hAnsi="宋体" w:cs="宋体"/>
                      <w:color w:val="auto"/>
                      <w:kern w:val="1"/>
                      <w:szCs w:val="21"/>
                    </w:rPr>
                  </w:pPr>
                  <w:r>
                    <w:rPr>
                      <w:rFonts w:hint="eastAsia" w:ascii="宋体" w:hAnsi="宋体" w:cs="宋体"/>
                      <w:color w:val="auto"/>
                      <w:kern w:val="1"/>
                      <w:szCs w:val="21"/>
                    </w:rPr>
                    <w:t>一般</w:t>
                  </w:r>
                </w:p>
                <w:p>
                  <w:pPr>
                    <w:jc w:val="center"/>
                    <w:rPr>
                      <w:rFonts w:ascii="宋体" w:hAnsi="宋体" w:cs="宋体"/>
                      <w:color w:val="auto"/>
                      <w:szCs w:val="21"/>
                    </w:rPr>
                  </w:pPr>
                  <w:r>
                    <w:rPr>
                      <w:rFonts w:hint="eastAsia" w:ascii="宋体" w:hAnsi="宋体" w:cs="宋体"/>
                      <w:color w:val="auto"/>
                      <w:kern w:val="1"/>
                      <w:szCs w:val="21"/>
                    </w:rPr>
                    <w:t>固废</w:t>
                  </w: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2</w:t>
                  </w:r>
                </w:p>
              </w:tc>
              <w:tc>
                <w:tcPr>
                  <w:tcW w:w="767" w:type="pct"/>
                  <w:vAlign w:val="center"/>
                </w:tcPr>
                <w:p>
                  <w:pPr>
                    <w:spacing w:line="300" w:lineRule="exact"/>
                    <w:jc w:val="center"/>
                    <w:rPr>
                      <w:rFonts w:ascii="宋体" w:hAnsi="宋体" w:cs="宋体"/>
                      <w:color w:val="auto"/>
                      <w:szCs w:val="21"/>
                    </w:rPr>
                  </w:pPr>
                  <w:r>
                    <w:rPr>
                      <w:rFonts w:hint="eastAsia"/>
                      <w:color w:val="auto"/>
                      <w:szCs w:val="21"/>
                    </w:rPr>
                    <w:t>焊接工序</w:t>
                  </w:r>
                </w:p>
              </w:tc>
              <w:tc>
                <w:tcPr>
                  <w:tcW w:w="641" w:type="pct"/>
                  <w:vAlign w:val="center"/>
                </w:tcPr>
                <w:p>
                  <w:pPr>
                    <w:spacing w:line="300" w:lineRule="exact"/>
                    <w:jc w:val="center"/>
                    <w:rPr>
                      <w:rFonts w:ascii="宋体" w:hAnsi="宋体" w:cs="宋体"/>
                      <w:color w:val="auto"/>
                      <w:szCs w:val="21"/>
                    </w:rPr>
                  </w:pPr>
                  <w:r>
                    <w:rPr>
                      <w:rFonts w:hint="eastAsia"/>
                      <w:color w:val="auto"/>
                      <w:szCs w:val="21"/>
                    </w:rPr>
                    <w:t>焊渣</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钢、铁屑</w:t>
                  </w:r>
                </w:p>
              </w:tc>
              <w:tc>
                <w:tcPr>
                  <w:tcW w:w="625" w:type="pct"/>
                  <w:vAlign w:val="center"/>
                </w:tcPr>
                <w:p>
                  <w:pPr>
                    <w:spacing w:line="240" w:lineRule="exact"/>
                    <w:jc w:val="center"/>
                    <w:rPr>
                      <w:color w:val="auto"/>
                      <w:kern w:val="1"/>
                      <w:szCs w:val="21"/>
                    </w:rPr>
                  </w:pPr>
                  <w:r>
                    <w:rPr>
                      <w:rFonts w:hint="eastAsia"/>
                      <w:color w:val="auto"/>
                      <w:kern w:val="1"/>
                      <w:szCs w:val="21"/>
                    </w:rPr>
                    <w:t>0.05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3</w:t>
                  </w:r>
                </w:p>
              </w:tc>
              <w:tc>
                <w:tcPr>
                  <w:tcW w:w="767" w:type="pct"/>
                  <w:vAlign w:val="center"/>
                </w:tcPr>
                <w:p>
                  <w:pPr>
                    <w:spacing w:line="300" w:lineRule="exact"/>
                    <w:jc w:val="center"/>
                    <w:rPr>
                      <w:rFonts w:ascii="宋体" w:hAnsi="宋体" w:cs="宋体"/>
                      <w:color w:val="auto"/>
                      <w:szCs w:val="21"/>
                    </w:rPr>
                  </w:pPr>
                  <w:r>
                    <w:rPr>
                      <w:rFonts w:hint="eastAsia"/>
                      <w:color w:val="auto"/>
                      <w:szCs w:val="21"/>
                    </w:rPr>
                    <w:t>铜排母线冲剪、折弯</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废铜线</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铜</w:t>
                  </w:r>
                </w:p>
              </w:tc>
              <w:tc>
                <w:tcPr>
                  <w:tcW w:w="625" w:type="pct"/>
                  <w:vAlign w:val="center"/>
                </w:tcPr>
                <w:p>
                  <w:pPr>
                    <w:spacing w:line="240" w:lineRule="exact"/>
                    <w:jc w:val="center"/>
                    <w:rPr>
                      <w:rFonts w:ascii="宋体" w:hAnsi="宋体" w:cs="宋体"/>
                      <w:color w:val="auto"/>
                      <w:kern w:val="1"/>
                      <w:szCs w:val="21"/>
                    </w:rPr>
                  </w:pPr>
                  <w:r>
                    <w:rPr>
                      <w:rFonts w:hint="eastAsia"/>
                      <w:color w:val="auto"/>
                      <w:kern w:val="1"/>
                      <w:szCs w:val="21"/>
                    </w:rPr>
                    <w:t>28</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kern w:val="1"/>
                      <w:szCs w:val="21"/>
                    </w:rPr>
                  </w:pPr>
                  <w:r>
                    <w:rPr>
                      <w:rFonts w:hint="eastAsia" w:ascii="宋体" w:hAnsi="宋体" w:cs="宋体"/>
                      <w:color w:val="auto"/>
                      <w:szCs w:val="21"/>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4</w:t>
                  </w:r>
                </w:p>
              </w:tc>
              <w:tc>
                <w:tcPr>
                  <w:tcW w:w="767" w:type="pct"/>
                  <w:vAlign w:val="center"/>
                </w:tcPr>
                <w:p>
                  <w:pPr>
                    <w:spacing w:line="300" w:lineRule="exact"/>
                    <w:jc w:val="center"/>
                    <w:rPr>
                      <w:rFonts w:ascii="宋体" w:hAnsi="宋体" w:cs="宋体"/>
                      <w:color w:val="auto"/>
                      <w:szCs w:val="21"/>
                    </w:rPr>
                  </w:pPr>
                  <w:r>
                    <w:rPr>
                      <w:rFonts w:hint="eastAsia"/>
                      <w:color w:val="auto"/>
                      <w:szCs w:val="21"/>
                    </w:rPr>
                    <w:t>脱脂剂包装</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废脱脂剂包装桶</w:t>
                  </w:r>
                </w:p>
              </w:tc>
              <w:tc>
                <w:tcPr>
                  <w:tcW w:w="825" w:type="pct"/>
                  <w:vAlign w:val="center"/>
                </w:tcPr>
                <w:p>
                  <w:pPr>
                    <w:spacing w:line="300" w:lineRule="exact"/>
                    <w:jc w:val="center"/>
                    <w:rPr>
                      <w:color w:val="auto"/>
                      <w:szCs w:val="21"/>
                    </w:rPr>
                  </w:pPr>
                  <w:r>
                    <w:rPr>
                      <w:rFonts w:hint="eastAsia"/>
                      <w:color w:val="auto"/>
                      <w:szCs w:val="21"/>
                    </w:rPr>
                    <w:t>酒石酸、元明粉、钼酸铵、水等</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5</w:t>
                  </w:r>
                </w:p>
              </w:tc>
              <w:tc>
                <w:tcPr>
                  <w:tcW w:w="767" w:type="pct"/>
                  <w:vAlign w:val="center"/>
                </w:tcPr>
                <w:p>
                  <w:pPr>
                    <w:spacing w:line="300" w:lineRule="exact"/>
                    <w:jc w:val="center"/>
                    <w:rPr>
                      <w:rFonts w:ascii="宋体" w:hAnsi="宋体" w:cs="宋体"/>
                      <w:color w:val="auto"/>
                      <w:szCs w:val="21"/>
                    </w:rPr>
                  </w:pPr>
                  <w:r>
                    <w:rPr>
                      <w:rFonts w:hint="eastAsia"/>
                      <w:color w:val="auto"/>
                      <w:szCs w:val="21"/>
                    </w:rPr>
                    <w:t>塑粉包装</w:t>
                  </w:r>
                </w:p>
              </w:tc>
              <w:tc>
                <w:tcPr>
                  <w:tcW w:w="641" w:type="pct"/>
                  <w:vAlign w:val="center"/>
                </w:tcPr>
                <w:p>
                  <w:pPr>
                    <w:spacing w:line="300" w:lineRule="exact"/>
                    <w:jc w:val="center"/>
                    <w:rPr>
                      <w:rFonts w:ascii="宋体" w:hAnsi="宋体" w:cs="宋体"/>
                      <w:color w:val="auto"/>
                      <w:szCs w:val="21"/>
                    </w:rPr>
                  </w:pPr>
                  <w:r>
                    <w:rPr>
                      <w:rFonts w:hint="eastAsia"/>
                      <w:color w:val="auto"/>
                      <w:szCs w:val="21"/>
                    </w:rPr>
                    <w:t>废塑粉袋</w:t>
                  </w:r>
                </w:p>
              </w:tc>
              <w:tc>
                <w:tcPr>
                  <w:tcW w:w="825" w:type="pct"/>
                  <w:vAlign w:val="center"/>
                </w:tcPr>
                <w:p>
                  <w:pPr>
                    <w:spacing w:line="300" w:lineRule="exact"/>
                    <w:jc w:val="center"/>
                    <w:rPr>
                      <w:color w:val="auto"/>
                      <w:szCs w:val="21"/>
                    </w:rPr>
                  </w:pPr>
                  <w:r>
                    <w:rPr>
                      <w:rFonts w:hint="eastAsia"/>
                      <w:color w:val="auto"/>
                      <w:szCs w:val="21"/>
                    </w:rPr>
                    <w:t>环氧树脂</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6</w:t>
                  </w:r>
                </w:p>
              </w:tc>
              <w:tc>
                <w:tcPr>
                  <w:tcW w:w="767" w:type="pct"/>
                  <w:vMerge w:val="restart"/>
                  <w:vAlign w:val="center"/>
                </w:tcPr>
                <w:p>
                  <w:pPr>
                    <w:spacing w:line="300" w:lineRule="exact"/>
                    <w:jc w:val="center"/>
                    <w:rPr>
                      <w:rFonts w:ascii="宋体" w:hAnsi="宋体" w:cs="宋体"/>
                      <w:color w:val="auto"/>
                      <w:szCs w:val="21"/>
                    </w:rPr>
                  </w:pPr>
                  <w:r>
                    <w:rPr>
                      <w:rFonts w:hint="eastAsia"/>
                      <w:color w:val="auto"/>
                      <w:szCs w:val="21"/>
                    </w:rPr>
                    <w:t>滤芯回收系统</w:t>
                  </w:r>
                </w:p>
              </w:tc>
              <w:tc>
                <w:tcPr>
                  <w:tcW w:w="641" w:type="pct"/>
                  <w:vAlign w:val="center"/>
                </w:tcPr>
                <w:p>
                  <w:pPr>
                    <w:spacing w:line="300" w:lineRule="exact"/>
                    <w:jc w:val="center"/>
                    <w:rPr>
                      <w:rFonts w:hint="default" w:ascii="宋体" w:hAnsi="宋体" w:eastAsia="宋体" w:cs="宋体"/>
                      <w:color w:val="auto"/>
                      <w:szCs w:val="21"/>
                      <w:lang w:val="en-US" w:eastAsia="zh-CN"/>
                    </w:rPr>
                  </w:pPr>
                  <w:r>
                    <w:rPr>
                      <w:rFonts w:hint="eastAsia"/>
                      <w:color w:val="auto"/>
                      <w:szCs w:val="21"/>
                      <w:lang w:val="en-US" w:eastAsia="zh-CN"/>
                    </w:rPr>
                    <w:t>废塑粉</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环氧树脂</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79</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7</w:t>
                  </w:r>
                </w:p>
              </w:tc>
              <w:tc>
                <w:tcPr>
                  <w:tcW w:w="767" w:type="pct"/>
                  <w:vMerge w:val="continue"/>
                  <w:vAlign w:val="center"/>
                </w:tcPr>
                <w:p>
                  <w:pPr>
                    <w:spacing w:line="300" w:lineRule="exact"/>
                    <w:jc w:val="center"/>
                    <w:rPr>
                      <w:rFonts w:ascii="宋体" w:hAnsi="宋体" w:cs="宋体"/>
                      <w:color w:val="auto"/>
                      <w:szCs w:val="21"/>
                    </w:rPr>
                  </w:pPr>
                </w:p>
              </w:tc>
              <w:tc>
                <w:tcPr>
                  <w:tcW w:w="641" w:type="pct"/>
                  <w:vAlign w:val="center"/>
                </w:tcPr>
                <w:p>
                  <w:pPr>
                    <w:spacing w:line="300" w:lineRule="exact"/>
                    <w:jc w:val="center"/>
                    <w:rPr>
                      <w:rFonts w:ascii="宋体" w:hAnsi="宋体" w:cs="宋体"/>
                      <w:color w:val="auto"/>
                      <w:szCs w:val="21"/>
                    </w:rPr>
                  </w:pPr>
                  <w:r>
                    <w:rPr>
                      <w:rFonts w:hint="eastAsia"/>
                      <w:color w:val="auto"/>
                      <w:szCs w:val="21"/>
                    </w:rPr>
                    <w:t>废滤芯</w:t>
                  </w:r>
                </w:p>
              </w:tc>
              <w:tc>
                <w:tcPr>
                  <w:tcW w:w="825" w:type="pct"/>
                  <w:vAlign w:val="center"/>
                </w:tcPr>
                <w:p>
                  <w:pPr>
                    <w:spacing w:line="300" w:lineRule="exact"/>
                    <w:jc w:val="center"/>
                    <w:rPr>
                      <w:rFonts w:ascii="宋体" w:hAnsi="宋体" w:cs="宋体"/>
                      <w:color w:val="auto"/>
                      <w:szCs w:val="21"/>
                    </w:rPr>
                  </w:pPr>
                  <w:r>
                    <w:rPr>
                      <w:rFonts w:hint="eastAsia"/>
                      <w:color w:val="auto"/>
                      <w:szCs w:val="21"/>
                    </w:rPr>
                    <w:t>滤芯</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hint="eastAsia" w:ascii="宋体" w:hAnsi="宋体" w:eastAsia="宋体" w:cs="宋体"/>
                      <w:color w:val="auto"/>
                      <w:kern w:val="1"/>
                      <w:sz w:val="21"/>
                      <w:szCs w:val="21"/>
                      <w:lang w:val="en-US" w:eastAsia="zh-CN" w:bidi="ar-SA"/>
                    </w:rPr>
                  </w:pPr>
                  <w:r>
                    <w:rPr>
                      <w:rFonts w:hint="eastAsia" w:ascii="宋体" w:hAnsi="宋体" w:cs="宋体"/>
                      <w:color w:val="auto"/>
                      <w:kern w:val="1"/>
                      <w:szCs w:val="21"/>
                    </w:rPr>
                    <w:t>8</w:t>
                  </w:r>
                </w:p>
              </w:tc>
              <w:tc>
                <w:tcPr>
                  <w:tcW w:w="767" w:type="pct"/>
                  <w:vAlign w:val="center"/>
                </w:tcPr>
                <w:p>
                  <w:pPr>
                    <w:spacing w:line="3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布袋除尘器</w:t>
                  </w:r>
                </w:p>
              </w:tc>
              <w:tc>
                <w:tcPr>
                  <w:tcW w:w="641" w:type="pct"/>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除尘灰</w:t>
                  </w:r>
                </w:p>
              </w:tc>
              <w:tc>
                <w:tcPr>
                  <w:tcW w:w="825" w:type="pct"/>
                  <w:vAlign w:val="center"/>
                </w:tcPr>
                <w:p>
                  <w:pPr>
                    <w:spacing w:line="300" w:lineRule="exact"/>
                    <w:jc w:val="center"/>
                    <w:rPr>
                      <w:rFonts w:hint="eastAsia"/>
                      <w:color w:val="auto"/>
                      <w:szCs w:val="21"/>
                    </w:rPr>
                  </w:pPr>
                  <w:r>
                    <w:rPr>
                      <w:rFonts w:hint="eastAsia" w:ascii="宋体" w:hAnsi="宋体" w:cs="宋体"/>
                      <w:color w:val="auto"/>
                      <w:szCs w:val="21"/>
                    </w:rPr>
                    <w:t>环氧树脂</w:t>
                  </w:r>
                </w:p>
              </w:tc>
              <w:tc>
                <w:tcPr>
                  <w:tcW w:w="625" w:type="pct"/>
                  <w:vAlign w:val="center"/>
                </w:tcPr>
                <w:p>
                  <w:pPr>
                    <w:spacing w:line="240" w:lineRule="exact"/>
                    <w:jc w:val="center"/>
                    <w:rPr>
                      <w:rFonts w:hint="default" w:eastAsia="宋体"/>
                      <w:color w:val="auto"/>
                      <w:kern w:val="1"/>
                      <w:szCs w:val="21"/>
                      <w:lang w:val="en-US" w:eastAsia="zh-CN"/>
                    </w:rPr>
                  </w:pPr>
                  <w:r>
                    <w:rPr>
                      <w:rFonts w:hint="eastAsia"/>
                      <w:color w:val="auto"/>
                      <w:kern w:val="1"/>
                      <w:szCs w:val="21"/>
                      <w:lang w:val="en-US" w:eastAsia="zh-CN"/>
                    </w:rPr>
                    <w:t>2.0</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c>
                <w:tcPr>
                  <w:tcW w:w="806" w:type="pct"/>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外售综合利用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9</w:t>
                  </w:r>
                </w:p>
              </w:tc>
              <w:tc>
                <w:tcPr>
                  <w:tcW w:w="767" w:type="pct"/>
                  <w:vMerge w:val="restart"/>
                  <w:vAlign w:val="center"/>
                </w:tcPr>
                <w:p>
                  <w:pPr>
                    <w:spacing w:line="300" w:lineRule="exact"/>
                    <w:jc w:val="center"/>
                    <w:rPr>
                      <w:rFonts w:ascii="宋体" w:hAnsi="宋体" w:cs="宋体"/>
                      <w:color w:val="auto"/>
                      <w:szCs w:val="21"/>
                    </w:rPr>
                  </w:pPr>
                  <w:r>
                    <w:rPr>
                      <w:rFonts w:hint="eastAsia"/>
                      <w:color w:val="auto"/>
                      <w:szCs w:val="21"/>
                    </w:rPr>
                    <w:t>VOCs废气治理设备</w:t>
                  </w:r>
                </w:p>
              </w:tc>
              <w:tc>
                <w:tcPr>
                  <w:tcW w:w="641" w:type="pct"/>
                  <w:vAlign w:val="center"/>
                </w:tcPr>
                <w:p>
                  <w:pPr>
                    <w:spacing w:line="300" w:lineRule="exact"/>
                    <w:jc w:val="center"/>
                    <w:rPr>
                      <w:color w:val="auto"/>
                      <w:szCs w:val="21"/>
                    </w:rPr>
                  </w:pPr>
                  <w:r>
                    <w:rPr>
                      <w:rFonts w:hint="eastAsia"/>
                      <w:color w:val="auto"/>
                      <w:szCs w:val="21"/>
                    </w:rPr>
                    <w:t>废催化剂</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钯贵金属</w:t>
                  </w:r>
                </w:p>
              </w:tc>
              <w:tc>
                <w:tcPr>
                  <w:tcW w:w="625" w:type="pct"/>
                  <w:vAlign w:val="center"/>
                </w:tcPr>
                <w:p>
                  <w:pPr>
                    <w:spacing w:line="240" w:lineRule="exact"/>
                    <w:jc w:val="center"/>
                    <w:rPr>
                      <w:color w:val="auto"/>
                      <w:kern w:val="1"/>
                      <w:szCs w:val="21"/>
                    </w:rPr>
                  </w:pPr>
                  <w:r>
                    <w:rPr>
                      <w:rFonts w:hint="eastAsia"/>
                      <w:color w:val="auto"/>
                      <w:kern w:val="1"/>
                      <w:szCs w:val="21"/>
                    </w:rPr>
                    <w:t>0.1</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w:t>
                  </w:r>
                </w:p>
              </w:tc>
              <w:tc>
                <w:tcPr>
                  <w:tcW w:w="806" w:type="pct"/>
                  <w:vAlign w:val="center"/>
                </w:tcPr>
                <w:p>
                  <w:pPr>
                    <w:spacing w:line="240" w:lineRule="exact"/>
                    <w:jc w:val="center"/>
                    <w:rPr>
                      <w:rFonts w:ascii="宋体" w:hAnsi="宋体" w:cs="宋体"/>
                      <w:color w:val="auto"/>
                      <w:kern w:val="1"/>
                      <w:szCs w:val="21"/>
                    </w:rPr>
                  </w:pPr>
                  <w:r>
                    <w:rPr>
                      <w:rFonts w:hint="eastAsia"/>
                      <w:color w:val="auto"/>
                      <w:szCs w:val="21"/>
                    </w:rPr>
                    <w:t>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10</w:t>
                  </w:r>
                </w:p>
              </w:tc>
              <w:tc>
                <w:tcPr>
                  <w:tcW w:w="767" w:type="pct"/>
                  <w:vMerge w:val="continue"/>
                  <w:vAlign w:val="center"/>
                </w:tcPr>
                <w:p>
                  <w:pPr>
                    <w:spacing w:line="300" w:lineRule="exact"/>
                    <w:jc w:val="center"/>
                    <w:rPr>
                      <w:rFonts w:ascii="宋体" w:hAnsi="宋体" w:cs="宋体"/>
                      <w:color w:val="auto"/>
                      <w:szCs w:val="21"/>
                    </w:rPr>
                  </w:pPr>
                </w:p>
              </w:tc>
              <w:tc>
                <w:tcPr>
                  <w:tcW w:w="641" w:type="pct"/>
                  <w:vAlign w:val="center"/>
                </w:tcPr>
                <w:p>
                  <w:pPr>
                    <w:spacing w:line="300" w:lineRule="exact"/>
                    <w:jc w:val="center"/>
                    <w:rPr>
                      <w:color w:val="auto"/>
                      <w:szCs w:val="21"/>
                    </w:rPr>
                  </w:pPr>
                  <w:r>
                    <w:rPr>
                      <w:rFonts w:hint="eastAsia"/>
                      <w:color w:val="auto"/>
                      <w:szCs w:val="21"/>
                    </w:rPr>
                    <w:t>废活性炭</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restart"/>
                  <w:vAlign w:val="center"/>
                </w:tcPr>
                <w:p>
                  <w:pPr>
                    <w:jc w:val="center"/>
                    <w:rPr>
                      <w:rFonts w:ascii="宋体" w:hAnsi="宋体" w:cs="宋体"/>
                      <w:color w:val="auto"/>
                      <w:szCs w:val="21"/>
                    </w:rPr>
                  </w:pPr>
                  <w:r>
                    <w:rPr>
                      <w:rFonts w:hint="eastAsia" w:ascii="宋体" w:hAnsi="宋体" w:cs="宋体"/>
                      <w:color w:val="auto"/>
                      <w:kern w:val="1"/>
                      <w:szCs w:val="21"/>
                    </w:rPr>
                    <w:t>危险废物</w:t>
                  </w:r>
                </w:p>
              </w:tc>
              <w:tc>
                <w:tcPr>
                  <w:tcW w:w="749" w:type="pct"/>
                  <w:vAlign w:val="center"/>
                </w:tcPr>
                <w:p>
                  <w:pPr>
                    <w:spacing w:line="240" w:lineRule="exact"/>
                    <w:jc w:val="center"/>
                    <w:rPr>
                      <w:rFonts w:ascii="宋体" w:hAnsi="宋体" w:cs="宋体"/>
                      <w:color w:val="auto"/>
                      <w:kern w:val="1"/>
                      <w:szCs w:val="21"/>
                    </w:rPr>
                  </w:pPr>
                  <w:r>
                    <w:rPr>
                      <w:rFonts w:hint="eastAsia"/>
                      <w:color w:val="auto"/>
                      <w:kern w:val="1"/>
                      <w:szCs w:val="21"/>
                    </w:rPr>
                    <w:t>HW49/900-039-49</w:t>
                  </w:r>
                </w:p>
              </w:tc>
              <w:tc>
                <w:tcPr>
                  <w:tcW w:w="806" w:type="pct"/>
                  <w:vMerge w:val="restart"/>
                  <w:vAlign w:val="center"/>
                </w:tcPr>
                <w:p>
                  <w:pPr>
                    <w:spacing w:line="240" w:lineRule="exact"/>
                    <w:jc w:val="center"/>
                    <w:rPr>
                      <w:rFonts w:ascii="宋体" w:hAnsi="宋体" w:cs="宋体"/>
                      <w:color w:val="auto"/>
                      <w:kern w:val="1"/>
                      <w:szCs w:val="21"/>
                    </w:rPr>
                  </w:pPr>
                  <w:r>
                    <w:rPr>
                      <w:rFonts w:hint="eastAsia" w:ascii="宋体" w:hAnsi="宋体" w:cs="宋体"/>
                      <w:color w:val="auto"/>
                      <w:kern w:val="1"/>
                      <w:szCs w:val="21"/>
                    </w:rPr>
                    <w:t>暂存危废间，定期委托有资质单位处置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11</w:t>
                  </w:r>
                </w:p>
              </w:tc>
              <w:tc>
                <w:tcPr>
                  <w:tcW w:w="767" w:type="pct"/>
                  <w:vMerge w:val="continue"/>
                  <w:vAlign w:val="center"/>
                </w:tcPr>
                <w:p>
                  <w:pPr>
                    <w:spacing w:line="300" w:lineRule="exact"/>
                    <w:jc w:val="center"/>
                    <w:rPr>
                      <w:rFonts w:ascii="宋体" w:hAnsi="宋体" w:cs="宋体"/>
                      <w:color w:val="auto"/>
                      <w:szCs w:val="21"/>
                    </w:rPr>
                  </w:pPr>
                </w:p>
              </w:tc>
              <w:tc>
                <w:tcPr>
                  <w:tcW w:w="641" w:type="pct"/>
                  <w:vAlign w:val="center"/>
                </w:tcPr>
                <w:p>
                  <w:pPr>
                    <w:spacing w:line="300" w:lineRule="exact"/>
                    <w:jc w:val="center"/>
                    <w:rPr>
                      <w:color w:val="auto"/>
                      <w:szCs w:val="21"/>
                    </w:rPr>
                  </w:pPr>
                  <w:r>
                    <w:rPr>
                      <w:rFonts w:hint="eastAsia"/>
                      <w:color w:val="auto"/>
                      <w:szCs w:val="21"/>
                    </w:rPr>
                    <w:t>废过滤棉</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625" w:type="pct"/>
                  <w:vAlign w:val="center"/>
                </w:tcPr>
                <w:p>
                  <w:pPr>
                    <w:spacing w:line="240" w:lineRule="exact"/>
                    <w:jc w:val="center"/>
                    <w:rPr>
                      <w:color w:val="auto"/>
                      <w:kern w:val="1"/>
                      <w:szCs w:val="21"/>
                    </w:rPr>
                  </w:pPr>
                  <w:r>
                    <w:rPr>
                      <w:rFonts w:hint="eastAsia"/>
                      <w:color w:val="auto"/>
                      <w:kern w:val="1"/>
                      <w:szCs w:val="21"/>
                    </w:rPr>
                    <w:t>0.2</w:t>
                  </w:r>
                </w:p>
              </w:tc>
              <w:tc>
                <w:tcPr>
                  <w:tcW w:w="325" w:type="pct"/>
                  <w:vMerge w:val="continue"/>
                </w:tcPr>
                <w:p>
                  <w:pPr>
                    <w:jc w:val="center"/>
                    <w:rPr>
                      <w:rFonts w:ascii="宋体" w:hAnsi="宋体" w:cs="宋体"/>
                      <w:color w:val="auto"/>
                      <w:szCs w:val="21"/>
                    </w:rPr>
                  </w:pPr>
                </w:p>
              </w:tc>
              <w:tc>
                <w:tcPr>
                  <w:tcW w:w="749" w:type="pct"/>
                  <w:vAlign w:val="center"/>
                </w:tcPr>
                <w:p>
                  <w:pPr>
                    <w:spacing w:line="240" w:lineRule="exact"/>
                    <w:jc w:val="center"/>
                    <w:rPr>
                      <w:rFonts w:ascii="宋体" w:hAnsi="宋体" w:cs="宋体"/>
                      <w:color w:val="auto"/>
                      <w:szCs w:val="21"/>
                    </w:rPr>
                  </w:pPr>
                  <w:r>
                    <w:rPr>
                      <w:rFonts w:hint="eastAsia"/>
                      <w:color w:val="auto"/>
                      <w:kern w:val="1"/>
                      <w:szCs w:val="21"/>
                    </w:rPr>
                    <w:t>HW49/900-041-49</w:t>
                  </w:r>
                </w:p>
              </w:tc>
              <w:tc>
                <w:tcPr>
                  <w:tcW w:w="806" w:type="pct"/>
                  <w:vMerge w:val="continue"/>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12</w:t>
                  </w:r>
                </w:p>
              </w:tc>
              <w:tc>
                <w:tcPr>
                  <w:tcW w:w="767" w:type="pct"/>
                  <w:vMerge w:val="restart"/>
                  <w:vAlign w:val="center"/>
                </w:tcPr>
                <w:p>
                  <w:pPr>
                    <w:spacing w:line="300" w:lineRule="exact"/>
                    <w:jc w:val="center"/>
                    <w:rPr>
                      <w:rFonts w:ascii="宋体" w:hAnsi="宋体" w:cs="宋体"/>
                      <w:color w:val="auto"/>
                      <w:szCs w:val="21"/>
                    </w:rPr>
                  </w:pPr>
                  <w:r>
                    <w:rPr>
                      <w:rFonts w:hint="eastAsia"/>
                      <w:color w:val="auto"/>
                      <w:szCs w:val="21"/>
                    </w:rPr>
                    <w:t>污水处理站</w:t>
                  </w:r>
                </w:p>
              </w:tc>
              <w:tc>
                <w:tcPr>
                  <w:tcW w:w="641" w:type="pct"/>
                  <w:vAlign w:val="center"/>
                </w:tcPr>
                <w:p>
                  <w:pPr>
                    <w:spacing w:line="300" w:lineRule="exact"/>
                    <w:jc w:val="center"/>
                    <w:rPr>
                      <w:rFonts w:ascii="宋体" w:hAnsi="宋体" w:cs="宋体"/>
                      <w:color w:val="auto"/>
                      <w:szCs w:val="21"/>
                    </w:rPr>
                  </w:pPr>
                  <w:r>
                    <w:rPr>
                      <w:rFonts w:hint="eastAsia"/>
                      <w:color w:val="auto"/>
                      <w:szCs w:val="21"/>
                    </w:rPr>
                    <w:t>污泥</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5.5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HW17/336-064-17</w:t>
                  </w:r>
                </w:p>
              </w:tc>
              <w:tc>
                <w:tcPr>
                  <w:tcW w:w="806" w:type="pct"/>
                  <w:vMerge w:val="continue"/>
                  <w:vAlign w:val="center"/>
                </w:tcPr>
                <w:p>
                  <w:pPr>
                    <w:spacing w:line="240" w:lineRule="exact"/>
                    <w:jc w:val="center"/>
                    <w:rPr>
                      <w:rFonts w:ascii="宋体" w:hAnsi="宋体" w:cs="宋体"/>
                      <w:color w:val="auto"/>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13</w:t>
                  </w:r>
                </w:p>
              </w:tc>
              <w:tc>
                <w:tcPr>
                  <w:tcW w:w="767" w:type="pct"/>
                  <w:vMerge w:val="continue"/>
                  <w:vAlign w:val="center"/>
                </w:tcPr>
                <w:p>
                  <w:pPr>
                    <w:spacing w:line="300" w:lineRule="exact"/>
                    <w:jc w:val="center"/>
                    <w:rPr>
                      <w:color w:val="auto"/>
                      <w:szCs w:val="21"/>
                    </w:rPr>
                  </w:pPr>
                </w:p>
              </w:tc>
              <w:tc>
                <w:tcPr>
                  <w:tcW w:w="641" w:type="pct"/>
                  <w:vAlign w:val="center"/>
                </w:tcPr>
                <w:p>
                  <w:pPr>
                    <w:spacing w:line="300" w:lineRule="exact"/>
                    <w:jc w:val="center"/>
                    <w:rPr>
                      <w:color w:val="auto"/>
                      <w:szCs w:val="21"/>
                    </w:rPr>
                  </w:pPr>
                  <w:r>
                    <w:rPr>
                      <w:rFonts w:hint="eastAsia"/>
                      <w:color w:val="auto"/>
                      <w:szCs w:val="21"/>
                    </w:rPr>
                    <w:t>气浮机废油</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HW49/900-210-08</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14</w:t>
                  </w:r>
                </w:p>
              </w:tc>
              <w:tc>
                <w:tcPr>
                  <w:tcW w:w="767" w:type="pct"/>
                  <w:vMerge w:val="restart"/>
                  <w:vAlign w:val="center"/>
                </w:tcPr>
                <w:p>
                  <w:pPr>
                    <w:spacing w:line="300" w:lineRule="exact"/>
                    <w:jc w:val="center"/>
                    <w:rPr>
                      <w:color w:val="auto"/>
                      <w:szCs w:val="21"/>
                    </w:rPr>
                  </w:pPr>
                  <w:r>
                    <w:rPr>
                      <w:rFonts w:hint="eastAsia"/>
                      <w:color w:val="auto"/>
                      <w:szCs w:val="21"/>
                    </w:rPr>
                    <w:t>设备液压</w:t>
                  </w:r>
                </w:p>
              </w:tc>
              <w:tc>
                <w:tcPr>
                  <w:tcW w:w="641" w:type="pct"/>
                  <w:vAlign w:val="center"/>
                </w:tcPr>
                <w:p>
                  <w:pPr>
                    <w:spacing w:line="300" w:lineRule="exact"/>
                    <w:jc w:val="center"/>
                    <w:rPr>
                      <w:color w:val="auto"/>
                      <w:szCs w:val="21"/>
                    </w:rPr>
                  </w:pPr>
                  <w:r>
                    <w:rPr>
                      <w:rFonts w:hint="eastAsia"/>
                      <w:color w:val="auto"/>
                      <w:szCs w:val="21"/>
                    </w:rPr>
                    <w:t>废液压油</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废矿物油</w:t>
                  </w:r>
                </w:p>
              </w:tc>
              <w:tc>
                <w:tcPr>
                  <w:tcW w:w="625" w:type="pct"/>
                  <w:vAlign w:val="center"/>
                </w:tcPr>
                <w:p>
                  <w:pPr>
                    <w:spacing w:line="240" w:lineRule="exact"/>
                    <w:jc w:val="center"/>
                    <w:rPr>
                      <w:color w:val="auto"/>
                      <w:kern w:val="1"/>
                      <w:szCs w:val="21"/>
                    </w:rPr>
                  </w:pPr>
                  <w:r>
                    <w:rPr>
                      <w:rFonts w:hint="eastAsia"/>
                      <w:color w:val="auto"/>
                      <w:kern w:val="1"/>
                      <w:szCs w:val="21"/>
                    </w:rPr>
                    <w:t>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HW49/900-218-08</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15</w:t>
                  </w:r>
                </w:p>
              </w:tc>
              <w:tc>
                <w:tcPr>
                  <w:tcW w:w="767" w:type="pct"/>
                  <w:vMerge w:val="continue"/>
                  <w:vAlign w:val="center"/>
                </w:tcPr>
                <w:p>
                  <w:pPr>
                    <w:spacing w:line="300" w:lineRule="exact"/>
                    <w:jc w:val="center"/>
                    <w:rPr>
                      <w:color w:val="auto"/>
                      <w:szCs w:val="21"/>
                    </w:rPr>
                  </w:pPr>
                </w:p>
              </w:tc>
              <w:tc>
                <w:tcPr>
                  <w:tcW w:w="641" w:type="pct"/>
                  <w:vAlign w:val="center"/>
                </w:tcPr>
                <w:p>
                  <w:pPr>
                    <w:spacing w:line="300" w:lineRule="exact"/>
                    <w:jc w:val="center"/>
                    <w:rPr>
                      <w:color w:val="auto"/>
                      <w:szCs w:val="21"/>
                    </w:rPr>
                  </w:pPr>
                  <w:r>
                    <w:rPr>
                      <w:rFonts w:hint="eastAsia"/>
                      <w:color w:val="auto"/>
                      <w:szCs w:val="21"/>
                    </w:rPr>
                    <w:t>废油桶</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废矿物油</w:t>
                  </w:r>
                </w:p>
              </w:tc>
              <w:tc>
                <w:tcPr>
                  <w:tcW w:w="625" w:type="pct"/>
                  <w:vAlign w:val="center"/>
                </w:tcPr>
                <w:p>
                  <w:pPr>
                    <w:spacing w:line="240" w:lineRule="exact"/>
                    <w:jc w:val="center"/>
                    <w:rPr>
                      <w:color w:val="auto"/>
                      <w:kern w:val="1"/>
                      <w:szCs w:val="21"/>
                    </w:rPr>
                  </w:pPr>
                  <w:r>
                    <w:rPr>
                      <w:rFonts w:hint="eastAsia"/>
                      <w:color w:val="auto"/>
                      <w:kern w:val="1"/>
                      <w:szCs w:val="21"/>
                    </w:rPr>
                    <w:t>0.2</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HW49/900-249-08</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ascii="宋体" w:hAnsi="宋体" w:eastAsia="宋体" w:cs="宋体"/>
                      <w:color w:val="auto"/>
                      <w:kern w:val="1"/>
                      <w:sz w:val="21"/>
                      <w:szCs w:val="21"/>
                      <w:lang w:val="en-US" w:eastAsia="zh-CN" w:bidi="ar-SA"/>
                    </w:rPr>
                  </w:pPr>
                  <w:r>
                    <w:rPr>
                      <w:rFonts w:hint="eastAsia" w:ascii="宋体" w:hAnsi="宋体" w:cs="宋体"/>
                      <w:color w:val="auto"/>
                      <w:kern w:val="1"/>
                      <w:szCs w:val="21"/>
                    </w:rPr>
                    <w:t>16</w:t>
                  </w:r>
                </w:p>
              </w:tc>
              <w:tc>
                <w:tcPr>
                  <w:tcW w:w="767" w:type="pct"/>
                  <w:vAlign w:val="center"/>
                </w:tcPr>
                <w:p>
                  <w:pPr>
                    <w:spacing w:line="300" w:lineRule="exact"/>
                    <w:jc w:val="center"/>
                    <w:rPr>
                      <w:color w:val="auto"/>
                      <w:szCs w:val="21"/>
                    </w:rPr>
                  </w:pPr>
                  <w:r>
                    <w:rPr>
                      <w:rFonts w:hint="eastAsia"/>
                      <w:color w:val="auto"/>
                      <w:szCs w:val="21"/>
                    </w:rPr>
                    <w:t>脱脂槽</w:t>
                  </w:r>
                </w:p>
              </w:tc>
              <w:tc>
                <w:tcPr>
                  <w:tcW w:w="641" w:type="pct"/>
                  <w:vAlign w:val="center"/>
                </w:tcPr>
                <w:p>
                  <w:pPr>
                    <w:spacing w:line="300" w:lineRule="exact"/>
                    <w:jc w:val="center"/>
                    <w:rPr>
                      <w:color w:val="auto"/>
                      <w:szCs w:val="21"/>
                    </w:rPr>
                  </w:pPr>
                  <w:r>
                    <w:rPr>
                      <w:rFonts w:hint="eastAsia"/>
                      <w:color w:val="auto"/>
                      <w:szCs w:val="21"/>
                    </w:rPr>
                    <w:t>脱脂槽残渣</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矿物油</w:t>
                  </w:r>
                </w:p>
              </w:tc>
              <w:tc>
                <w:tcPr>
                  <w:tcW w:w="625" w:type="pct"/>
                  <w:vAlign w:val="center"/>
                </w:tcPr>
                <w:p>
                  <w:pPr>
                    <w:spacing w:line="240" w:lineRule="exact"/>
                    <w:jc w:val="center"/>
                    <w:rPr>
                      <w:color w:val="auto"/>
                      <w:kern w:val="1"/>
                      <w:szCs w:val="21"/>
                    </w:rPr>
                  </w:pPr>
                  <w:r>
                    <w:rPr>
                      <w:rFonts w:hint="eastAsia"/>
                      <w:color w:val="auto"/>
                      <w:kern w:val="1"/>
                      <w:szCs w:val="21"/>
                    </w:rPr>
                    <w:t>0.05</w:t>
                  </w:r>
                </w:p>
              </w:tc>
              <w:tc>
                <w:tcPr>
                  <w:tcW w:w="325" w:type="pct"/>
                  <w:vMerge w:val="continue"/>
                  <w:vAlign w:val="center"/>
                </w:tcPr>
                <w:p>
                  <w:pPr>
                    <w:jc w:val="center"/>
                    <w:rPr>
                      <w:rFonts w:ascii="宋体" w:hAnsi="宋体" w:cs="宋体"/>
                      <w:color w:val="auto"/>
                      <w:szCs w:val="21"/>
                    </w:rPr>
                  </w:pPr>
                </w:p>
              </w:tc>
              <w:tc>
                <w:tcPr>
                  <w:tcW w:w="749" w:type="pct"/>
                  <w:vAlign w:val="center"/>
                </w:tcPr>
                <w:p>
                  <w:pPr>
                    <w:spacing w:line="240" w:lineRule="exact"/>
                    <w:jc w:val="center"/>
                    <w:rPr>
                      <w:color w:val="auto"/>
                      <w:kern w:val="1"/>
                      <w:szCs w:val="21"/>
                    </w:rPr>
                  </w:pPr>
                  <w:r>
                    <w:rPr>
                      <w:rFonts w:hint="eastAsia"/>
                      <w:color w:val="auto"/>
                      <w:kern w:val="1"/>
                      <w:szCs w:val="21"/>
                    </w:rPr>
                    <w:t>HW17/336-064-17</w:t>
                  </w:r>
                </w:p>
              </w:tc>
              <w:tc>
                <w:tcPr>
                  <w:tcW w:w="806" w:type="pct"/>
                  <w:vMerge w:val="continue"/>
                  <w:vAlign w:val="center"/>
                </w:tcPr>
                <w:p>
                  <w:pPr>
                    <w:spacing w:line="240" w:lineRule="exact"/>
                    <w:jc w:val="center"/>
                    <w:rPr>
                      <w:rFonts w:ascii="宋体" w:hAns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7" w:type="pct"/>
                  <w:vAlign w:val="center"/>
                </w:tcPr>
                <w:p>
                  <w:pPr>
                    <w:spacing w:line="240" w:lineRule="exact"/>
                    <w:jc w:val="cente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17</w:t>
                  </w:r>
                </w:p>
              </w:tc>
              <w:tc>
                <w:tcPr>
                  <w:tcW w:w="767" w:type="pct"/>
                  <w:vAlign w:val="center"/>
                </w:tcPr>
                <w:p>
                  <w:pPr>
                    <w:spacing w:line="300" w:lineRule="exact"/>
                    <w:jc w:val="center"/>
                    <w:rPr>
                      <w:color w:val="auto"/>
                      <w:szCs w:val="21"/>
                    </w:rPr>
                  </w:pPr>
                  <w:r>
                    <w:rPr>
                      <w:rFonts w:hint="eastAsia"/>
                      <w:color w:val="auto"/>
                      <w:szCs w:val="21"/>
                    </w:rPr>
                    <w:t>职工生活</w:t>
                  </w:r>
                </w:p>
              </w:tc>
              <w:tc>
                <w:tcPr>
                  <w:tcW w:w="641" w:type="pct"/>
                  <w:vAlign w:val="center"/>
                </w:tcPr>
                <w:p>
                  <w:pPr>
                    <w:spacing w:line="300" w:lineRule="exact"/>
                    <w:jc w:val="center"/>
                    <w:rPr>
                      <w:color w:val="auto"/>
                      <w:szCs w:val="21"/>
                    </w:rPr>
                  </w:pPr>
                  <w:r>
                    <w:rPr>
                      <w:rFonts w:hint="eastAsia"/>
                      <w:color w:val="auto"/>
                      <w:szCs w:val="21"/>
                    </w:rPr>
                    <w:t>生活垃圾</w:t>
                  </w:r>
                </w:p>
              </w:tc>
              <w:tc>
                <w:tcPr>
                  <w:tcW w:w="825"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纸屑、塑料等</w:t>
                  </w:r>
                </w:p>
              </w:tc>
              <w:tc>
                <w:tcPr>
                  <w:tcW w:w="625" w:type="pct"/>
                  <w:vAlign w:val="center"/>
                </w:tcPr>
                <w:p>
                  <w:pPr>
                    <w:spacing w:line="240" w:lineRule="exact"/>
                    <w:jc w:val="center"/>
                    <w:rPr>
                      <w:color w:val="auto"/>
                      <w:kern w:val="1"/>
                      <w:szCs w:val="21"/>
                    </w:rPr>
                  </w:pPr>
                  <w:r>
                    <w:rPr>
                      <w:rFonts w:hint="eastAsia"/>
                      <w:color w:val="auto"/>
                      <w:kern w:val="1"/>
                      <w:szCs w:val="21"/>
                    </w:rPr>
                    <w:t>10.7</w:t>
                  </w:r>
                </w:p>
              </w:tc>
              <w:tc>
                <w:tcPr>
                  <w:tcW w:w="325" w:type="pct"/>
                  <w:vAlign w:val="center"/>
                </w:tcPr>
                <w:p>
                  <w:pPr>
                    <w:jc w:val="center"/>
                    <w:rPr>
                      <w:rFonts w:ascii="宋体" w:hAnsi="宋体" w:cs="宋体"/>
                      <w:color w:val="auto"/>
                      <w:szCs w:val="21"/>
                    </w:rPr>
                  </w:pPr>
                  <w:r>
                    <w:rPr>
                      <w:rFonts w:hint="eastAsia" w:ascii="宋体" w:hAnsi="宋体" w:cs="宋体"/>
                      <w:color w:val="auto"/>
                      <w:szCs w:val="21"/>
                    </w:rPr>
                    <w:t>生活垃圾</w:t>
                  </w:r>
                </w:p>
              </w:tc>
              <w:tc>
                <w:tcPr>
                  <w:tcW w:w="749"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w:t>
                  </w:r>
                </w:p>
              </w:tc>
              <w:tc>
                <w:tcPr>
                  <w:tcW w:w="806" w:type="pct"/>
                  <w:vAlign w:val="center"/>
                </w:tcPr>
                <w:p>
                  <w:pPr>
                    <w:spacing w:line="240" w:lineRule="exact"/>
                    <w:jc w:val="center"/>
                    <w:rPr>
                      <w:rFonts w:ascii="宋体" w:hAnsi="宋体" w:cs="宋体"/>
                      <w:color w:val="auto"/>
                      <w:szCs w:val="21"/>
                    </w:rPr>
                  </w:pPr>
                  <w:r>
                    <w:rPr>
                      <w:rFonts w:hint="eastAsia" w:ascii="宋体" w:hAnsi="宋体" w:cs="宋体"/>
                      <w:color w:val="auto"/>
                      <w:szCs w:val="21"/>
                    </w:rPr>
                    <w:t>环卫部门统一清运</w:t>
                  </w:r>
                </w:p>
              </w:tc>
            </w:tr>
          </w:tbl>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由上表可知，本项目固体废物均得到合理的处理处置，不会对周围环境产生影响。</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2、一般固废暂存要求</w:t>
            </w:r>
          </w:p>
          <w:p>
            <w:pPr>
              <w:spacing w:line="360" w:lineRule="auto"/>
              <w:ind w:firstLine="472" w:firstLineChars="200"/>
              <w:rPr>
                <w:color w:val="auto"/>
                <w:sz w:val="24"/>
                <w:szCs w:val="24"/>
              </w:rPr>
            </w:pPr>
            <w:r>
              <w:rPr>
                <w:color w:val="auto"/>
                <w:sz w:val="24"/>
                <w:szCs w:val="24"/>
              </w:rPr>
              <w:t>本项目各类</w:t>
            </w:r>
            <w:r>
              <w:rPr>
                <w:rFonts w:hint="eastAsia"/>
                <w:color w:val="auto"/>
                <w:sz w:val="24"/>
                <w:szCs w:val="24"/>
              </w:rPr>
              <w:t>一般固体</w:t>
            </w:r>
            <w:r>
              <w:rPr>
                <w:color w:val="auto"/>
                <w:sz w:val="24"/>
                <w:szCs w:val="24"/>
              </w:rPr>
              <w:t>废物分类收集、定点堆放在厂房一般固废暂存区，定期外售综合利用。</w:t>
            </w:r>
            <w:r>
              <w:rPr>
                <w:rFonts w:hint="eastAsia"/>
                <w:color w:val="auto"/>
                <w:sz w:val="24"/>
                <w:szCs w:val="24"/>
              </w:rPr>
              <w:t>通过现场踏勘，聚银公司目前使用的一般固废暂存区已</w:t>
            </w:r>
            <w:r>
              <w:rPr>
                <w:color w:val="auto"/>
                <w:sz w:val="24"/>
                <w:szCs w:val="24"/>
              </w:rPr>
              <w:t>按照《环境保护图形标志-固体废物贮存（处置）场》（GB15562.2-1995）的规定设置环境保护标志，采取</w:t>
            </w:r>
            <w:r>
              <w:rPr>
                <w:rFonts w:hint="eastAsia"/>
                <w:color w:val="auto"/>
                <w:sz w:val="24"/>
                <w:szCs w:val="24"/>
              </w:rPr>
              <w:t>了</w:t>
            </w:r>
            <w:r>
              <w:rPr>
                <w:color w:val="auto"/>
                <w:sz w:val="24"/>
                <w:szCs w:val="24"/>
              </w:rPr>
              <w:t>防扬散、防流失、防渗漏等措施。</w:t>
            </w:r>
            <w:r>
              <w:rPr>
                <w:rFonts w:hint="eastAsia"/>
                <w:color w:val="auto"/>
                <w:sz w:val="24"/>
                <w:szCs w:val="24"/>
              </w:rPr>
              <w:t>一般固废暂存区设有专人管理，严格</w:t>
            </w:r>
            <w:r>
              <w:rPr>
                <w:color w:val="auto"/>
                <w:sz w:val="24"/>
                <w:szCs w:val="24"/>
              </w:rPr>
              <w:t>禁止危险废物和生活垃圾混入一般工业固体废物</w:t>
            </w:r>
            <w:r>
              <w:rPr>
                <w:rFonts w:hint="eastAsia"/>
                <w:color w:val="auto"/>
                <w:sz w:val="24"/>
                <w:szCs w:val="24"/>
              </w:rPr>
              <w:t>暂存区</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经现场踏勘，现有工程的一般固废暂存区的储存面积和储存量可以满足本次扩建工程产生的一般固废的暂存需求，本次评价要求，聚银公司要严格按照《一般工业固体废物管理台账制定指南（试行）》记录一般工业固体废物的台账，至少包括一般工业固体废物的产生清单、流向汇总表、出厂环节记录表、产生环节记录表、储存环节记录表等内容。</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3、危险废物环境影响分析</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（1）危险废物基本情况</w:t>
            </w:r>
          </w:p>
          <w:p>
            <w:pPr>
              <w:pStyle w:val="24"/>
              <w:spacing w:line="360" w:lineRule="auto"/>
              <w:ind w:firstLine="472" w:firstLineChars="200"/>
              <w:rPr>
                <w:rFonts w:hAnsiTheme="minorEastAsia" w:eastAsiaTheme="minorEastAsia"/>
                <w:color w:val="auto"/>
                <w:szCs w:val="24"/>
              </w:rPr>
            </w:pPr>
            <w:r>
              <w:rPr>
                <w:rFonts w:hint="eastAsia" w:hAnsiTheme="minorEastAsia" w:eastAsiaTheme="minorEastAsia"/>
                <w:color w:val="auto"/>
                <w:szCs w:val="24"/>
              </w:rPr>
              <w:t>根据《建设项目危险废物环境影响评价指南》要求，本评价明确危险废物的名称、数量、类别、形态、危险特性和污染防治措施等内容。项目危险废物基本情况详见表4-17。</w:t>
            </w:r>
          </w:p>
          <w:p>
            <w:pPr>
              <w:spacing w:line="360" w:lineRule="auto"/>
              <w:jc w:val="center"/>
              <w:rPr>
                <w:rFonts w:ascii="宋体" w:hAnsi="宋体"/>
                <w:b/>
                <w:color w:val="auto"/>
                <w:sz w:val="24"/>
              </w:rPr>
            </w:pPr>
            <w:r>
              <w:rPr>
                <w:rFonts w:ascii="宋体" w:hAnsi="宋体"/>
                <w:b/>
                <w:color w:val="auto"/>
                <w:sz w:val="24"/>
              </w:rPr>
              <w:t>表</w:t>
            </w:r>
            <w:r>
              <w:rPr>
                <w:rFonts w:hint="eastAsia"/>
                <w:b/>
                <w:color w:val="auto"/>
                <w:sz w:val="24"/>
              </w:rPr>
              <w:t>4-17</w:t>
            </w:r>
            <w:r>
              <w:rPr>
                <w:rFonts w:hint="eastAsia" w:ascii="宋体" w:hAnsi="宋体"/>
                <w:b/>
                <w:color w:val="auto"/>
                <w:sz w:val="24"/>
              </w:rPr>
              <w:t>危险废物分析汇总表</w:t>
            </w:r>
          </w:p>
          <w:tbl>
            <w:tblPr>
              <w:tblStyle w:val="19"/>
              <w:tblW w:w="499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360"/>
              <w:gridCol w:w="825"/>
              <w:gridCol w:w="1937"/>
              <w:gridCol w:w="1191"/>
              <w:gridCol w:w="1418"/>
              <w:gridCol w:w="622"/>
              <w:gridCol w:w="1228"/>
              <w:gridCol w:w="1297"/>
              <w:gridCol w:w="851"/>
              <w:gridCol w:w="735"/>
              <w:gridCol w:w="10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序号</w:t>
                  </w:r>
                </w:p>
              </w:tc>
              <w:tc>
                <w:tcPr>
                  <w:tcW w:w="51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危险废物名称</w:t>
                  </w:r>
                </w:p>
              </w:tc>
              <w:tc>
                <w:tcPr>
                  <w:tcW w:w="313"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危险废物类别</w:t>
                  </w:r>
                </w:p>
              </w:tc>
              <w:tc>
                <w:tcPr>
                  <w:tcW w:w="735"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危险废物代码</w:t>
                  </w:r>
                </w:p>
              </w:tc>
              <w:tc>
                <w:tcPr>
                  <w:tcW w:w="45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产生量（t/a）</w:t>
                  </w:r>
                </w:p>
              </w:tc>
              <w:tc>
                <w:tcPr>
                  <w:tcW w:w="538"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产生工序</w:t>
                  </w:r>
                  <w:r>
                    <w:rPr>
                      <w:rFonts w:hint="eastAsia"/>
                      <w:color w:val="auto"/>
                      <w:kern w:val="0"/>
                      <w:sz w:val="18"/>
                      <w:szCs w:val="18"/>
                    </w:rPr>
                    <w:t>/</w:t>
                  </w:r>
                  <w:r>
                    <w:rPr>
                      <w:color w:val="auto"/>
                      <w:kern w:val="0"/>
                      <w:sz w:val="18"/>
                      <w:szCs w:val="18"/>
                    </w:rPr>
                    <w:t>装置</w:t>
                  </w:r>
                </w:p>
              </w:tc>
              <w:tc>
                <w:tcPr>
                  <w:tcW w:w="23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形态</w:t>
                  </w:r>
                </w:p>
              </w:tc>
              <w:tc>
                <w:tcPr>
                  <w:tcW w:w="466"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主要</w:t>
                  </w:r>
                </w:p>
                <w:p>
                  <w:pPr>
                    <w:topLinePunct/>
                    <w:adjustRightInd w:val="0"/>
                    <w:snapToGrid w:val="0"/>
                    <w:spacing w:line="240" w:lineRule="exact"/>
                    <w:jc w:val="center"/>
                    <w:rPr>
                      <w:color w:val="auto"/>
                      <w:kern w:val="0"/>
                      <w:sz w:val="18"/>
                      <w:szCs w:val="18"/>
                    </w:rPr>
                  </w:pPr>
                  <w:r>
                    <w:rPr>
                      <w:color w:val="auto"/>
                      <w:kern w:val="0"/>
                      <w:sz w:val="18"/>
                      <w:szCs w:val="18"/>
                    </w:rPr>
                    <w:t>成分</w:t>
                  </w:r>
                </w:p>
              </w:tc>
              <w:tc>
                <w:tcPr>
                  <w:tcW w:w="49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有害成分</w:t>
                  </w:r>
                </w:p>
              </w:tc>
              <w:tc>
                <w:tcPr>
                  <w:tcW w:w="323" w:type="pct"/>
                  <w:vAlign w:val="center"/>
                </w:tcPr>
                <w:p>
                  <w:pPr>
                    <w:topLinePunct/>
                    <w:adjustRightInd w:val="0"/>
                    <w:snapToGrid w:val="0"/>
                    <w:spacing w:line="240" w:lineRule="exact"/>
                    <w:jc w:val="center"/>
                    <w:rPr>
                      <w:color w:val="auto"/>
                      <w:kern w:val="0"/>
                      <w:sz w:val="18"/>
                      <w:szCs w:val="18"/>
                    </w:rPr>
                  </w:pPr>
                  <w:r>
                    <w:rPr>
                      <w:color w:val="auto"/>
                      <w:kern w:val="0"/>
                      <w:sz w:val="18"/>
                      <w:szCs w:val="18"/>
                    </w:rPr>
                    <w:t>产废周期</w:t>
                  </w:r>
                </w:p>
              </w:tc>
              <w:tc>
                <w:tcPr>
                  <w:tcW w:w="279" w:type="pct"/>
                  <w:vAlign w:val="center"/>
                </w:tcPr>
                <w:p>
                  <w:pPr>
                    <w:topLinePunct/>
                    <w:adjustRightInd w:val="0"/>
                    <w:snapToGrid w:val="0"/>
                    <w:spacing w:line="240" w:lineRule="exact"/>
                    <w:jc w:val="center"/>
                    <w:rPr>
                      <w:color w:val="auto"/>
                      <w:kern w:val="0"/>
                      <w:sz w:val="18"/>
                      <w:szCs w:val="18"/>
                    </w:rPr>
                  </w:pPr>
                  <w:r>
                    <w:rPr>
                      <w:color w:val="auto"/>
                      <w:kern w:val="0"/>
                      <w:sz w:val="18"/>
                      <w:szCs w:val="18"/>
                    </w:rPr>
                    <w:t>危险</w:t>
                  </w:r>
                </w:p>
                <w:p>
                  <w:pPr>
                    <w:topLinePunct/>
                    <w:adjustRightInd w:val="0"/>
                    <w:snapToGrid w:val="0"/>
                    <w:spacing w:line="240" w:lineRule="exact"/>
                    <w:jc w:val="center"/>
                    <w:rPr>
                      <w:color w:val="auto"/>
                      <w:kern w:val="0"/>
                      <w:sz w:val="18"/>
                      <w:szCs w:val="18"/>
                    </w:rPr>
                  </w:pPr>
                  <w:r>
                    <w:rPr>
                      <w:color w:val="auto"/>
                      <w:kern w:val="0"/>
                      <w:sz w:val="18"/>
                      <w:szCs w:val="18"/>
                    </w:rPr>
                    <w:t>特性</w:t>
                  </w:r>
                </w:p>
              </w:tc>
              <w:tc>
                <w:tcPr>
                  <w:tcW w:w="412" w:type="pct"/>
                  <w:vAlign w:val="center"/>
                </w:tcPr>
                <w:p>
                  <w:pPr>
                    <w:topLinePunct/>
                    <w:adjustRightInd w:val="0"/>
                    <w:snapToGrid w:val="0"/>
                    <w:spacing w:line="240" w:lineRule="exact"/>
                    <w:jc w:val="center"/>
                    <w:rPr>
                      <w:color w:val="auto"/>
                      <w:kern w:val="0"/>
                      <w:sz w:val="18"/>
                      <w:szCs w:val="18"/>
                    </w:rPr>
                  </w:pPr>
                  <w:r>
                    <w:rPr>
                      <w:color w:val="auto"/>
                      <w:kern w:val="0"/>
                      <w:sz w:val="18"/>
                      <w:szCs w:val="18"/>
                    </w:rPr>
                    <w:t>污染防治措施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1</w:t>
                  </w:r>
                </w:p>
              </w:tc>
              <w:tc>
                <w:tcPr>
                  <w:tcW w:w="516" w:type="pct"/>
                  <w:vAlign w:val="center"/>
                </w:tcPr>
                <w:p>
                  <w:pPr>
                    <w:spacing w:line="300" w:lineRule="exact"/>
                    <w:jc w:val="center"/>
                    <w:rPr>
                      <w:color w:val="auto"/>
                      <w:kern w:val="1"/>
                      <w:szCs w:val="21"/>
                    </w:rPr>
                  </w:pPr>
                  <w:r>
                    <w:rPr>
                      <w:rFonts w:hint="eastAsia"/>
                      <w:color w:val="auto"/>
                      <w:szCs w:val="21"/>
                    </w:rPr>
                    <w:t>废活性炭</w:t>
                  </w:r>
                </w:p>
              </w:tc>
              <w:tc>
                <w:tcPr>
                  <w:tcW w:w="313" w:type="pct"/>
                  <w:vAlign w:val="center"/>
                </w:tcPr>
                <w:p>
                  <w:pPr>
                    <w:jc w:val="center"/>
                    <w:rPr>
                      <w:color w:val="auto"/>
                      <w:kern w:val="1"/>
                      <w:sz w:val="18"/>
                      <w:szCs w:val="18"/>
                    </w:rPr>
                  </w:pPr>
                  <w:r>
                    <w:rPr>
                      <w:rFonts w:hint="eastAsia"/>
                      <w:color w:val="auto"/>
                      <w:szCs w:val="21"/>
                    </w:rPr>
                    <w:t>HW49</w:t>
                  </w:r>
                </w:p>
              </w:tc>
              <w:tc>
                <w:tcPr>
                  <w:tcW w:w="735" w:type="pct"/>
                  <w:vAlign w:val="center"/>
                </w:tcPr>
                <w:p>
                  <w:pPr>
                    <w:spacing w:line="240" w:lineRule="exact"/>
                    <w:jc w:val="center"/>
                    <w:rPr>
                      <w:color w:val="auto"/>
                      <w:kern w:val="1"/>
                      <w:sz w:val="18"/>
                      <w:szCs w:val="18"/>
                    </w:rPr>
                  </w:pPr>
                  <w:r>
                    <w:rPr>
                      <w:rFonts w:hint="eastAsia"/>
                      <w:color w:val="auto"/>
                      <w:kern w:val="1"/>
                      <w:szCs w:val="21"/>
                    </w:rPr>
                    <w:t>HW49/900-039-49</w:t>
                  </w:r>
                </w:p>
              </w:tc>
              <w:tc>
                <w:tcPr>
                  <w:tcW w:w="452" w:type="pct"/>
                  <w:vAlign w:val="center"/>
                </w:tcPr>
                <w:p>
                  <w:pPr>
                    <w:spacing w:line="240" w:lineRule="exact"/>
                    <w:jc w:val="center"/>
                    <w:rPr>
                      <w:color w:val="auto"/>
                      <w:kern w:val="1"/>
                      <w:szCs w:val="21"/>
                    </w:rPr>
                  </w:pPr>
                  <w:r>
                    <w:rPr>
                      <w:rFonts w:hint="eastAsia"/>
                      <w:color w:val="auto"/>
                      <w:kern w:val="1"/>
                      <w:szCs w:val="21"/>
                    </w:rPr>
                    <w:t>0.5</w:t>
                  </w:r>
                </w:p>
              </w:tc>
              <w:tc>
                <w:tcPr>
                  <w:tcW w:w="538" w:type="pct"/>
                  <w:vMerge w:val="restart"/>
                  <w:vAlign w:val="center"/>
                </w:tcPr>
                <w:p>
                  <w:pPr>
                    <w:spacing w:line="300" w:lineRule="exact"/>
                    <w:jc w:val="center"/>
                    <w:rPr>
                      <w:color w:val="auto"/>
                      <w:kern w:val="1"/>
                      <w:sz w:val="18"/>
                      <w:szCs w:val="18"/>
                    </w:rPr>
                  </w:pPr>
                  <w:r>
                    <w:rPr>
                      <w:rFonts w:hint="eastAsia"/>
                      <w:color w:val="auto"/>
                      <w:kern w:val="1"/>
                      <w:sz w:val="18"/>
                      <w:szCs w:val="18"/>
                    </w:rPr>
                    <w:t>VOCs治理设备</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492" w:type="pct"/>
                  <w:vAlign w:val="center"/>
                </w:tcPr>
                <w:p>
                  <w:pPr>
                    <w:spacing w:line="300" w:lineRule="exact"/>
                    <w:jc w:val="center"/>
                    <w:rPr>
                      <w:color w:val="auto"/>
                      <w:kern w:val="0"/>
                      <w:sz w:val="18"/>
                      <w:szCs w:val="18"/>
                    </w:rPr>
                  </w:pPr>
                  <w:r>
                    <w:rPr>
                      <w:rFonts w:hint="eastAsia" w:ascii="宋体" w:hAnsi="宋体" w:cs="宋体"/>
                      <w:color w:val="auto"/>
                      <w:szCs w:val="21"/>
                    </w:rPr>
                    <w:t>VOCs</w:t>
                  </w:r>
                </w:p>
              </w:tc>
              <w:tc>
                <w:tcPr>
                  <w:tcW w:w="323" w:type="pct"/>
                  <w:vAlign w:val="center"/>
                </w:tcPr>
                <w:p>
                  <w:pPr>
                    <w:jc w:val="center"/>
                    <w:rPr>
                      <w:color w:val="auto"/>
                      <w:kern w:val="0"/>
                      <w:sz w:val="18"/>
                      <w:szCs w:val="18"/>
                    </w:rPr>
                  </w:pPr>
                  <w:r>
                    <w:rPr>
                      <w:rFonts w:hint="eastAsia"/>
                      <w:color w:val="auto"/>
                      <w:kern w:val="0"/>
                      <w:sz w:val="18"/>
                      <w:szCs w:val="18"/>
                    </w:rPr>
                    <w:t>1年</w:t>
                  </w:r>
                </w:p>
              </w:tc>
              <w:tc>
                <w:tcPr>
                  <w:tcW w:w="279" w:type="pct"/>
                  <w:vAlign w:val="center"/>
                </w:tcPr>
                <w:p>
                  <w:pPr>
                    <w:jc w:val="center"/>
                    <w:rPr>
                      <w:color w:val="auto"/>
                      <w:kern w:val="0"/>
                      <w:sz w:val="18"/>
                      <w:szCs w:val="18"/>
                    </w:rPr>
                  </w:pPr>
                  <w:r>
                    <w:rPr>
                      <w:rFonts w:hint="eastAsia"/>
                      <w:color w:val="auto"/>
                      <w:szCs w:val="21"/>
                    </w:rPr>
                    <w:t>T/In</w:t>
                  </w:r>
                </w:p>
              </w:tc>
              <w:tc>
                <w:tcPr>
                  <w:tcW w:w="412" w:type="pct"/>
                  <w:vMerge w:val="restar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暂存危废间，定期委托有资质单位处置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2</w:t>
                  </w:r>
                </w:p>
              </w:tc>
              <w:tc>
                <w:tcPr>
                  <w:tcW w:w="516" w:type="pct"/>
                  <w:vAlign w:val="center"/>
                </w:tcPr>
                <w:p>
                  <w:pPr>
                    <w:spacing w:line="300" w:lineRule="exact"/>
                    <w:jc w:val="center"/>
                    <w:rPr>
                      <w:color w:val="auto"/>
                      <w:kern w:val="1"/>
                      <w:szCs w:val="21"/>
                    </w:rPr>
                  </w:pPr>
                  <w:r>
                    <w:rPr>
                      <w:rFonts w:hint="eastAsia"/>
                      <w:color w:val="auto"/>
                      <w:szCs w:val="21"/>
                    </w:rPr>
                    <w:t>废过滤棉</w:t>
                  </w:r>
                </w:p>
              </w:tc>
              <w:tc>
                <w:tcPr>
                  <w:tcW w:w="313" w:type="pct"/>
                  <w:vAlign w:val="center"/>
                </w:tcPr>
                <w:p>
                  <w:pPr>
                    <w:jc w:val="center"/>
                    <w:rPr>
                      <w:color w:val="auto"/>
                      <w:kern w:val="1"/>
                      <w:sz w:val="18"/>
                      <w:szCs w:val="18"/>
                    </w:rPr>
                  </w:pPr>
                  <w:r>
                    <w:rPr>
                      <w:rFonts w:hint="eastAsia"/>
                      <w:color w:val="auto"/>
                      <w:szCs w:val="21"/>
                    </w:rPr>
                    <w:t>HW49</w:t>
                  </w:r>
                </w:p>
              </w:tc>
              <w:tc>
                <w:tcPr>
                  <w:tcW w:w="735" w:type="pct"/>
                  <w:vAlign w:val="center"/>
                </w:tcPr>
                <w:p>
                  <w:pPr>
                    <w:spacing w:line="240" w:lineRule="exact"/>
                    <w:jc w:val="center"/>
                    <w:rPr>
                      <w:color w:val="auto"/>
                      <w:kern w:val="1"/>
                      <w:szCs w:val="21"/>
                    </w:rPr>
                  </w:pPr>
                  <w:r>
                    <w:rPr>
                      <w:rFonts w:hint="eastAsia"/>
                      <w:color w:val="auto"/>
                      <w:kern w:val="1"/>
                      <w:szCs w:val="21"/>
                    </w:rPr>
                    <w:t>HW49/900-041-49</w:t>
                  </w:r>
                </w:p>
              </w:tc>
              <w:tc>
                <w:tcPr>
                  <w:tcW w:w="452" w:type="pct"/>
                  <w:vAlign w:val="center"/>
                </w:tcPr>
                <w:p>
                  <w:pPr>
                    <w:spacing w:line="240" w:lineRule="exact"/>
                    <w:jc w:val="center"/>
                    <w:rPr>
                      <w:color w:val="auto"/>
                      <w:kern w:val="1"/>
                      <w:szCs w:val="21"/>
                    </w:rPr>
                  </w:pPr>
                  <w:r>
                    <w:rPr>
                      <w:rFonts w:hint="eastAsia"/>
                      <w:color w:val="auto"/>
                      <w:kern w:val="1"/>
                      <w:szCs w:val="21"/>
                    </w:rPr>
                    <w:t>0.2</w:t>
                  </w:r>
                </w:p>
              </w:tc>
              <w:tc>
                <w:tcPr>
                  <w:tcW w:w="538" w:type="pct"/>
                  <w:vMerge w:val="continue"/>
                  <w:vAlign w:val="center"/>
                </w:tcPr>
                <w:p>
                  <w:pPr>
                    <w:spacing w:line="300" w:lineRule="exact"/>
                    <w:jc w:val="center"/>
                    <w:rPr>
                      <w:color w:val="auto"/>
                      <w:kern w:val="1"/>
                      <w:sz w:val="18"/>
                      <w:szCs w:val="18"/>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spacing w:line="300" w:lineRule="exact"/>
                    <w:jc w:val="center"/>
                    <w:rPr>
                      <w:rFonts w:ascii="宋体" w:hAnsi="宋体" w:cs="宋体"/>
                      <w:color w:val="auto"/>
                      <w:szCs w:val="21"/>
                    </w:rPr>
                  </w:pPr>
                  <w:r>
                    <w:rPr>
                      <w:rFonts w:hint="eastAsia" w:ascii="宋体" w:hAnsi="宋体" w:cs="宋体"/>
                      <w:color w:val="auto"/>
                      <w:szCs w:val="21"/>
                    </w:rPr>
                    <w:t>VOCs</w:t>
                  </w:r>
                </w:p>
              </w:tc>
              <w:tc>
                <w:tcPr>
                  <w:tcW w:w="492" w:type="pct"/>
                  <w:vAlign w:val="center"/>
                </w:tcPr>
                <w:p>
                  <w:pPr>
                    <w:spacing w:line="300" w:lineRule="exact"/>
                    <w:jc w:val="center"/>
                    <w:rPr>
                      <w:color w:val="auto"/>
                      <w:sz w:val="18"/>
                      <w:szCs w:val="18"/>
                    </w:rPr>
                  </w:pPr>
                  <w:r>
                    <w:rPr>
                      <w:rFonts w:hint="eastAsia" w:ascii="宋体" w:hAnsi="宋体" w:cs="宋体"/>
                      <w:color w:val="auto"/>
                      <w:szCs w:val="21"/>
                    </w:rPr>
                    <w:t>VOCs</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T/In</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3</w:t>
                  </w:r>
                </w:p>
              </w:tc>
              <w:tc>
                <w:tcPr>
                  <w:tcW w:w="516" w:type="pct"/>
                  <w:vAlign w:val="center"/>
                </w:tcPr>
                <w:p>
                  <w:pPr>
                    <w:spacing w:line="300" w:lineRule="exact"/>
                    <w:jc w:val="center"/>
                    <w:rPr>
                      <w:color w:val="auto"/>
                      <w:kern w:val="1"/>
                      <w:szCs w:val="21"/>
                    </w:rPr>
                  </w:pPr>
                  <w:r>
                    <w:rPr>
                      <w:rFonts w:hint="eastAsia"/>
                      <w:color w:val="auto"/>
                      <w:szCs w:val="21"/>
                    </w:rPr>
                    <w:t>污泥</w:t>
                  </w:r>
                </w:p>
              </w:tc>
              <w:tc>
                <w:tcPr>
                  <w:tcW w:w="313" w:type="pct"/>
                  <w:vAlign w:val="center"/>
                </w:tcPr>
                <w:p>
                  <w:pPr>
                    <w:pStyle w:val="35"/>
                    <w:spacing w:line="280" w:lineRule="exact"/>
                    <w:jc w:val="center"/>
                    <w:rPr>
                      <w:color w:val="auto"/>
                      <w:kern w:val="1"/>
                      <w:sz w:val="18"/>
                      <w:szCs w:val="18"/>
                    </w:rPr>
                  </w:pPr>
                  <w:r>
                    <w:rPr>
                      <w:b w:val="0"/>
                      <w:color w:val="auto"/>
                      <w:sz w:val="21"/>
                      <w:szCs w:val="21"/>
                    </w:rPr>
                    <w:t>HW</w:t>
                  </w:r>
                  <w:r>
                    <w:rPr>
                      <w:rFonts w:hint="eastAsia"/>
                      <w:b w:val="0"/>
                      <w:color w:val="auto"/>
                      <w:sz w:val="21"/>
                      <w:szCs w:val="21"/>
                    </w:rPr>
                    <w:t>17</w:t>
                  </w:r>
                </w:p>
              </w:tc>
              <w:tc>
                <w:tcPr>
                  <w:tcW w:w="735" w:type="pct"/>
                  <w:vAlign w:val="center"/>
                </w:tcPr>
                <w:p>
                  <w:pPr>
                    <w:spacing w:line="240" w:lineRule="exact"/>
                    <w:jc w:val="center"/>
                    <w:rPr>
                      <w:color w:val="auto"/>
                      <w:kern w:val="1"/>
                      <w:szCs w:val="21"/>
                    </w:rPr>
                  </w:pPr>
                  <w:r>
                    <w:rPr>
                      <w:rFonts w:hint="eastAsia"/>
                      <w:color w:val="auto"/>
                      <w:kern w:val="1"/>
                      <w:szCs w:val="21"/>
                    </w:rPr>
                    <w:t>HW17/336-064-17</w:t>
                  </w:r>
                </w:p>
              </w:tc>
              <w:tc>
                <w:tcPr>
                  <w:tcW w:w="452" w:type="pct"/>
                  <w:vAlign w:val="center"/>
                </w:tcPr>
                <w:p>
                  <w:pPr>
                    <w:spacing w:line="240" w:lineRule="exact"/>
                    <w:jc w:val="center"/>
                    <w:rPr>
                      <w:color w:val="auto"/>
                      <w:kern w:val="1"/>
                      <w:szCs w:val="21"/>
                    </w:rPr>
                  </w:pPr>
                  <w:r>
                    <w:rPr>
                      <w:rFonts w:hint="eastAsia"/>
                      <w:color w:val="auto"/>
                      <w:kern w:val="1"/>
                      <w:szCs w:val="21"/>
                    </w:rPr>
                    <w:t>5.5</w:t>
                  </w:r>
                </w:p>
              </w:tc>
              <w:tc>
                <w:tcPr>
                  <w:tcW w:w="538" w:type="pct"/>
                  <w:vMerge w:val="restart"/>
                  <w:vAlign w:val="center"/>
                </w:tcPr>
                <w:p>
                  <w:pPr>
                    <w:spacing w:line="300" w:lineRule="exact"/>
                    <w:jc w:val="center"/>
                    <w:rPr>
                      <w:color w:val="auto"/>
                      <w:kern w:val="1"/>
                      <w:sz w:val="18"/>
                      <w:szCs w:val="18"/>
                    </w:rPr>
                  </w:pPr>
                  <w:r>
                    <w:rPr>
                      <w:rFonts w:hint="eastAsia"/>
                      <w:color w:val="auto"/>
                      <w:kern w:val="1"/>
                      <w:sz w:val="18"/>
                      <w:szCs w:val="18"/>
                    </w:rPr>
                    <w:t>污水处理站</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pStyle w:val="35"/>
                    <w:spacing w:line="280" w:lineRule="exact"/>
                    <w:jc w:val="center"/>
                    <w:rPr>
                      <w:color w:val="auto"/>
                      <w:szCs w:val="21"/>
                    </w:rPr>
                  </w:pPr>
                  <w:r>
                    <w:rPr>
                      <w:rFonts w:hint="eastAsia"/>
                      <w:b w:val="0"/>
                      <w:color w:val="auto"/>
                      <w:sz w:val="21"/>
                      <w:szCs w:val="21"/>
                    </w:rPr>
                    <w:t>T/C</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4</w:t>
                  </w:r>
                </w:p>
              </w:tc>
              <w:tc>
                <w:tcPr>
                  <w:tcW w:w="516" w:type="pct"/>
                  <w:vAlign w:val="center"/>
                </w:tcPr>
                <w:p>
                  <w:pPr>
                    <w:spacing w:line="300" w:lineRule="exact"/>
                    <w:jc w:val="center"/>
                    <w:rPr>
                      <w:color w:val="auto"/>
                      <w:kern w:val="1"/>
                      <w:szCs w:val="21"/>
                    </w:rPr>
                  </w:pPr>
                  <w:r>
                    <w:rPr>
                      <w:rFonts w:hint="eastAsia"/>
                      <w:color w:val="auto"/>
                      <w:szCs w:val="21"/>
                    </w:rPr>
                    <w:t>气浮机废油</w:t>
                  </w:r>
                </w:p>
              </w:tc>
              <w:tc>
                <w:tcPr>
                  <w:tcW w:w="313" w:type="pct"/>
                  <w:vAlign w:val="center"/>
                </w:tcPr>
                <w:p>
                  <w:pPr>
                    <w:pStyle w:val="35"/>
                    <w:spacing w:line="280" w:lineRule="exact"/>
                    <w:jc w:val="center"/>
                    <w:rPr>
                      <w:color w:val="auto"/>
                      <w:kern w:val="1"/>
                      <w:sz w:val="18"/>
                      <w:szCs w:val="18"/>
                    </w:rPr>
                  </w:pPr>
                  <w:r>
                    <w:rPr>
                      <w:b w:val="0"/>
                      <w:color w:val="auto"/>
                      <w:sz w:val="21"/>
                      <w:szCs w:val="21"/>
                    </w:rPr>
                    <w:t>HW08</w:t>
                  </w:r>
                </w:p>
              </w:tc>
              <w:tc>
                <w:tcPr>
                  <w:tcW w:w="735" w:type="pct"/>
                  <w:vAlign w:val="center"/>
                </w:tcPr>
                <w:p>
                  <w:pPr>
                    <w:spacing w:line="240" w:lineRule="exact"/>
                    <w:jc w:val="center"/>
                    <w:rPr>
                      <w:color w:val="auto"/>
                      <w:kern w:val="1"/>
                      <w:szCs w:val="21"/>
                    </w:rPr>
                  </w:pPr>
                  <w:r>
                    <w:rPr>
                      <w:rFonts w:hint="eastAsia"/>
                      <w:color w:val="auto"/>
                      <w:kern w:val="1"/>
                      <w:szCs w:val="21"/>
                    </w:rPr>
                    <w:t>HW49/900-210-08</w:t>
                  </w:r>
                </w:p>
              </w:tc>
              <w:tc>
                <w:tcPr>
                  <w:tcW w:w="452" w:type="pct"/>
                  <w:vAlign w:val="center"/>
                </w:tcPr>
                <w:p>
                  <w:pPr>
                    <w:spacing w:line="240" w:lineRule="exact"/>
                    <w:jc w:val="center"/>
                    <w:rPr>
                      <w:color w:val="auto"/>
                      <w:kern w:val="1"/>
                      <w:szCs w:val="21"/>
                    </w:rPr>
                  </w:pPr>
                  <w:r>
                    <w:rPr>
                      <w:rFonts w:hint="eastAsia"/>
                      <w:color w:val="auto"/>
                      <w:kern w:val="1"/>
                      <w:szCs w:val="21"/>
                    </w:rPr>
                    <w:t>0.5</w:t>
                  </w:r>
                </w:p>
              </w:tc>
              <w:tc>
                <w:tcPr>
                  <w:tcW w:w="538" w:type="pct"/>
                  <w:vMerge w:val="continue"/>
                  <w:vAlign w:val="center"/>
                </w:tcPr>
                <w:p>
                  <w:pPr>
                    <w:spacing w:line="300" w:lineRule="exact"/>
                    <w:jc w:val="center"/>
                    <w:rPr>
                      <w:color w:val="auto"/>
                      <w:kern w:val="1"/>
                      <w:sz w:val="18"/>
                      <w:szCs w:val="18"/>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液态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pStyle w:val="35"/>
                    <w:spacing w:line="280" w:lineRule="exact"/>
                    <w:jc w:val="center"/>
                    <w:rPr>
                      <w:color w:val="auto"/>
                      <w:szCs w:val="21"/>
                    </w:rPr>
                  </w:pPr>
                  <w:r>
                    <w:rPr>
                      <w:rFonts w:hint="eastAsia"/>
                      <w:b w:val="0"/>
                      <w:color w:val="auto"/>
                      <w:sz w:val="21"/>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5</w:t>
                  </w:r>
                </w:p>
              </w:tc>
              <w:tc>
                <w:tcPr>
                  <w:tcW w:w="516" w:type="pct"/>
                  <w:vAlign w:val="center"/>
                </w:tcPr>
                <w:p>
                  <w:pPr>
                    <w:spacing w:line="300" w:lineRule="exact"/>
                    <w:jc w:val="center"/>
                    <w:rPr>
                      <w:color w:val="auto"/>
                      <w:kern w:val="1"/>
                      <w:szCs w:val="21"/>
                    </w:rPr>
                  </w:pPr>
                  <w:r>
                    <w:rPr>
                      <w:rFonts w:hint="eastAsia"/>
                      <w:color w:val="auto"/>
                      <w:szCs w:val="21"/>
                    </w:rPr>
                    <w:t>废液压油</w:t>
                  </w:r>
                </w:p>
              </w:tc>
              <w:tc>
                <w:tcPr>
                  <w:tcW w:w="313" w:type="pct"/>
                  <w:vAlign w:val="center"/>
                </w:tcPr>
                <w:p>
                  <w:pPr>
                    <w:jc w:val="center"/>
                    <w:rPr>
                      <w:color w:val="auto"/>
                      <w:kern w:val="1"/>
                      <w:sz w:val="18"/>
                      <w:szCs w:val="18"/>
                    </w:rPr>
                  </w:pPr>
                  <w:r>
                    <w:rPr>
                      <w:rFonts w:hint="eastAsia"/>
                      <w:color w:val="auto"/>
                      <w:szCs w:val="21"/>
                    </w:rPr>
                    <w:t>HW08</w:t>
                  </w:r>
                </w:p>
              </w:tc>
              <w:tc>
                <w:tcPr>
                  <w:tcW w:w="735" w:type="pct"/>
                  <w:vAlign w:val="center"/>
                </w:tcPr>
                <w:p>
                  <w:pPr>
                    <w:spacing w:line="240" w:lineRule="exact"/>
                    <w:jc w:val="center"/>
                    <w:rPr>
                      <w:color w:val="auto"/>
                      <w:kern w:val="1"/>
                      <w:szCs w:val="21"/>
                    </w:rPr>
                  </w:pPr>
                  <w:r>
                    <w:rPr>
                      <w:rFonts w:hint="eastAsia"/>
                      <w:color w:val="auto"/>
                      <w:kern w:val="1"/>
                      <w:szCs w:val="21"/>
                    </w:rPr>
                    <w:t>HW49/900-218-08</w:t>
                  </w:r>
                </w:p>
              </w:tc>
              <w:tc>
                <w:tcPr>
                  <w:tcW w:w="452" w:type="pct"/>
                  <w:vAlign w:val="center"/>
                </w:tcPr>
                <w:p>
                  <w:pPr>
                    <w:spacing w:line="240" w:lineRule="exact"/>
                    <w:jc w:val="center"/>
                    <w:rPr>
                      <w:color w:val="auto"/>
                      <w:kern w:val="1"/>
                      <w:szCs w:val="21"/>
                    </w:rPr>
                  </w:pPr>
                  <w:r>
                    <w:rPr>
                      <w:rFonts w:hint="eastAsia"/>
                      <w:color w:val="auto"/>
                      <w:kern w:val="1"/>
                      <w:szCs w:val="21"/>
                    </w:rPr>
                    <w:t>0.5</w:t>
                  </w:r>
                </w:p>
              </w:tc>
              <w:tc>
                <w:tcPr>
                  <w:tcW w:w="538" w:type="pct"/>
                  <w:vMerge w:val="restart"/>
                  <w:vAlign w:val="center"/>
                </w:tcPr>
                <w:p>
                  <w:pPr>
                    <w:spacing w:line="240" w:lineRule="exact"/>
                    <w:jc w:val="center"/>
                    <w:rPr>
                      <w:color w:val="auto"/>
                      <w:kern w:val="1"/>
                      <w:szCs w:val="21"/>
                    </w:rPr>
                  </w:pPr>
                  <w:r>
                    <w:rPr>
                      <w:rFonts w:hint="eastAsia"/>
                      <w:color w:val="auto"/>
                      <w:kern w:val="1"/>
                      <w:szCs w:val="21"/>
                    </w:rPr>
                    <w:t>设备液压</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液态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szCs w:val="21"/>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6</w:t>
                  </w:r>
                </w:p>
              </w:tc>
              <w:tc>
                <w:tcPr>
                  <w:tcW w:w="516" w:type="pct"/>
                  <w:vAlign w:val="center"/>
                </w:tcPr>
                <w:p>
                  <w:pPr>
                    <w:spacing w:line="300" w:lineRule="exact"/>
                    <w:jc w:val="center"/>
                    <w:rPr>
                      <w:color w:val="auto"/>
                      <w:kern w:val="1"/>
                      <w:szCs w:val="21"/>
                    </w:rPr>
                  </w:pPr>
                  <w:r>
                    <w:rPr>
                      <w:rFonts w:hint="eastAsia"/>
                      <w:color w:val="auto"/>
                      <w:szCs w:val="21"/>
                    </w:rPr>
                    <w:t>废油桶</w:t>
                  </w:r>
                </w:p>
              </w:tc>
              <w:tc>
                <w:tcPr>
                  <w:tcW w:w="313" w:type="pct"/>
                  <w:vAlign w:val="center"/>
                </w:tcPr>
                <w:p>
                  <w:pPr>
                    <w:jc w:val="center"/>
                    <w:rPr>
                      <w:color w:val="auto"/>
                      <w:szCs w:val="21"/>
                    </w:rPr>
                  </w:pPr>
                  <w:r>
                    <w:rPr>
                      <w:rFonts w:hint="eastAsia"/>
                      <w:color w:val="auto"/>
                      <w:szCs w:val="21"/>
                    </w:rPr>
                    <w:t>HW08</w:t>
                  </w:r>
                </w:p>
              </w:tc>
              <w:tc>
                <w:tcPr>
                  <w:tcW w:w="735" w:type="pct"/>
                  <w:vAlign w:val="center"/>
                </w:tcPr>
                <w:p>
                  <w:pPr>
                    <w:spacing w:line="240" w:lineRule="exact"/>
                    <w:jc w:val="center"/>
                    <w:rPr>
                      <w:color w:val="auto"/>
                      <w:kern w:val="1"/>
                      <w:szCs w:val="21"/>
                    </w:rPr>
                  </w:pPr>
                  <w:r>
                    <w:rPr>
                      <w:rFonts w:hint="eastAsia"/>
                      <w:color w:val="auto"/>
                      <w:kern w:val="1"/>
                      <w:szCs w:val="21"/>
                    </w:rPr>
                    <w:t>HW49/900-249-08</w:t>
                  </w:r>
                </w:p>
              </w:tc>
              <w:tc>
                <w:tcPr>
                  <w:tcW w:w="452" w:type="pct"/>
                  <w:vAlign w:val="center"/>
                </w:tcPr>
                <w:p>
                  <w:pPr>
                    <w:spacing w:line="240" w:lineRule="exact"/>
                    <w:jc w:val="center"/>
                    <w:rPr>
                      <w:color w:val="auto"/>
                      <w:kern w:val="1"/>
                      <w:szCs w:val="21"/>
                    </w:rPr>
                  </w:pPr>
                  <w:r>
                    <w:rPr>
                      <w:rFonts w:hint="eastAsia"/>
                      <w:color w:val="auto"/>
                      <w:kern w:val="1"/>
                      <w:szCs w:val="21"/>
                    </w:rPr>
                    <w:t>0.2</w:t>
                  </w:r>
                </w:p>
              </w:tc>
              <w:tc>
                <w:tcPr>
                  <w:tcW w:w="538" w:type="pct"/>
                  <w:vMerge w:val="continue"/>
                  <w:vAlign w:val="center"/>
                </w:tcPr>
                <w:p>
                  <w:pPr>
                    <w:spacing w:line="240" w:lineRule="exact"/>
                    <w:jc w:val="center"/>
                    <w:rPr>
                      <w:color w:val="auto"/>
                      <w:kern w:val="1"/>
                      <w:szCs w:val="21"/>
                    </w:rPr>
                  </w:pP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kern w:val="0"/>
                      <w:sz w:val="18"/>
                      <w:szCs w:val="18"/>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T/I</w:t>
                  </w:r>
                </w:p>
              </w:tc>
              <w:tc>
                <w:tcPr>
                  <w:tcW w:w="412" w:type="pct"/>
                  <w:vMerge w:val="continue"/>
                  <w:vAlign w:val="center"/>
                </w:tcPr>
                <w:p>
                  <w:pPr>
                    <w:topLinePunct/>
                    <w:adjustRightInd w:val="0"/>
                    <w:snapToGrid w:val="0"/>
                    <w:spacing w:line="240" w:lineRule="exact"/>
                    <w:jc w:val="center"/>
                    <w:rPr>
                      <w:color w:val="auto"/>
                      <w:kern w:val="1"/>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7</w:t>
                  </w:r>
                </w:p>
              </w:tc>
              <w:tc>
                <w:tcPr>
                  <w:tcW w:w="516" w:type="pct"/>
                  <w:vAlign w:val="center"/>
                </w:tcPr>
                <w:p>
                  <w:pPr>
                    <w:spacing w:line="300" w:lineRule="exact"/>
                    <w:jc w:val="center"/>
                    <w:rPr>
                      <w:rFonts w:ascii="宋体" w:hAnsi="宋体" w:cs="宋体"/>
                      <w:color w:val="auto"/>
                      <w:szCs w:val="21"/>
                    </w:rPr>
                  </w:pPr>
                  <w:r>
                    <w:rPr>
                      <w:rFonts w:hint="eastAsia"/>
                      <w:color w:val="auto"/>
                      <w:szCs w:val="21"/>
                    </w:rPr>
                    <w:t>脱脂槽残渣</w:t>
                  </w:r>
                </w:p>
              </w:tc>
              <w:tc>
                <w:tcPr>
                  <w:tcW w:w="313" w:type="pct"/>
                  <w:vAlign w:val="center"/>
                </w:tcPr>
                <w:p>
                  <w:pPr>
                    <w:jc w:val="center"/>
                    <w:rPr>
                      <w:color w:val="auto"/>
                      <w:szCs w:val="21"/>
                    </w:rPr>
                  </w:pPr>
                  <w:r>
                    <w:rPr>
                      <w:rFonts w:hint="eastAsia"/>
                      <w:color w:val="auto"/>
                      <w:szCs w:val="21"/>
                    </w:rPr>
                    <w:t>HW17</w:t>
                  </w:r>
                </w:p>
              </w:tc>
              <w:tc>
                <w:tcPr>
                  <w:tcW w:w="735" w:type="pct"/>
                  <w:vAlign w:val="center"/>
                </w:tcPr>
                <w:p>
                  <w:pPr>
                    <w:spacing w:line="240" w:lineRule="exact"/>
                    <w:jc w:val="center"/>
                    <w:rPr>
                      <w:color w:val="auto"/>
                      <w:kern w:val="1"/>
                      <w:szCs w:val="21"/>
                    </w:rPr>
                  </w:pPr>
                  <w:r>
                    <w:rPr>
                      <w:rFonts w:hint="eastAsia"/>
                      <w:color w:val="auto"/>
                      <w:kern w:val="1"/>
                      <w:szCs w:val="21"/>
                    </w:rPr>
                    <w:t>HW17/336-064-17</w:t>
                  </w:r>
                </w:p>
              </w:tc>
              <w:tc>
                <w:tcPr>
                  <w:tcW w:w="452" w:type="pct"/>
                  <w:vAlign w:val="center"/>
                </w:tcPr>
                <w:p>
                  <w:pPr>
                    <w:spacing w:line="240" w:lineRule="exact"/>
                    <w:jc w:val="center"/>
                    <w:rPr>
                      <w:color w:val="auto"/>
                      <w:kern w:val="1"/>
                      <w:szCs w:val="21"/>
                    </w:rPr>
                  </w:pPr>
                  <w:r>
                    <w:rPr>
                      <w:rFonts w:hint="eastAsia"/>
                      <w:color w:val="auto"/>
                      <w:kern w:val="1"/>
                      <w:szCs w:val="21"/>
                    </w:rPr>
                    <w:t>0.05</w:t>
                  </w:r>
                </w:p>
              </w:tc>
              <w:tc>
                <w:tcPr>
                  <w:tcW w:w="538" w:type="pct"/>
                  <w:vAlign w:val="center"/>
                </w:tcPr>
                <w:p>
                  <w:pPr>
                    <w:spacing w:line="240" w:lineRule="exact"/>
                    <w:jc w:val="center"/>
                    <w:rPr>
                      <w:color w:val="auto"/>
                      <w:kern w:val="1"/>
                      <w:szCs w:val="21"/>
                    </w:rPr>
                  </w:pPr>
                  <w:r>
                    <w:rPr>
                      <w:rFonts w:hint="eastAsia"/>
                      <w:color w:val="auto"/>
                      <w:kern w:val="1"/>
                      <w:szCs w:val="21"/>
                    </w:rPr>
                    <w:t>脱脂槽</w:t>
                  </w:r>
                </w:p>
              </w:tc>
              <w:tc>
                <w:tcPr>
                  <w:tcW w:w="236" w:type="pct"/>
                  <w:vAlign w:val="center"/>
                </w:tcPr>
                <w:p>
                  <w:pPr>
                    <w:spacing w:line="240" w:lineRule="exact"/>
                    <w:jc w:val="center"/>
                    <w:rPr>
                      <w:color w:val="auto"/>
                      <w:kern w:val="1"/>
                      <w:sz w:val="18"/>
                      <w:szCs w:val="18"/>
                    </w:rPr>
                  </w:pPr>
                  <w:r>
                    <w:rPr>
                      <w:rFonts w:hint="eastAsia"/>
                      <w:color w:val="auto"/>
                      <w:kern w:val="1"/>
                      <w:sz w:val="18"/>
                      <w:szCs w:val="18"/>
                    </w:rPr>
                    <w:t>固态</w:t>
                  </w:r>
                </w:p>
              </w:tc>
              <w:tc>
                <w:tcPr>
                  <w:tcW w:w="466" w:type="pct"/>
                  <w:vAlign w:val="center"/>
                </w:tcPr>
                <w:p>
                  <w:pPr>
                    <w:jc w:val="center"/>
                    <w:rPr>
                      <w:color w:val="auto"/>
                      <w:kern w:val="0"/>
                      <w:sz w:val="18"/>
                      <w:szCs w:val="18"/>
                    </w:rPr>
                  </w:pPr>
                  <w:r>
                    <w:rPr>
                      <w:rFonts w:hint="eastAsia"/>
                      <w:color w:val="auto"/>
                      <w:kern w:val="0"/>
                      <w:sz w:val="18"/>
                      <w:szCs w:val="18"/>
                    </w:rPr>
                    <w:t>矿物油</w:t>
                  </w:r>
                </w:p>
              </w:tc>
              <w:tc>
                <w:tcPr>
                  <w:tcW w:w="1297" w:type="dxa"/>
                  <w:vAlign w:val="center"/>
                </w:tcPr>
                <w:p>
                  <w:pPr>
                    <w:jc w:val="center"/>
                    <w:rPr>
                      <w:color w:val="auto"/>
                      <w:kern w:val="0"/>
                      <w:sz w:val="18"/>
                      <w:szCs w:val="18"/>
                    </w:rPr>
                  </w:pPr>
                  <w:r>
                    <w:rPr>
                      <w:rFonts w:hint="eastAsia"/>
                      <w:color w:val="auto"/>
                      <w:kern w:val="0"/>
                      <w:sz w:val="18"/>
                      <w:szCs w:val="18"/>
                    </w:rPr>
                    <w:t>矿物油</w:t>
                  </w:r>
                </w:p>
              </w:tc>
              <w:tc>
                <w:tcPr>
                  <w:tcW w:w="323" w:type="pct"/>
                  <w:vAlign w:val="center"/>
                </w:tcPr>
                <w:p>
                  <w:pPr>
                    <w:jc w:val="center"/>
                    <w:rPr>
                      <w:color w:val="auto"/>
                      <w:kern w:val="0"/>
                      <w:sz w:val="18"/>
                      <w:szCs w:val="18"/>
                    </w:rPr>
                  </w:pPr>
                  <w:r>
                    <w:rPr>
                      <w:rFonts w:hint="eastAsia"/>
                      <w:color w:val="auto"/>
                      <w:kern w:val="0"/>
                      <w:sz w:val="18"/>
                      <w:szCs w:val="18"/>
                    </w:rPr>
                    <w:t>1年</w:t>
                  </w:r>
                </w:p>
              </w:tc>
              <w:tc>
                <w:tcPr>
                  <w:tcW w:w="279" w:type="pct"/>
                  <w:vAlign w:val="center"/>
                </w:tcPr>
                <w:p>
                  <w:pPr>
                    <w:jc w:val="center"/>
                    <w:rPr>
                      <w:color w:val="auto"/>
                      <w:szCs w:val="21"/>
                    </w:rPr>
                  </w:pPr>
                  <w:r>
                    <w:rPr>
                      <w:rFonts w:hint="eastAsia"/>
                      <w:color w:val="auto"/>
                      <w:szCs w:val="21"/>
                    </w:rPr>
                    <w:t>T/C</w:t>
                  </w:r>
                </w:p>
              </w:tc>
              <w:tc>
                <w:tcPr>
                  <w:tcW w:w="412" w:type="pct"/>
                  <w:vMerge w:val="continue"/>
                  <w:vAlign w:val="center"/>
                </w:tcPr>
                <w:p>
                  <w:pPr>
                    <w:topLinePunct/>
                    <w:adjustRightInd w:val="0"/>
                    <w:snapToGrid w:val="0"/>
                    <w:spacing w:line="240" w:lineRule="exact"/>
                    <w:jc w:val="center"/>
                    <w:rPr>
                      <w:color w:val="auto"/>
                      <w:kern w:val="1"/>
                      <w:sz w:val="18"/>
                      <w:szCs w:val="18"/>
                    </w:rPr>
                  </w:pPr>
                </w:p>
              </w:tc>
            </w:tr>
          </w:tbl>
          <w:p>
            <w:pPr>
              <w:spacing w:line="360" w:lineRule="auto"/>
              <w:ind w:firstLine="463" w:firstLineChars="196"/>
              <w:rPr>
                <w:color w:val="auto"/>
                <w:sz w:val="24"/>
              </w:rPr>
            </w:pPr>
            <w:r>
              <w:rPr>
                <w:color w:val="auto"/>
                <w:sz w:val="24"/>
              </w:rPr>
              <w:t>（2）危险废物贮存场所环境影响分析</w:t>
            </w:r>
          </w:p>
          <w:p>
            <w:pPr>
              <w:spacing w:line="360" w:lineRule="auto"/>
              <w:ind w:firstLine="472" w:firstLineChars="200"/>
              <w:rPr>
                <w:rFonts w:eastAsiaTheme="minorEastAsia"/>
                <w:bCs/>
                <w:color w:val="auto"/>
                <w:sz w:val="24"/>
                <w:szCs w:val="22"/>
              </w:rPr>
            </w:pPr>
            <w:r>
              <w:rPr>
                <w:rFonts w:hint="eastAsia" w:eastAsiaTheme="minorEastAsia"/>
                <w:bCs/>
                <w:color w:val="auto"/>
                <w:sz w:val="24"/>
                <w:szCs w:val="22"/>
              </w:rPr>
              <w:t>本项目拟在1号厂房内建成1</w:t>
            </w:r>
            <w:r>
              <w:rPr>
                <w:rFonts w:eastAsiaTheme="minorEastAsia"/>
                <w:bCs/>
                <w:color w:val="auto"/>
                <w:sz w:val="24"/>
                <w:szCs w:val="22"/>
              </w:rPr>
              <w:t>座危废暂存间</w:t>
            </w:r>
            <w:r>
              <w:rPr>
                <w:rFonts w:hint="eastAsia" w:eastAsiaTheme="minorEastAsia"/>
                <w:bCs/>
                <w:color w:val="auto"/>
                <w:sz w:val="24"/>
                <w:szCs w:val="22"/>
              </w:rPr>
              <w:t>，</w:t>
            </w:r>
            <w:r>
              <w:rPr>
                <w:rFonts w:eastAsiaTheme="minorEastAsia"/>
                <w:bCs/>
                <w:color w:val="auto"/>
                <w:sz w:val="24"/>
                <w:szCs w:val="22"/>
              </w:rPr>
              <w:t>面积</w:t>
            </w:r>
            <w:r>
              <w:rPr>
                <w:rFonts w:hint="eastAsia" w:eastAsiaTheme="minorEastAsia"/>
                <w:bCs/>
                <w:color w:val="auto"/>
                <w:sz w:val="24"/>
                <w:szCs w:val="22"/>
                <w:lang w:val="en-US" w:eastAsia="zh-CN"/>
              </w:rPr>
              <w:t>50</w:t>
            </w:r>
            <w:r>
              <w:rPr>
                <w:rFonts w:eastAsiaTheme="minorEastAsia"/>
                <w:bCs/>
                <w:color w:val="auto"/>
                <w:sz w:val="24"/>
                <w:szCs w:val="22"/>
              </w:rPr>
              <w:t>m</w:t>
            </w:r>
            <w:r>
              <w:rPr>
                <w:rFonts w:eastAsiaTheme="minorEastAsia"/>
                <w:bCs/>
                <w:color w:val="auto"/>
                <w:sz w:val="24"/>
                <w:szCs w:val="22"/>
                <w:vertAlign w:val="superscript"/>
              </w:rPr>
              <w:t>2</w:t>
            </w:r>
            <w:r>
              <w:rPr>
                <w:rFonts w:eastAsiaTheme="minorEastAsia"/>
                <w:bCs/>
                <w:color w:val="auto"/>
                <w:sz w:val="24"/>
                <w:szCs w:val="22"/>
              </w:rPr>
              <w:t>， 主要用于危险废物暂存</w:t>
            </w:r>
            <w:r>
              <w:rPr>
                <w:rFonts w:hint="eastAsia" w:eastAsiaTheme="minorEastAsia"/>
                <w:bCs/>
                <w:color w:val="auto"/>
                <w:sz w:val="24"/>
                <w:szCs w:val="22"/>
              </w:rPr>
              <w:t>。目前，车间地面</w:t>
            </w:r>
            <w:r>
              <w:rPr>
                <w:rFonts w:hint="eastAsia"/>
                <w:color w:val="auto"/>
                <w:kern w:val="1"/>
                <w:sz w:val="24"/>
                <w:szCs w:val="24"/>
              </w:rPr>
              <w:t>采用耐酸碱水泥硬化，本次对危废暂存间区域进行防渗改造，水泥地面上表面刷2mm环氧树脂漆，渗透系数≤10</w:t>
            </w:r>
            <w:r>
              <w:rPr>
                <w:rFonts w:hint="eastAsia"/>
                <w:color w:val="auto"/>
                <w:kern w:val="1"/>
                <w:sz w:val="24"/>
                <w:szCs w:val="24"/>
                <w:vertAlign w:val="superscript"/>
              </w:rPr>
              <w:t>-7</w:t>
            </w:r>
            <w:r>
              <w:rPr>
                <w:rFonts w:hint="eastAsia"/>
                <w:color w:val="auto"/>
                <w:kern w:val="1"/>
                <w:sz w:val="24"/>
                <w:szCs w:val="24"/>
              </w:rPr>
              <w:t>cm/s，且表面无裂隙，并设置堵截泄漏的裙角，同时设置泄漏液体的收集装置。危险废物暂存间可以满足本项目危险废物的储存要求。</w:t>
            </w:r>
          </w:p>
          <w:p>
            <w:pPr>
              <w:pStyle w:val="24"/>
              <w:spacing w:line="360" w:lineRule="auto"/>
              <w:ind w:firstLine="472" w:firstLineChars="200"/>
              <w:rPr>
                <w:color w:val="auto"/>
              </w:rPr>
            </w:pPr>
            <w:r>
              <w:rPr>
                <w:rFonts w:hint="eastAsia" w:hAnsiTheme="minorEastAsia" w:eastAsiaTheme="minorEastAsia"/>
                <w:color w:val="auto"/>
                <w:szCs w:val="24"/>
              </w:rPr>
              <w:t>本项目产生的危险废物主要为</w:t>
            </w:r>
            <w:r>
              <w:rPr>
                <w:color w:val="auto"/>
                <w:szCs w:val="21"/>
              </w:rPr>
              <w:t>废活性炭、</w:t>
            </w:r>
            <w:r>
              <w:rPr>
                <w:rFonts w:hint="eastAsia"/>
                <w:color w:val="auto"/>
                <w:szCs w:val="21"/>
              </w:rPr>
              <w:t>废过滤棉、</w:t>
            </w:r>
            <w:r>
              <w:rPr>
                <w:color w:val="auto"/>
                <w:szCs w:val="21"/>
              </w:rPr>
              <w:t>废液压油</w:t>
            </w:r>
            <w:r>
              <w:rPr>
                <w:rFonts w:hint="eastAsia"/>
                <w:color w:val="auto"/>
                <w:szCs w:val="21"/>
              </w:rPr>
              <w:t>、废油桶、污水处理站污泥和气浮机产生的废油、脱脂槽产生的废槽渣</w:t>
            </w:r>
            <w:r>
              <w:rPr>
                <w:rFonts w:hint="eastAsia" w:hAnsiTheme="minorEastAsia" w:eastAsiaTheme="minorEastAsia"/>
                <w:color w:val="auto"/>
                <w:szCs w:val="24"/>
              </w:rPr>
              <w:t>，在危废暂存间储存，定期委托有资质单位处置。</w:t>
            </w:r>
            <w:r>
              <w:rPr>
                <w:color w:val="auto"/>
              </w:rPr>
              <w:t>根据《建设项目危险废物环境影响评价指南》，</w:t>
            </w:r>
            <w:r>
              <w:rPr>
                <w:rFonts w:hint="eastAsia"/>
                <w:color w:val="auto"/>
              </w:rPr>
              <w:t>本次</w:t>
            </w:r>
            <w:r>
              <w:rPr>
                <w:color w:val="auto"/>
              </w:rPr>
              <w:t>危废暂存间</w:t>
            </w:r>
            <w:r>
              <w:rPr>
                <w:rFonts w:hint="eastAsia"/>
                <w:color w:val="auto"/>
              </w:rPr>
              <w:t>新增危废</w:t>
            </w:r>
            <w:r>
              <w:rPr>
                <w:color w:val="auto"/>
              </w:rPr>
              <w:t>基本情况见表</w:t>
            </w:r>
            <w:r>
              <w:rPr>
                <w:rFonts w:hint="eastAsia"/>
                <w:color w:val="auto"/>
              </w:rPr>
              <w:t>4-18</w:t>
            </w:r>
            <w:r>
              <w:rPr>
                <w:color w:val="auto"/>
              </w:rPr>
              <w:t>。</w:t>
            </w:r>
          </w:p>
          <w:p>
            <w:pPr>
              <w:spacing w:line="360" w:lineRule="auto"/>
              <w:jc w:val="center"/>
              <w:rPr>
                <w:rFonts w:ascii="宋体" w:hAnsi="宋体"/>
                <w:b/>
                <w:color w:val="auto"/>
                <w:sz w:val="24"/>
              </w:rPr>
            </w:pPr>
            <w:r>
              <w:rPr>
                <w:rFonts w:hint="eastAsia" w:ascii="宋体" w:hAnsi="宋体"/>
                <w:b/>
                <w:color w:val="auto"/>
                <w:sz w:val="24"/>
              </w:rPr>
              <w:t>表</w:t>
            </w:r>
            <w:r>
              <w:rPr>
                <w:rFonts w:hint="eastAsia"/>
                <w:b/>
                <w:color w:val="auto"/>
                <w:sz w:val="24"/>
              </w:rPr>
              <w:t>4-18</w:t>
            </w:r>
            <w:r>
              <w:rPr>
                <w:rFonts w:hint="eastAsia" w:ascii="宋体" w:hAnsi="宋体"/>
                <w:b/>
                <w:color w:val="auto"/>
                <w:sz w:val="24"/>
              </w:rPr>
              <w:t>项目危险废物暂存场所（设施）基本情况表</w:t>
            </w:r>
          </w:p>
          <w:tbl>
            <w:tblPr>
              <w:tblStyle w:val="19"/>
              <w:tblW w:w="499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07"/>
              <w:gridCol w:w="1351"/>
              <w:gridCol w:w="1780"/>
              <w:gridCol w:w="1522"/>
              <w:gridCol w:w="1274"/>
              <w:gridCol w:w="1560"/>
              <w:gridCol w:w="1531"/>
              <w:gridCol w:w="15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 w:type="pct"/>
                  <w:vAlign w:val="center"/>
                </w:tcPr>
                <w:p>
                  <w:pPr>
                    <w:topLinePunct/>
                    <w:adjustRightInd w:val="0"/>
                    <w:snapToGrid w:val="0"/>
                    <w:jc w:val="center"/>
                    <w:rPr>
                      <w:color w:val="auto"/>
                      <w:kern w:val="0"/>
                      <w:szCs w:val="21"/>
                    </w:rPr>
                  </w:pPr>
                  <w:r>
                    <w:rPr>
                      <w:color w:val="auto"/>
                      <w:kern w:val="0"/>
                      <w:szCs w:val="21"/>
                    </w:rPr>
                    <w:t>序号</w:t>
                  </w:r>
                </w:p>
              </w:tc>
              <w:tc>
                <w:tcPr>
                  <w:tcW w:w="692" w:type="pct"/>
                  <w:vAlign w:val="center"/>
                </w:tcPr>
                <w:p>
                  <w:pPr>
                    <w:topLinePunct/>
                    <w:adjustRightInd w:val="0"/>
                    <w:snapToGrid w:val="0"/>
                    <w:jc w:val="center"/>
                    <w:rPr>
                      <w:color w:val="auto"/>
                      <w:kern w:val="0"/>
                      <w:szCs w:val="21"/>
                    </w:rPr>
                  </w:pPr>
                  <w:r>
                    <w:rPr>
                      <w:color w:val="auto"/>
                      <w:kern w:val="0"/>
                      <w:szCs w:val="21"/>
                    </w:rPr>
                    <w:t>危险废物名称</w:t>
                  </w:r>
                </w:p>
              </w:tc>
              <w:tc>
                <w:tcPr>
                  <w:tcW w:w="519" w:type="pct"/>
                  <w:vAlign w:val="center"/>
                </w:tcPr>
                <w:p>
                  <w:pPr>
                    <w:topLinePunct/>
                    <w:adjustRightInd w:val="0"/>
                    <w:snapToGrid w:val="0"/>
                    <w:jc w:val="center"/>
                    <w:rPr>
                      <w:color w:val="auto"/>
                      <w:kern w:val="0"/>
                      <w:szCs w:val="21"/>
                    </w:rPr>
                  </w:pPr>
                  <w:r>
                    <w:rPr>
                      <w:color w:val="auto"/>
                      <w:kern w:val="0"/>
                      <w:szCs w:val="21"/>
                    </w:rPr>
                    <w:t>危险废物类别</w:t>
                  </w:r>
                </w:p>
              </w:tc>
              <w:tc>
                <w:tcPr>
                  <w:tcW w:w="625" w:type="pct"/>
                  <w:vAlign w:val="center"/>
                </w:tcPr>
                <w:p>
                  <w:pPr>
                    <w:topLinePunct/>
                    <w:adjustRightInd w:val="0"/>
                    <w:snapToGrid w:val="0"/>
                    <w:jc w:val="center"/>
                    <w:rPr>
                      <w:color w:val="auto"/>
                      <w:kern w:val="0"/>
                      <w:szCs w:val="21"/>
                    </w:rPr>
                  </w:pPr>
                  <w:r>
                    <w:rPr>
                      <w:color w:val="auto"/>
                      <w:kern w:val="0"/>
                      <w:szCs w:val="21"/>
                    </w:rPr>
                    <w:t>危险废物代码</w:t>
                  </w:r>
                </w:p>
              </w:tc>
              <w:tc>
                <w:tcPr>
                  <w:tcW w:w="584" w:type="pct"/>
                  <w:vAlign w:val="center"/>
                </w:tcPr>
                <w:p>
                  <w:pPr>
                    <w:topLinePunct/>
                    <w:adjustRightInd w:val="0"/>
                    <w:snapToGrid w:val="0"/>
                    <w:jc w:val="center"/>
                    <w:rPr>
                      <w:color w:val="auto"/>
                      <w:kern w:val="0"/>
                      <w:szCs w:val="21"/>
                    </w:rPr>
                  </w:pPr>
                  <w:r>
                    <w:rPr>
                      <w:color w:val="auto"/>
                      <w:kern w:val="0"/>
                      <w:szCs w:val="21"/>
                    </w:rPr>
                    <w:t>位置</w:t>
                  </w:r>
                </w:p>
              </w:tc>
              <w:tc>
                <w:tcPr>
                  <w:tcW w:w="490" w:type="pct"/>
                  <w:vAlign w:val="center"/>
                </w:tcPr>
                <w:p>
                  <w:pPr>
                    <w:topLinePunct/>
                    <w:adjustRightInd w:val="0"/>
                    <w:snapToGrid w:val="0"/>
                    <w:jc w:val="center"/>
                    <w:rPr>
                      <w:color w:val="auto"/>
                      <w:kern w:val="0"/>
                      <w:szCs w:val="21"/>
                    </w:rPr>
                  </w:pPr>
                  <w:r>
                    <w:rPr>
                      <w:color w:val="auto"/>
                      <w:kern w:val="0"/>
                      <w:szCs w:val="21"/>
                    </w:rPr>
                    <w:t>占地面积</w:t>
                  </w:r>
                </w:p>
              </w:tc>
              <w:tc>
                <w:tcPr>
                  <w:tcW w:w="598"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方式</w:t>
                  </w:r>
                </w:p>
              </w:tc>
              <w:tc>
                <w:tcPr>
                  <w:tcW w:w="587"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能力</w:t>
                  </w:r>
                </w:p>
              </w:tc>
              <w:tc>
                <w:tcPr>
                  <w:tcW w:w="594"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1</w:t>
                  </w:r>
                </w:p>
              </w:tc>
              <w:tc>
                <w:tcPr>
                  <w:tcW w:w="692" w:type="pct"/>
                  <w:vAlign w:val="center"/>
                </w:tcPr>
                <w:p>
                  <w:pPr>
                    <w:spacing w:line="300" w:lineRule="exact"/>
                    <w:jc w:val="center"/>
                    <w:rPr>
                      <w:color w:val="auto"/>
                      <w:kern w:val="1"/>
                      <w:szCs w:val="21"/>
                    </w:rPr>
                  </w:pPr>
                  <w:r>
                    <w:rPr>
                      <w:rFonts w:hint="eastAsia"/>
                      <w:color w:val="auto"/>
                      <w:szCs w:val="21"/>
                    </w:rPr>
                    <w:t>废活性炭</w:t>
                  </w:r>
                </w:p>
              </w:tc>
              <w:tc>
                <w:tcPr>
                  <w:tcW w:w="519" w:type="pct"/>
                  <w:vAlign w:val="center"/>
                </w:tcPr>
                <w:p>
                  <w:pPr>
                    <w:jc w:val="center"/>
                    <w:rPr>
                      <w:color w:val="auto"/>
                      <w:kern w:val="1"/>
                      <w:szCs w:val="21"/>
                    </w:rPr>
                  </w:pPr>
                  <w:r>
                    <w:rPr>
                      <w:rFonts w:hint="eastAsia"/>
                      <w:color w:val="auto"/>
                      <w:szCs w:val="21"/>
                    </w:rPr>
                    <w:t>HW49</w:t>
                  </w:r>
                </w:p>
              </w:tc>
              <w:tc>
                <w:tcPr>
                  <w:tcW w:w="1647" w:type="dxa"/>
                  <w:vAlign w:val="center"/>
                </w:tcPr>
                <w:p>
                  <w:pPr>
                    <w:spacing w:line="240" w:lineRule="exact"/>
                    <w:jc w:val="center"/>
                    <w:rPr>
                      <w:color w:val="auto"/>
                      <w:kern w:val="1"/>
                      <w:szCs w:val="21"/>
                    </w:rPr>
                  </w:pPr>
                  <w:r>
                    <w:rPr>
                      <w:rFonts w:hint="eastAsia"/>
                      <w:color w:val="auto"/>
                      <w:kern w:val="1"/>
                      <w:szCs w:val="21"/>
                    </w:rPr>
                    <w:t>HW49/900-039-49</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restart"/>
                  <w:vAlign w:val="center"/>
                </w:tcPr>
                <w:p>
                  <w:pPr>
                    <w:jc w:val="center"/>
                    <w:rPr>
                      <w:color w:val="auto"/>
                      <w:kern w:val="0"/>
                      <w:szCs w:val="21"/>
                    </w:rPr>
                  </w:pPr>
                  <w:r>
                    <w:rPr>
                      <w:rFonts w:hint="eastAsia"/>
                      <w:color w:val="auto"/>
                      <w:kern w:val="0"/>
                      <w:szCs w:val="21"/>
                      <w:lang w:val="en-US" w:eastAsia="zh-CN"/>
                    </w:rPr>
                    <w:t>50</w:t>
                  </w:r>
                  <w:r>
                    <w:rPr>
                      <w:rFonts w:hint="eastAsia"/>
                      <w:color w:val="auto"/>
                      <w:kern w:val="0"/>
                      <w:szCs w:val="21"/>
                    </w:rPr>
                    <w:t>㎡</w:t>
                  </w:r>
                </w:p>
              </w:tc>
              <w:tc>
                <w:tcPr>
                  <w:tcW w:w="598" w:type="pct"/>
                  <w:vAlign w:val="center"/>
                </w:tcPr>
                <w:p>
                  <w:pPr>
                    <w:topLinePunct/>
                    <w:adjustRightInd w:val="0"/>
                    <w:snapToGrid w:val="0"/>
                    <w:jc w:val="center"/>
                    <w:rPr>
                      <w:color w:val="auto"/>
                      <w:szCs w:val="21"/>
                    </w:rPr>
                  </w:pPr>
                  <w:r>
                    <w:rPr>
                      <w:rFonts w:hint="eastAsia"/>
                      <w:color w:val="auto"/>
                      <w:szCs w:val="21"/>
                    </w:rPr>
                    <w:t>袋装</w:t>
                  </w:r>
                </w:p>
              </w:tc>
              <w:tc>
                <w:tcPr>
                  <w:tcW w:w="1531" w:type="dxa"/>
                  <w:vAlign w:val="center"/>
                </w:tcPr>
                <w:p>
                  <w:pPr>
                    <w:spacing w:line="240" w:lineRule="exact"/>
                    <w:jc w:val="center"/>
                    <w:rPr>
                      <w:color w:val="auto"/>
                      <w:szCs w:val="21"/>
                    </w:rPr>
                  </w:pPr>
                  <w:r>
                    <w:rPr>
                      <w:rFonts w:hint="eastAsia"/>
                      <w:color w:val="auto"/>
                      <w:kern w:val="1"/>
                      <w:szCs w:val="21"/>
                    </w:rPr>
                    <w:t>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2</w:t>
                  </w:r>
                </w:p>
              </w:tc>
              <w:tc>
                <w:tcPr>
                  <w:tcW w:w="692" w:type="pct"/>
                  <w:vAlign w:val="center"/>
                </w:tcPr>
                <w:p>
                  <w:pPr>
                    <w:spacing w:line="300" w:lineRule="exact"/>
                    <w:jc w:val="center"/>
                    <w:rPr>
                      <w:color w:val="auto"/>
                      <w:kern w:val="1"/>
                      <w:sz w:val="18"/>
                      <w:szCs w:val="18"/>
                    </w:rPr>
                  </w:pPr>
                  <w:r>
                    <w:rPr>
                      <w:rFonts w:hint="eastAsia"/>
                      <w:color w:val="auto"/>
                      <w:szCs w:val="21"/>
                    </w:rPr>
                    <w:t>废过滤棉</w:t>
                  </w:r>
                </w:p>
              </w:tc>
              <w:tc>
                <w:tcPr>
                  <w:tcW w:w="519" w:type="pct"/>
                  <w:vAlign w:val="center"/>
                </w:tcPr>
                <w:p>
                  <w:pPr>
                    <w:jc w:val="center"/>
                    <w:rPr>
                      <w:color w:val="auto"/>
                      <w:kern w:val="1"/>
                      <w:sz w:val="18"/>
                      <w:szCs w:val="18"/>
                    </w:rPr>
                  </w:pPr>
                  <w:r>
                    <w:rPr>
                      <w:rFonts w:hint="eastAsia"/>
                      <w:color w:val="auto"/>
                      <w:szCs w:val="21"/>
                    </w:rPr>
                    <w:t>HW49</w:t>
                  </w:r>
                </w:p>
              </w:tc>
              <w:tc>
                <w:tcPr>
                  <w:tcW w:w="1647" w:type="dxa"/>
                  <w:vAlign w:val="center"/>
                </w:tcPr>
                <w:p>
                  <w:pPr>
                    <w:spacing w:line="240" w:lineRule="exact"/>
                    <w:jc w:val="center"/>
                    <w:rPr>
                      <w:color w:val="auto"/>
                      <w:kern w:val="1"/>
                      <w:szCs w:val="21"/>
                    </w:rPr>
                  </w:pPr>
                  <w:r>
                    <w:rPr>
                      <w:rFonts w:hint="eastAsia"/>
                      <w:color w:val="auto"/>
                      <w:kern w:val="1"/>
                      <w:szCs w:val="21"/>
                    </w:rPr>
                    <w:t>HW49/900-041-49</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袋装</w:t>
                  </w:r>
                </w:p>
              </w:tc>
              <w:tc>
                <w:tcPr>
                  <w:tcW w:w="1531" w:type="dxa"/>
                  <w:vAlign w:val="center"/>
                </w:tcPr>
                <w:p>
                  <w:pPr>
                    <w:spacing w:line="240" w:lineRule="exact"/>
                    <w:jc w:val="center"/>
                    <w:rPr>
                      <w:color w:val="auto"/>
                      <w:szCs w:val="21"/>
                    </w:rPr>
                  </w:pPr>
                  <w:r>
                    <w:rPr>
                      <w:rFonts w:hint="eastAsia"/>
                      <w:color w:val="auto"/>
                      <w:kern w:val="1"/>
                      <w:szCs w:val="21"/>
                    </w:rPr>
                    <w:t>0.2t/a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3</w:t>
                  </w:r>
                </w:p>
              </w:tc>
              <w:tc>
                <w:tcPr>
                  <w:tcW w:w="692" w:type="pct"/>
                  <w:vAlign w:val="center"/>
                </w:tcPr>
                <w:p>
                  <w:pPr>
                    <w:spacing w:line="300" w:lineRule="exact"/>
                    <w:jc w:val="center"/>
                    <w:rPr>
                      <w:color w:val="auto"/>
                      <w:kern w:val="1"/>
                      <w:sz w:val="18"/>
                      <w:szCs w:val="18"/>
                    </w:rPr>
                  </w:pPr>
                  <w:r>
                    <w:rPr>
                      <w:rFonts w:hint="eastAsia"/>
                      <w:color w:val="auto"/>
                      <w:szCs w:val="21"/>
                    </w:rPr>
                    <w:t>污泥</w:t>
                  </w:r>
                </w:p>
              </w:tc>
              <w:tc>
                <w:tcPr>
                  <w:tcW w:w="519" w:type="pct"/>
                  <w:vAlign w:val="center"/>
                </w:tcPr>
                <w:p>
                  <w:pPr>
                    <w:pStyle w:val="35"/>
                    <w:spacing w:line="280" w:lineRule="exact"/>
                    <w:jc w:val="center"/>
                    <w:rPr>
                      <w:color w:val="auto"/>
                      <w:kern w:val="1"/>
                      <w:sz w:val="18"/>
                      <w:szCs w:val="18"/>
                    </w:rPr>
                  </w:pPr>
                  <w:r>
                    <w:rPr>
                      <w:b w:val="0"/>
                      <w:color w:val="auto"/>
                      <w:sz w:val="21"/>
                      <w:szCs w:val="21"/>
                    </w:rPr>
                    <w:t>HW</w:t>
                  </w:r>
                  <w:r>
                    <w:rPr>
                      <w:rFonts w:hint="eastAsia"/>
                      <w:b w:val="0"/>
                      <w:color w:val="auto"/>
                      <w:sz w:val="21"/>
                      <w:szCs w:val="21"/>
                    </w:rPr>
                    <w:t>17</w:t>
                  </w:r>
                </w:p>
              </w:tc>
              <w:tc>
                <w:tcPr>
                  <w:tcW w:w="1647" w:type="dxa"/>
                  <w:vAlign w:val="center"/>
                </w:tcPr>
                <w:p>
                  <w:pPr>
                    <w:spacing w:line="240" w:lineRule="exact"/>
                    <w:jc w:val="center"/>
                    <w:rPr>
                      <w:color w:val="auto"/>
                      <w:kern w:val="1"/>
                      <w:szCs w:val="21"/>
                    </w:rPr>
                  </w:pPr>
                  <w:r>
                    <w:rPr>
                      <w:rFonts w:hint="eastAsia"/>
                      <w:color w:val="auto"/>
                      <w:kern w:val="1"/>
                      <w:szCs w:val="21"/>
                    </w:rPr>
                    <w:t>HW17/336-064-17</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危废间内东侧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袋装</w:t>
                  </w:r>
                </w:p>
              </w:tc>
              <w:tc>
                <w:tcPr>
                  <w:tcW w:w="1531" w:type="dxa"/>
                  <w:vAlign w:val="center"/>
                </w:tcPr>
                <w:p>
                  <w:pPr>
                    <w:spacing w:line="240" w:lineRule="exact"/>
                    <w:jc w:val="center"/>
                    <w:rPr>
                      <w:color w:val="auto"/>
                      <w:szCs w:val="21"/>
                    </w:rPr>
                  </w:pPr>
                  <w:r>
                    <w:rPr>
                      <w:rFonts w:hint="eastAsia"/>
                      <w:color w:val="auto"/>
                      <w:kern w:val="1"/>
                      <w:szCs w:val="21"/>
                    </w:rPr>
                    <w:t>5.5t/a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4</w:t>
                  </w:r>
                </w:p>
              </w:tc>
              <w:tc>
                <w:tcPr>
                  <w:tcW w:w="692" w:type="pct"/>
                  <w:vAlign w:val="center"/>
                </w:tcPr>
                <w:p>
                  <w:pPr>
                    <w:spacing w:line="300" w:lineRule="exact"/>
                    <w:jc w:val="center"/>
                    <w:rPr>
                      <w:color w:val="auto"/>
                      <w:kern w:val="1"/>
                      <w:sz w:val="18"/>
                      <w:szCs w:val="18"/>
                    </w:rPr>
                  </w:pPr>
                  <w:r>
                    <w:rPr>
                      <w:rFonts w:hint="eastAsia"/>
                      <w:color w:val="auto"/>
                      <w:szCs w:val="21"/>
                    </w:rPr>
                    <w:t>气浮机废油</w:t>
                  </w:r>
                </w:p>
              </w:tc>
              <w:tc>
                <w:tcPr>
                  <w:tcW w:w="519" w:type="pct"/>
                  <w:vAlign w:val="center"/>
                </w:tcPr>
                <w:p>
                  <w:pPr>
                    <w:pStyle w:val="35"/>
                    <w:spacing w:line="280" w:lineRule="exact"/>
                    <w:jc w:val="center"/>
                    <w:rPr>
                      <w:color w:val="auto"/>
                      <w:kern w:val="1"/>
                      <w:sz w:val="18"/>
                      <w:szCs w:val="18"/>
                    </w:rPr>
                  </w:pPr>
                  <w:r>
                    <w:rPr>
                      <w:b w:val="0"/>
                      <w:color w:val="auto"/>
                      <w:sz w:val="21"/>
                      <w:szCs w:val="21"/>
                    </w:rPr>
                    <w:t>HW08</w:t>
                  </w:r>
                </w:p>
              </w:tc>
              <w:tc>
                <w:tcPr>
                  <w:tcW w:w="1647" w:type="dxa"/>
                  <w:vAlign w:val="center"/>
                </w:tcPr>
                <w:p>
                  <w:pPr>
                    <w:spacing w:line="240" w:lineRule="exact"/>
                    <w:jc w:val="center"/>
                    <w:rPr>
                      <w:color w:val="auto"/>
                      <w:kern w:val="1"/>
                      <w:szCs w:val="21"/>
                    </w:rPr>
                  </w:pPr>
                  <w:r>
                    <w:rPr>
                      <w:rFonts w:hint="eastAsia"/>
                      <w:color w:val="auto"/>
                      <w:kern w:val="1"/>
                      <w:szCs w:val="21"/>
                    </w:rPr>
                    <w:t>HW49/900-210-08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桶装</w:t>
                  </w:r>
                </w:p>
              </w:tc>
              <w:tc>
                <w:tcPr>
                  <w:tcW w:w="1531" w:type="dxa"/>
                  <w:vAlign w:val="center"/>
                </w:tcPr>
                <w:p>
                  <w:pPr>
                    <w:spacing w:line="240" w:lineRule="exact"/>
                    <w:jc w:val="center"/>
                    <w:rPr>
                      <w:color w:val="auto"/>
                      <w:szCs w:val="21"/>
                    </w:rPr>
                  </w:pPr>
                  <w:r>
                    <w:rPr>
                      <w:rFonts w:hint="eastAsia"/>
                      <w:color w:val="auto"/>
                      <w:kern w:val="1"/>
                      <w:szCs w:val="21"/>
                    </w:rPr>
                    <w:t>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color w:val="auto"/>
                      <w:kern w:val="0"/>
                      <w:szCs w:val="21"/>
                    </w:rPr>
                  </w:pPr>
                  <w:r>
                    <w:rPr>
                      <w:rFonts w:hint="eastAsia"/>
                      <w:color w:val="auto"/>
                      <w:kern w:val="0"/>
                      <w:sz w:val="18"/>
                      <w:szCs w:val="18"/>
                    </w:rPr>
                    <w:t>5</w:t>
                  </w:r>
                </w:p>
              </w:tc>
              <w:tc>
                <w:tcPr>
                  <w:tcW w:w="692" w:type="pct"/>
                  <w:vAlign w:val="center"/>
                </w:tcPr>
                <w:p>
                  <w:pPr>
                    <w:spacing w:line="300" w:lineRule="exact"/>
                    <w:jc w:val="center"/>
                    <w:rPr>
                      <w:color w:val="auto"/>
                      <w:kern w:val="1"/>
                      <w:sz w:val="18"/>
                      <w:szCs w:val="18"/>
                    </w:rPr>
                  </w:pPr>
                  <w:r>
                    <w:rPr>
                      <w:rFonts w:hint="eastAsia"/>
                      <w:color w:val="auto"/>
                      <w:szCs w:val="21"/>
                    </w:rPr>
                    <w:t>废液压油</w:t>
                  </w:r>
                </w:p>
              </w:tc>
              <w:tc>
                <w:tcPr>
                  <w:tcW w:w="519" w:type="pct"/>
                  <w:vAlign w:val="center"/>
                </w:tcPr>
                <w:p>
                  <w:pPr>
                    <w:jc w:val="center"/>
                    <w:rPr>
                      <w:color w:val="auto"/>
                      <w:kern w:val="1"/>
                      <w:sz w:val="18"/>
                      <w:szCs w:val="18"/>
                    </w:rPr>
                  </w:pPr>
                  <w:r>
                    <w:rPr>
                      <w:rFonts w:hint="eastAsia"/>
                      <w:color w:val="auto"/>
                      <w:szCs w:val="21"/>
                    </w:rPr>
                    <w:t>HW08</w:t>
                  </w:r>
                </w:p>
              </w:tc>
              <w:tc>
                <w:tcPr>
                  <w:tcW w:w="1647" w:type="dxa"/>
                  <w:vAlign w:val="center"/>
                </w:tcPr>
                <w:p>
                  <w:pPr>
                    <w:spacing w:line="240" w:lineRule="exact"/>
                    <w:jc w:val="center"/>
                    <w:rPr>
                      <w:color w:val="auto"/>
                      <w:kern w:val="1"/>
                      <w:szCs w:val="21"/>
                    </w:rPr>
                  </w:pPr>
                  <w:r>
                    <w:rPr>
                      <w:rFonts w:hint="eastAsia"/>
                      <w:color w:val="auto"/>
                      <w:kern w:val="1"/>
                      <w:szCs w:val="21"/>
                    </w:rPr>
                    <w:t>HW49/900-218-08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w:t>
                  </w:r>
                </w:p>
              </w:tc>
              <w:tc>
                <w:tcPr>
                  <w:tcW w:w="1531" w:type="dxa"/>
                  <w:vAlign w:val="center"/>
                </w:tcPr>
                <w:p>
                  <w:pPr>
                    <w:spacing w:line="240" w:lineRule="exact"/>
                    <w:jc w:val="center"/>
                    <w:rPr>
                      <w:color w:val="auto"/>
                      <w:szCs w:val="21"/>
                    </w:rPr>
                  </w:pPr>
                  <w:r>
                    <w:rPr>
                      <w:rFonts w:hint="eastAsia"/>
                      <w:color w:val="auto"/>
                      <w:kern w:val="1"/>
                      <w:szCs w:val="21"/>
                    </w:rPr>
                    <w:t>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6</w:t>
                  </w:r>
                </w:p>
              </w:tc>
              <w:tc>
                <w:tcPr>
                  <w:tcW w:w="692" w:type="pct"/>
                  <w:vAlign w:val="center"/>
                </w:tcPr>
                <w:p>
                  <w:pPr>
                    <w:spacing w:line="300" w:lineRule="exact"/>
                    <w:jc w:val="center"/>
                    <w:rPr>
                      <w:rFonts w:ascii="宋体" w:hAnsi="宋体" w:cs="宋体"/>
                      <w:color w:val="auto"/>
                      <w:szCs w:val="21"/>
                    </w:rPr>
                  </w:pPr>
                  <w:r>
                    <w:rPr>
                      <w:rFonts w:hint="eastAsia"/>
                      <w:color w:val="auto"/>
                      <w:szCs w:val="21"/>
                    </w:rPr>
                    <w:t>废油桶</w:t>
                  </w:r>
                </w:p>
              </w:tc>
              <w:tc>
                <w:tcPr>
                  <w:tcW w:w="519" w:type="pct"/>
                  <w:vAlign w:val="center"/>
                </w:tcPr>
                <w:p>
                  <w:pPr>
                    <w:jc w:val="center"/>
                    <w:rPr>
                      <w:color w:val="auto"/>
                      <w:szCs w:val="21"/>
                    </w:rPr>
                  </w:pPr>
                  <w:r>
                    <w:rPr>
                      <w:rFonts w:hint="eastAsia"/>
                      <w:color w:val="auto"/>
                      <w:szCs w:val="21"/>
                    </w:rPr>
                    <w:t>HW08</w:t>
                  </w:r>
                </w:p>
              </w:tc>
              <w:tc>
                <w:tcPr>
                  <w:tcW w:w="1647" w:type="dxa"/>
                  <w:vAlign w:val="center"/>
                </w:tcPr>
                <w:p>
                  <w:pPr>
                    <w:spacing w:line="240" w:lineRule="exact"/>
                    <w:jc w:val="center"/>
                    <w:rPr>
                      <w:color w:val="auto"/>
                      <w:kern w:val="1"/>
                      <w:szCs w:val="21"/>
                    </w:rPr>
                  </w:pPr>
                  <w:r>
                    <w:rPr>
                      <w:rFonts w:hint="eastAsia"/>
                      <w:color w:val="auto"/>
                      <w:kern w:val="1"/>
                      <w:szCs w:val="21"/>
                    </w:rPr>
                    <w:t>HW49/900-249-08</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桶装</w:t>
                  </w:r>
                </w:p>
              </w:tc>
              <w:tc>
                <w:tcPr>
                  <w:tcW w:w="1531" w:type="dxa"/>
                  <w:vAlign w:val="center"/>
                </w:tcPr>
                <w:p>
                  <w:pPr>
                    <w:spacing w:line="240" w:lineRule="exact"/>
                    <w:jc w:val="center"/>
                    <w:rPr>
                      <w:color w:val="auto"/>
                      <w:szCs w:val="21"/>
                    </w:rPr>
                  </w:pPr>
                  <w:r>
                    <w:rPr>
                      <w:rFonts w:hint="eastAsia"/>
                      <w:color w:val="auto"/>
                      <w:kern w:val="1"/>
                      <w:szCs w:val="21"/>
                    </w:rPr>
                    <w:t>0.2t/a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6" w:type="pct"/>
                  <w:vAlign w:val="center"/>
                </w:tcPr>
                <w:p>
                  <w:pPr>
                    <w:topLinePunct/>
                    <w:adjustRightInd w:val="0"/>
                    <w:snapToGrid w:val="0"/>
                    <w:spacing w:line="240" w:lineRule="exact"/>
                    <w:jc w:val="center"/>
                    <w:rPr>
                      <w:color w:val="auto"/>
                      <w:kern w:val="0"/>
                      <w:sz w:val="18"/>
                      <w:szCs w:val="18"/>
                    </w:rPr>
                  </w:pPr>
                  <w:r>
                    <w:rPr>
                      <w:rFonts w:hint="eastAsia"/>
                      <w:color w:val="auto"/>
                      <w:kern w:val="0"/>
                      <w:sz w:val="18"/>
                      <w:szCs w:val="18"/>
                    </w:rPr>
                    <w:t>7</w:t>
                  </w:r>
                </w:p>
              </w:tc>
              <w:tc>
                <w:tcPr>
                  <w:tcW w:w="692" w:type="pct"/>
                  <w:vAlign w:val="center"/>
                </w:tcPr>
                <w:p>
                  <w:pPr>
                    <w:spacing w:line="300" w:lineRule="exact"/>
                    <w:jc w:val="center"/>
                    <w:rPr>
                      <w:rFonts w:ascii="宋体" w:hAnsi="宋体" w:cs="宋体"/>
                      <w:color w:val="auto"/>
                      <w:szCs w:val="21"/>
                    </w:rPr>
                  </w:pPr>
                  <w:r>
                    <w:rPr>
                      <w:rFonts w:hint="eastAsia"/>
                      <w:color w:val="auto"/>
                      <w:szCs w:val="21"/>
                    </w:rPr>
                    <w:t>脱脂槽残渣</w:t>
                  </w:r>
                </w:p>
              </w:tc>
              <w:tc>
                <w:tcPr>
                  <w:tcW w:w="519" w:type="pct"/>
                  <w:vAlign w:val="center"/>
                </w:tcPr>
                <w:p>
                  <w:pPr>
                    <w:jc w:val="center"/>
                    <w:rPr>
                      <w:color w:val="auto"/>
                      <w:szCs w:val="21"/>
                    </w:rPr>
                  </w:pPr>
                  <w:r>
                    <w:rPr>
                      <w:rFonts w:hint="eastAsia"/>
                      <w:color w:val="auto"/>
                      <w:szCs w:val="21"/>
                    </w:rPr>
                    <w:t>HW17</w:t>
                  </w:r>
                </w:p>
              </w:tc>
              <w:tc>
                <w:tcPr>
                  <w:tcW w:w="1647" w:type="dxa"/>
                  <w:vAlign w:val="center"/>
                </w:tcPr>
                <w:p>
                  <w:pPr>
                    <w:spacing w:line="240" w:lineRule="exact"/>
                    <w:jc w:val="center"/>
                    <w:rPr>
                      <w:color w:val="auto"/>
                      <w:kern w:val="1"/>
                      <w:szCs w:val="21"/>
                    </w:rPr>
                  </w:pPr>
                  <w:r>
                    <w:rPr>
                      <w:rFonts w:hint="eastAsia"/>
                      <w:color w:val="auto"/>
                      <w:kern w:val="1"/>
                      <w:szCs w:val="21"/>
                    </w:rPr>
                    <w:t>HW17/336-064-17</w:t>
                  </w:r>
                </w:p>
              </w:tc>
              <w:tc>
                <w:tcPr>
                  <w:tcW w:w="584" w:type="pct"/>
                  <w:vAlign w:val="center"/>
                </w:tcPr>
                <w:p>
                  <w:pPr>
                    <w:topLinePunct/>
                    <w:adjustRightInd w:val="0"/>
                    <w:snapToGrid w:val="0"/>
                    <w:jc w:val="center"/>
                    <w:rPr>
                      <w:color w:val="auto"/>
                      <w:kern w:val="0"/>
                      <w:szCs w:val="21"/>
                    </w:rPr>
                  </w:pPr>
                  <w:r>
                    <w:rPr>
                      <w:rFonts w:hint="eastAsia"/>
                      <w:color w:val="auto"/>
                      <w:kern w:val="0"/>
                      <w:szCs w:val="21"/>
                    </w:rPr>
                    <w:t>危废间内中侧</w:t>
                  </w:r>
                </w:p>
              </w:tc>
              <w:tc>
                <w:tcPr>
                  <w:tcW w:w="490" w:type="pct"/>
                  <w:vMerge w:val="continue"/>
                  <w:vAlign w:val="center"/>
                </w:tcPr>
                <w:p>
                  <w:pPr>
                    <w:jc w:val="center"/>
                    <w:rPr>
                      <w:color w:val="auto"/>
                      <w:kern w:val="0"/>
                      <w:szCs w:val="21"/>
                    </w:rPr>
                  </w:pPr>
                </w:p>
              </w:tc>
              <w:tc>
                <w:tcPr>
                  <w:tcW w:w="598" w:type="pct"/>
                  <w:vAlign w:val="center"/>
                </w:tcPr>
                <w:p>
                  <w:pPr>
                    <w:topLinePunct/>
                    <w:adjustRightInd w:val="0"/>
                    <w:snapToGrid w:val="0"/>
                    <w:jc w:val="center"/>
                    <w:rPr>
                      <w:color w:val="auto"/>
                      <w:szCs w:val="21"/>
                    </w:rPr>
                  </w:pPr>
                  <w:r>
                    <w:rPr>
                      <w:rFonts w:hint="eastAsia"/>
                      <w:color w:val="auto"/>
                      <w:szCs w:val="21"/>
                    </w:rPr>
                    <w:t>桶装</w:t>
                  </w:r>
                </w:p>
              </w:tc>
              <w:tc>
                <w:tcPr>
                  <w:tcW w:w="1531" w:type="dxa"/>
                  <w:vAlign w:val="center"/>
                </w:tcPr>
                <w:p>
                  <w:pPr>
                    <w:spacing w:line="240" w:lineRule="exact"/>
                    <w:jc w:val="center"/>
                    <w:rPr>
                      <w:color w:val="auto"/>
                      <w:szCs w:val="21"/>
                    </w:rPr>
                  </w:pPr>
                  <w:r>
                    <w:rPr>
                      <w:rFonts w:hint="eastAsia"/>
                      <w:color w:val="auto"/>
                      <w:kern w:val="1"/>
                      <w:szCs w:val="21"/>
                    </w:rPr>
                    <w:t>0.05t/a</w:t>
                  </w:r>
                </w:p>
              </w:tc>
              <w:tc>
                <w:tcPr>
                  <w:tcW w:w="594" w:type="pct"/>
                  <w:vAlign w:val="center"/>
                </w:tcPr>
                <w:p>
                  <w:pPr>
                    <w:topLinePunct/>
                    <w:adjustRightInd w:val="0"/>
                    <w:snapToGrid w:val="0"/>
                    <w:jc w:val="center"/>
                    <w:rPr>
                      <w:color w:val="auto"/>
                      <w:kern w:val="0"/>
                      <w:szCs w:val="21"/>
                    </w:rPr>
                  </w:pPr>
                  <w:r>
                    <w:rPr>
                      <w:color w:val="auto"/>
                      <w:kern w:val="0"/>
                      <w:szCs w:val="21"/>
                    </w:rPr>
                    <w:t>12个月</w:t>
                  </w:r>
                </w:p>
              </w:tc>
            </w:tr>
          </w:tbl>
          <w:p>
            <w:pPr>
              <w:spacing w:line="360" w:lineRule="auto"/>
              <w:ind w:firstLine="472" w:firstLineChars="200"/>
              <w:rPr>
                <w:color w:val="auto"/>
                <w:sz w:val="24"/>
                <w:szCs w:val="24"/>
              </w:rPr>
            </w:pPr>
            <w:r>
              <w:rPr>
                <w:color w:val="auto"/>
                <w:sz w:val="24"/>
                <w:szCs w:val="24"/>
              </w:rPr>
              <w:t>本项目危险废物暂存间内暂存的危险废物分类存放，</w:t>
            </w:r>
            <w:r>
              <w:rPr>
                <w:rFonts w:hint="eastAsia"/>
                <w:color w:val="auto"/>
                <w:sz w:val="24"/>
                <w:szCs w:val="24"/>
              </w:rPr>
              <w:t>本项目</w:t>
            </w:r>
            <w:r>
              <w:rPr>
                <w:color w:val="auto"/>
                <w:sz w:val="24"/>
                <w:szCs w:val="24"/>
              </w:rPr>
              <w:t>危废包装容器占地面积</w:t>
            </w:r>
            <w:r>
              <w:rPr>
                <w:rFonts w:hint="eastAsia"/>
                <w:color w:val="auto"/>
                <w:sz w:val="24"/>
                <w:szCs w:val="24"/>
                <w:lang w:val="en-US" w:eastAsia="zh-CN"/>
              </w:rPr>
              <w:t>30</w:t>
            </w:r>
            <w:r>
              <w:rPr>
                <w:color w:val="auto"/>
                <w:sz w:val="24"/>
                <w:szCs w:val="24"/>
              </w:rPr>
              <w:t>m</w:t>
            </w:r>
            <w:r>
              <w:rPr>
                <w:color w:val="auto"/>
                <w:sz w:val="24"/>
                <w:szCs w:val="24"/>
                <w:vertAlign w:val="superscript"/>
              </w:rPr>
              <w:t>2</w:t>
            </w:r>
            <w:r>
              <w:rPr>
                <w:color w:val="auto"/>
                <w:sz w:val="24"/>
                <w:szCs w:val="24"/>
              </w:rPr>
              <w:t>，危废间面积能够满足全厂危险废物的暂存需求。</w:t>
            </w:r>
            <w:r>
              <w:rPr>
                <w:rFonts w:hint="eastAsia"/>
                <w:color w:val="auto"/>
                <w:sz w:val="24"/>
                <w:szCs w:val="24"/>
              </w:rPr>
              <w:t>本报告要求，和赢公司在危险废物的日常管理过程中要采取以下管理措施：</w:t>
            </w:r>
          </w:p>
          <w:p>
            <w:pPr>
              <w:spacing w:line="360" w:lineRule="auto"/>
              <w:ind w:firstLine="472" w:firstLineChars="200"/>
              <w:rPr>
                <w:rFonts w:eastAsiaTheme="minorEastAsia"/>
                <w:bCs/>
                <w:color w:val="auto"/>
                <w:sz w:val="24"/>
                <w:szCs w:val="22"/>
              </w:rPr>
            </w:pPr>
            <w:r>
              <w:rPr>
                <w:rFonts w:eastAsiaTheme="minorEastAsia"/>
                <w:bCs/>
                <w:color w:val="auto"/>
                <w:sz w:val="24"/>
                <w:szCs w:val="22"/>
              </w:rPr>
              <w:t>①各危险废物分类采用密闭容器进行盛装，且盛装容器贴有危险废物标识， 贮存间设置危险废物警示标志，由专人进行管理，</w:t>
            </w:r>
            <w:r>
              <w:rPr>
                <w:rFonts w:hint="eastAsia" w:eastAsiaTheme="minorEastAsia"/>
                <w:bCs/>
                <w:color w:val="auto"/>
                <w:sz w:val="24"/>
                <w:szCs w:val="22"/>
              </w:rPr>
              <w:t>建立</w:t>
            </w:r>
            <w:r>
              <w:rPr>
                <w:rFonts w:eastAsiaTheme="minorEastAsia"/>
                <w:bCs/>
                <w:color w:val="auto"/>
                <w:sz w:val="24"/>
                <w:szCs w:val="22"/>
              </w:rPr>
              <w:t>危险废物产生量及处置记录。</w:t>
            </w:r>
          </w:p>
          <w:p>
            <w:pPr>
              <w:spacing w:line="360" w:lineRule="auto"/>
              <w:ind w:firstLine="472" w:firstLineChars="200"/>
              <w:rPr>
                <w:rFonts w:eastAsiaTheme="minorEastAsia"/>
                <w:bCs/>
                <w:color w:val="auto"/>
                <w:sz w:val="24"/>
                <w:szCs w:val="22"/>
              </w:rPr>
            </w:pPr>
            <w:r>
              <w:rPr>
                <w:rFonts w:eastAsiaTheme="minorEastAsia"/>
                <w:bCs/>
                <w:color w:val="auto"/>
                <w:sz w:val="24"/>
                <w:szCs w:val="22"/>
              </w:rPr>
              <w:t xml:space="preserve">②危险废物收集、贮存、运输时应按腐蚀性、毒性、易燃性和反应性等危险特性进行分类、包装并设置相应的标志及标签。 </w:t>
            </w:r>
          </w:p>
          <w:p>
            <w:pPr>
              <w:spacing w:line="360" w:lineRule="auto"/>
              <w:ind w:firstLine="472" w:firstLineChars="200"/>
              <w:rPr>
                <w:rFonts w:eastAsiaTheme="minorEastAsia"/>
                <w:bCs/>
                <w:color w:val="auto"/>
                <w:sz w:val="24"/>
                <w:szCs w:val="22"/>
              </w:rPr>
            </w:pPr>
            <w:r>
              <w:rPr>
                <w:rFonts w:eastAsiaTheme="minorEastAsia"/>
                <w:bCs/>
                <w:color w:val="auto"/>
                <w:sz w:val="24"/>
                <w:szCs w:val="22"/>
              </w:rPr>
              <w:t>③对密闭容器定期进行检查，泄漏损坏时立即进行处理，并将其装入完好容器内。</w:t>
            </w:r>
          </w:p>
          <w:p>
            <w:pPr>
              <w:spacing w:line="360" w:lineRule="auto"/>
              <w:ind w:firstLine="472" w:firstLineChars="200"/>
              <w:rPr>
                <w:rFonts w:eastAsiaTheme="minorEastAsia"/>
                <w:bCs/>
                <w:color w:val="auto"/>
                <w:sz w:val="24"/>
                <w:szCs w:val="22"/>
              </w:rPr>
            </w:pPr>
            <w:r>
              <w:rPr>
                <w:rFonts w:eastAsiaTheme="minorEastAsia"/>
                <w:bCs/>
                <w:color w:val="auto"/>
                <w:sz w:val="24"/>
                <w:szCs w:val="22"/>
              </w:rPr>
              <w:t xml:space="preserve">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w:t>
            </w:r>
          </w:p>
          <w:p>
            <w:pPr>
              <w:spacing w:line="360" w:lineRule="auto"/>
              <w:ind w:firstLine="472" w:firstLineChars="200"/>
              <w:rPr>
                <w:color w:val="auto"/>
                <w:sz w:val="24"/>
                <w:szCs w:val="24"/>
              </w:rPr>
            </w:pPr>
            <w:r>
              <w:rPr>
                <w:rFonts w:eastAsiaTheme="minorEastAsia"/>
                <w:bCs/>
                <w:color w:val="auto"/>
                <w:sz w:val="24"/>
                <w:szCs w:val="22"/>
              </w:rPr>
              <w:t>⑤危险废物转移遵从《危险废物转移联单管理办法》及其他有关规定的要求。</w:t>
            </w:r>
          </w:p>
          <w:p>
            <w:pPr>
              <w:spacing w:line="360" w:lineRule="auto"/>
              <w:ind w:firstLine="472" w:firstLineChars="200"/>
              <w:rPr>
                <w:color w:val="auto"/>
                <w:kern w:val="0"/>
                <w:sz w:val="24"/>
                <w:szCs w:val="24"/>
              </w:rPr>
            </w:pPr>
            <w:r>
              <w:rPr>
                <w:rFonts w:hint="eastAsia"/>
                <w:color w:val="auto"/>
                <w:sz w:val="24"/>
                <w:szCs w:val="24"/>
              </w:rPr>
              <w:t>聚银公司</w:t>
            </w:r>
            <w:r>
              <w:rPr>
                <w:rFonts w:hint="eastAsia"/>
                <w:color w:val="auto"/>
                <w:kern w:val="0"/>
                <w:sz w:val="24"/>
                <w:szCs w:val="24"/>
              </w:rPr>
              <w:t>现有的危险废物管理措施较完善</w:t>
            </w:r>
            <w:r>
              <w:rPr>
                <w:color w:val="auto"/>
                <w:kern w:val="0"/>
                <w:sz w:val="24"/>
                <w:szCs w:val="24"/>
              </w:rPr>
              <w:t>，</w:t>
            </w:r>
            <w:r>
              <w:rPr>
                <w:rFonts w:hint="eastAsia"/>
                <w:color w:val="auto"/>
                <w:kern w:val="0"/>
                <w:sz w:val="24"/>
                <w:szCs w:val="24"/>
              </w:rPr>
              <w:t>本次产生的危险废物纳入现有的危废管理体系，现有的危废间可以满足全厂危险废物的储存要求，因此</w:t>
            </w:r>
            <w:r>
              <w:rPr>
                <w:color w:val="auto"/>
                <w:kern w:val="0"/>
                <w:sz w:val="24"/>
                <w:szCs w:val="24"/>
              </w:rPr>
              <w:t>危险废物贮存场所不会造成不利环境影响。</w:t>
            </w:r>
          </w:p>
          <w:p>
            <w:pPr>
              <w:spacing w:line="360" w:lineRule="auto"/>
              <w:ind w:firstLine="472" w:firstLineChars="200"/>
              <w:rPr>
                <w:color w:val="auto"/>
                <w:sz w:val="24"/>
                <w:szCs w:val="24"/>
              </w:rPr>
            </w:pPr>
            <w:r>
              <w:rPr>
                <w:rFonts w:hint="eastAsia"/>
                <w:color w:val="auto"/>
                <w:sz w:val="24"/>
                <w:szCs w:val="24"/>
              </w:rPr>
              <w:t>（3）危险废物运输过程的环境影响分析</w:t>
            </w:r>
          </w:p>
          <w:p>
            <w:pPr>
              <w:spacing w:line="360" w:lineRule="auto"/>
              <w:ind w:firstLine="472" w:firstLineChars="200"/>
              <w:rPr>
                <w:color w:val="auto"/>
                <w:sz w:val="24"/>
                <w:szCs w:val="24"/>
              </w:rPr>
            </w:pPr>
            <w:r>
              <w:rPr>
                <w:rFonts w:hint="eastAsia"/>
                <w:color w:val="auto"/>
                <w:sz w:val="24"/>
                <w:szCs w:val="24"/>
              </w:rPr>
              <w:t>经现场踏勘，本项目危险废物产生及贮存场所距离近，厂房地面及运输通道已采取硬化和防腐防渗措施，危险废物从产生工艺环节运输到暂存场所的过程中产生散落和泄漏较易控制，对周边环境敏感点及地下水环境影响小。</w:t>
            </w:r>
          </w:p>
          <w:p>
            <w:pPr>
              <w:spacing w:line="360" w:lineRule="auto"/>
              <w:ind w:firstLine="472" w:firstLineChars="200"/>
              <w:rPr>
                <w:color w:val="auto"/>
                <w:sz w:val="24"/>
                <w:szCs w:val="24"/>
              </w:rPr>
            </w:pPr>
            <w:r>
              <w:rPr>
                <w:rFonts w:hint="eastAsia"/>
                <w:color w:val="auto"/>
                <w:sz w:val="24"/>
                <w:szCs w:val="24"/>
              </w:rPr>
              <w:t>（4）委托利用或者处置的环境影响分析</w:t>
            </w:r>
          </w:p>
          <w:p>
            <w:pPr>
              <w:spacing w:line="360" w:lineRule="auto"/>
              <w:ind w:firstLine="472" w:firstLineChars="200"/>
              <w:rPr>
                <w:color w:val="auto"/>
                <w:sz w:val="24"/>
                <w:szCs w:val="24"/>
              </w:rPr>
            </w:pPr>
            <w:r>
              <w:rPr>
                <w:rFonts w:hint="eastAsia"/>
                <w:color w:val="auto"/>
                <w:sz w:val="24"/>
                <w:szCs w:val="24"/>
              </w:rPr>
              <w:t>本项目危险废物均委托具有相应处理资质的单位进行处置，该资质单位必须是能提供专业收集、运输、贮存、处理处置及综合利用危险废物及相关环境服务的企业，须持有环保部颁发的《危险废物经营许可证》。本项目产生的危险废物类别均应在其经营范围内，且危险废物产生量较小，不会对其处理负荷造成冲击，不会产生显著的环境影响。</w:t>
            </w:r>
          </w:p>
          <w:p>
            <w:pPr>
              <w:spacing w:line="360" w:lineRule="auto"/>
              <w:ind w:firstLine="472" w:firstLineChars="200"/>
              <w:rPr>
                <w:rFonts w:eastAsiaTheme="minorEastAsia"/>
                <w:color w:val="auto"/>
                <w:sz w:val="24"/>
                <w:szCs w:val="24"/>
              </w:rPr>
            </w:pPr>
            <w:r>
              <w:rPr>
                <w:rFonts w:hint="eastAsia"/>
                <w:color w:val="auto"/>
                <w:sz w:val="24"/>
                <w:szCs w:val="24"/>
              </w:rPr>
              <w:t>综上所述，本项目产生的固体废物均能得到妥善处置，不会对当地的景观环境和生态环境造成污染影响。</w:t>
            </w:r>
          </w:p>
          <w:p>
            <w:pPr>
              <w:spacing w:line="360" w:lineRule="auto"/>
              <w:ind w:left="482"/>
              <w:rPr>
                <w:b/>
                <w:bCs/>
                <w:color w:val="auto"/>
                <w:kern w:val="1"/>
                <w:sz w:val="24"/>
                <w:szCs w:val="24"/>
              </w:rPr>
            </w:pPr>
            <w:r>
              <w:rPr>
                <w:b/>
                <w:bCs/>
                <w:color w:val="auto"/>
                <w:kern w:val="1"/>
                <w:sz w:val="24"/>
                <w:szCs w:val="24"/>
              </w:rPr>
              <w:t>五、土壤环境影响分析</w:t>
            </w:r>
          </w:p>
          <w:p>
            <w:pPr>
              <w:spacing w:line="360" w:lineRule="auto"/>
              <w:ind w:firstLine="482"/>
              <w:rPr>
                <w:color w:val="auto"/>
                <w:kern w:val="1"/>
                <w:sz w:val="24"/>
                <w:szCs w:val="24"/>
              </w:rPr>
            </w:pPr>
            <w:r>
              <w:rPr>
                <w:rFonts w:hint="eastAsia"/>
                <w:color w:val="auto"/>
                <w:kern w:val="1"/>
                <w:sz w:val="24"/>
                <w:szCs w:val="24"/>
              </w:rPr>
              <w:t>本项目实施后，由于严格按照要求采取防渗措施，在正常情况下不会发生脱脂废水、清洗废水等工业废水泄露或者危废遗洒进入土壤污染土壤环境。因此，脱脂废水、清洗废水等工业废水垂直入渗或者危废包装桶发生破损遗洒主要是非正常情况下造成土壤影响。非正常状况下垂直入渗土壤污染主要为污水处理池体或者车间防渗层破损，危废间废液压油等液态危险废物包装桶发生破损导致工业废水泄漏垂直入渗进入土壤，主要污染源为喷涂生产线前处理区域、一体化污水处理设施和危废暂存间。</w:t>
            </w:r>
          </w:p>
          <w:p>
            <w:pPr>
              <w:spacing w:line="360" w:lineRule="auto"/>
              <w:ind w:firstLine="482"/>
              <w:rPr>
                <w:color w:val="auto"/>
                <w:kern w:val="1"/>
                <w:sz w:val="24"/>
                <w:szCs w:val="24"/>
              </w:rPr>
            </w:pPr>
            <w:r>
              <w:rPr>
                <w:rFonts w:hint="eastAsia"/>
                <w:color w:val="auto"/>
                <w:kern w:val="1"/>
                <w:sz w:val="24"/>
                <w:szCs w:val="24"/>
              </w:rPr>
              <w:t xml:space="preserve">本项目土壤污染防治措施按照“源头控制、过程防控、跟踪监测、应急响应”相结合的原则，从污染物的产生、运移、扩散、应急响应全阶段进行控制。 </w:t>
            </w:r>
          </w:p>
          <w:p>
            <w:pPr>
              <w:spacing w:line="360" w:lineRule="auto"/>
              <w:ind w:firstLine="482"/>
              <w:rPr>
                <w:color w:val="auto"/>
                <w:kern w:val="1"/>
                <w:sz w:val="24"/>
                <w:szCs w:val="24"/>
              </w:rPr>
            </w:pPr>
            <w:r>
              <w:rPr>
                <w:rFonts w:hint="eastAsia"/>
                <w:color w:val="auto"/>
                <w:kern w:val="1"/>
                <w:sz w:val="24"/>
                <w:szCs w:val="24"/>
              </w:rPr>
              <w:t>①源头控制：从源头上减少可能污染物产生，严格按照国家相关规范要求，采取相应的措施，以防止和降低污染物的跑、冒、滴、漏，将危险废物泄漏的环境风险事故降低到最低程度。</w:t>
            </w:r>
          </w:p>
          <w:p>
            <w:pPr>
              <w:spacing w:line="360" w:lineRule="auto"/>
              <w:ind w:firstLine="482"/>
              <w:rPr>
                <w:color w:val="auto"/>
                <w:kern w:val="1"/>
                <w:sz w:val="24"/>
                <w:szCs w:val="24"/>
              </w:rPr>
            </w:pPr>
            <w:r>
              <w:rPr>
                <w:rFonts w:hint="eastAsia"/>
                <w:color w:val="auto"/>
                <w:kern w:val="1"/>
                <w:sz w:val="24"/>
                <w:szCs w:val="24"/>
              </w:rPr>
              <w:t>②过程防控：为避免入渗途径的影响，对危废暂存间贮存场所采取相应的防渗措施，具体防渗措施见地下水章节。</w:t>
            </w:r>
          </w:p>
          <w:p>
            <w:pPr>
              <w:pStyle w:val="24"/>
              <w:spacing w:line="360" w:lineRule="auto"/>
              <w:ind w:left="412" w:leftChars="200"/>
              <w:rPr>
                <w:rFonts w:hAnsi="宋体"/>
                <w:b/>
                <w:color w:val="auto"/>
              </w:rPr>
            </w:pPr>
            <w:r>
              <w:rPr>
                <w:rFonts w:hint="eastAsia"/>
                <w:b/>
                <w:color w:val="auto"/>
              </w:rPr>
              <w:t>六</w:t>
            </w:r>
            <w:r>
              <w:rPr>
                <w:b/>
                <w:color w:val="auto"/>
              </w:rPr>
              <w:t>、</w:t>
            </w:r>
            <w:r>
              <w:rPr>
                <w:rFonts w:hint="eastAsia" w:hAnsi="宋体"/>
                <w:b/>
                <w:color w:val="auto"/>
              </w:rPr>
              <w:t>风险分析</w:t>
            </w:r>
          </w:p>
          <w:p>
            <w:pPr>
              <w:pStyle w:val="24"/>
              <w:spacing w:line="360" w:lineRule="auto"/>
              <w:ind w:firstLine="472" w:firstLineChars="200"/>
              <w:rPr>
                <w:bCs/>
                <w:color w:val="auto"/>
              </w:rPr>
            </w:pPr>
            <w:r>
              <w:rPr>
                <w:rFonts w:hint="eastAsia"/>
                <w:bCs/>
                <w:color w:val="auto"/>
              </w:rPr>
              <w:t>1、</w:t>
            </w:r>
            <w:r>
              <w:rPr>
                <w:bCs/>
                <w:color w:val="auto"/>
              </w:rPr>
              <w:t>环境风险</w:t>
            </w:r>
            <w:r>
              <w:rPr>
                <w:rFonts w:hint="eastAsia"/>
                <w:bCs/>
                <w:color w:val="auto"/>
              </w:rPr>
              <w:t>物质</w:t>
            </w:r>
          </w:p>
          <w:p>
            <w:pPr>
              <w:pStyle w:val="24"/>
              <w:spacing w:line="360" w:lineRule="auto"/>
              <w:ind w:firstLine="472" w:firstLineChars="200"/>
              <w:rPr>
                <w:bCs/>
                <w:color w:val="auto"/>
              </w:rPr>
            </w:pPr>
            <w:r>
              <w:rPr>
                <w:bCs/>
                <w:color w:val="auto"/>
              </w:rPr>
              <w:t>根据《建设项目环境风险评价技术导则》（HJ169-2018），</w:t>
            </w:r>
            <w:r>
              <w:rPr>
                <w:rFonts w:hint="eastAsia"/>
                <w:bCs/>
                <w:color w:val="auto"/>
              </w:rPr>
              <w:t>本项目水洗后烘干工序和固化工序使用的天然气，液压设备使用的液压油和危废暂存间储存的废液压油属于环境风险物质，天然气、废液压油属于易燃易爆物质。根据《建设项目环境风险评价技术导则》（</w:t>
            </w:r>
            <w:r>
              <w:rPr>
                <w:bCs/>
                <w:color w:val="auto"/>
              </w:rPr>
              <w:t>HJ169-2018</w:t>
            </w:r>
            <w:r>
              <w:rPr>
                <w:rFonts w:hint="eastAsia"/>
                <w:bCs/>
                <w:color w:val="auto"/>
              </w:rPr>
              <w:t>）附录</w:t>
            </w:r>
            <w:r>
              <w:rPr>
                <w:bCs/>
                <w:color w:val="auto"/>
              </w:rPr>
              <w:t>B</w:t>
            </w:r>
            <w:r>
              <w:rPr>
                <w:rFonts w:hint="eastAsia"/>
                <w:bCs/>
                <w:color w:val="auto"/>
              </w:rPr>
              <w:t>，本项目重点关注的危险物质主要为甲烷和油类物质，甲烷临界量为</w:t>
            </w:r>
            <w:r>
              <w:rPr>
                <w:bCs/>
                <w:color w:val="auto"/>
              </w:rPr>
              <w:t>10t</w:t>
            </w:r>
            <w:r>
              <w:rPr>
                <w:rFonts w:hint="eastAsia"/>
                <w:bCs/>
                <w:color w:val="auto"/>
              </w:rPr>
              <w:t>，油类物质临界量为2500t，本项目天然气由园区管网接入，厂区内天然气主要存在管道中，最大储存量</w:t>
            </w:r>
            <w:r>
              <w:rPr>
                <w:rFonts w:hint="eastAsia"/>
                <w:bCs/>
                <w:color w:val="auto"/>
                <w:lang w:val="en-US" w:eastAsia="zh-CN"/>
              </w:rPr>
              <w:t>0.05</w:t>
            </w:r>
            <w:r>
              <w:rPr>
                <w:rFonts w:hint="eastAsia"/>
                <w:bCs/>
                <w:color w:val="auto"/>
              </w:rPr>
              <w:t>t，天然气储存量均远小于临界量10t，</w:t>
            </w:r>
            <w:r>
              <w:rPr>
                <w:rFonts w:hint="eastAsia"/>
                <w:bCs/>
                <w:color w:val="auto"/>
                <w:lang w:val="en-US" w:eastAsia="zh-CN"/>
              </w:rPr>
              <w:t>液压油全厂最大储存量为0.2t/a，</w:t>
            </w:r>
            <w:r>
              <w:rPr>
                <w:rFonts w:hint="eastAsia"/>
                <w:bCs/>
                <w:color w:val="auto"/>
              </w:rPr>
              <w:t>废油全厂最大储存量为1.0t/a，远小于油类物质临界量2500t，环境风险物质Q＜1，厂区内环境风险潜势为Ⅰ，评价工作等级为简单分析。</w:t>
            </w:r>
          </w:p>
          <w:p>
            <w:pPr>
              <w:pStyle w:val="24"/>
              <w:spacing w:line="360" w:lineRule="auto"/>
              <w:ind w:firstLine="472" w:firstLineChars="200"/>
              <w:rPr>
                <w:bCs/>
                <w:color w:val="auto"/>
              </w:rPr>
            </w:pPr>
            <w:r>
              <w:rPr>
                <w:rFonts w:hint="eastAsia"/>
                <w:bCs/>
                <w:color w:val="auto"/>
              </w:rPr>
              <w:t>2、</w:t>
            </w:r>
            <w:r>
              <w:rPr>
                <w:bCs/>
                <w:color w:val="auto"/>
              </w:rPr>
              <w:t>环境风险影响分析</w:t>
            </w:r>
          </w:p>
          <w:p>
            <w:pPr>
              <w:pStyle w:val="24"/>
              <w:spacing w:line="360" w:lineRule="auto"/>
              <w:ind w:firstLine="472" w:firstLineChars="200"/>
              <w:rPr>
                <w:bCs/>
                <w:color w:val="auto"/>
              </w:rPr>
            </w:pPr>
            <w:r>
              <w:rPr>
                <w:rFonts w:hint="eastAsia"/>
                <w:bCs/>
                <w:color w:val="auto"/>
              </w:rPr>
              <w:t>本项目环境风险类型包括天然气、废油泄漏，火灾、爆炸等引发的伴生</w:t>
            </w:r>
            <w:r>
              <w:rPr>
                <w:bCs/>
                <w:color w:val="auto"/>
              </w:rPr>
              <w:t>/</w:t>
            </w:r>
            <w:r>
              <w:rPr>
                <w:rFonts w:hint="eastAsia"/>
                <w:bCs/>
                <w:color w:val="auto"/>
              </w:rPr>
              <w:t>次生污染物排放。天然气泄漏产生的甲烷或者泄露后的火灾事故中未完全燃烧产生的伴生污染物</w:t>
            </w:r>
            <w:r>
              <w:rPr>
                <w:bCs/>
                <w:color w:val="auto"/>
              </w:rPr>
              <w:t>CO</w:t>
            </w:r>
            <w:r>
              <w:rPr>
                <w:rFonts w:hint="eastAsia"/>
                <w:bCs/>
                <w:color w:val="auto"/>
              </w:rPr>
              <w:t>，会对周围大气环境造成影响，火灾事故时产生的消防废水和事故后维修作业废水，可能通过滴漏对周边土壤和地下水造成影响。废油</w:t>
            </w:r>
            <w:r>
              <w:rPr>
                <w:bCs/>
                <w:color w:val="auto"/>
              </w:rPr>
              <w:t>在厂内</w:t>
            </w:r>
            <w:r>
              <w:rPr>
                <w:rFonts w:hint="eastAsia"/>
                <w:bCs/>
                <w:color w:val="auto"/>
              </w:rPr>
              <w:t>暂</w:t>
            </w:r>
            <w:r>
              <w:rPr>
                <w:bCs/>
                <w:color w:val="auto"/>
              </w:rPr>
              <w:t>存过程</w:t>
            </w:r>
            <w:r>
              <w:rPr>
                <w:rFonts w:hint="eastAsia"/>
                <w:bCs/>
                <w:color w:val="auto"/>
              </w:rPr>
              <w:t>发生</w:t>
            </w:r>
            <w:r>
              <w:rPr>
                <w:bCs/>
                <w:color w:val="auto"/>
              </w:rPr>
              <w:t>泄漏</w:t>
            </w:r>
            <w:r>
              <w:rPr>
                <w:rFonts w:hint="eastAsia"/>
                <w:bCs/>
                <w:color w:val="auto"/>
              </w:rPr>
              <w:t>，可能污染附近土壤环境和地下水环境；废油泄露后火灾事故中未完全燃烧产生的伴生污染物</w:t>
            </w:r>
            <w:r>
              <w:rPr>
                <w:bCs/>
                <w:color w:val="auto"/>
              </w:rPr>
              <w:t>CO</w:t>
            </w:r>
            <w:r>
              <w:rPr>
                <w:rFonts w:hint="eastAsia"/>
                <w:bCs/>
                <w:color w:val="auto"/>
              </w:rPr>
              <w:t>，会对周围大气环境造成影响，火灾事故时产生的消防废水和事故后维修作业废水，可能通过滴漏对周边土壤和地下水造成影响。</w:t>
            </w:r>
          </w:p>
          <w:p>
            <w:pPr>
              <w:pStyle w:val="24"/>
              <w:spacing w:line="360" w:lineRule="auto"/>
              <w:ind w:firstLine="472" w:firstLineChars="200"/>
              <w:rPr>
                <w:bCs/>
                <w:color w:val="auto"/>
              </w:rPr>
            </w:pPr>
            <w:r>
              <w:rPr>
                <w:rFonts w:hint="eastAsia"/>
                <w:bCs/>
                <w:color w:val="auto"/>
              </w:rPr>
              <w:t>2</w:t>
            </w:r>
            <w:r>
              <w:rPr>
                <w:bCs/>
                <w:color w:val="auto"/>
              </w:rPr>
              <w:t>、风险防范措施</w:t>
            </w:r>
          </w:p>
          <w:p>
            <w:pPr>
              <w:pStyle w:val="24"/>
              <w:spacing w:line="360" w:lineRule="auto"/>
              <w:ind w:firstLine="472" w:firstLineChars="200"/>
              <w:rPr>
                <w:color w:val="auto"/>
                <w:szCs w:val="28"/>
              </w:rPr>
            </w:pPr>
            <w:r>
              <w:rPr>
                <w:rFonts w:hint="eastAsia"/>
                <w:color w:val="auto"/>
                <w:szCs w:val="28"/>
              </w:rPr>
              <w:t>1）油类物质风险防范措施</w:t>
            </w:r>
          </w:p>
          <w:p>
            <w:pPr>
              <w:pStyle w:val="24"/>
              <w:spacing w:line="360" w:lineRule="auto"/>
              <w:ind w:firstLine="472" w:firstLineChars="200"/>
              <w:rPr>
                <w:bCs/>
                <w:color w:val="auto"/>
              </w:rPr>
            </w:pPr>
            <w:r>
              <w:rPr>
                <w:rFonts w:hint="eastAsia"/>
                <w:color w:val="auto"/>
                <w:szCs w:val="28"/>
              </w:rPr>
              <w:t>废油</w:t>
            </w:r>
            <w:r>
              <w:rPr>
                <w:bCs/>
                <w:color w:val="auto"/>
              </w:rPr>
              <w:t>暂存于厂区内危废暂存间，定期由资质单位运输和处置</w:t>
            </w:r>
            <w:r>
              <w:rPr>
                <w:rFonts w:hint="eastAsia"/>
                <w:bCs/>
                <w:color w:val="auto"/>
              </w:rPr>
              <w:t>，</w:t>
            </w:r>
            <w:r>
              <w:rPr>
                <w:bCs/>
                <w:color w:val="auto"/>
              </w:rPr>
              <w:t>危废暂存间</w:t>
            </w:r>
            <w:r>
              <w:rPr>
                <w:rFonts w:hint="eastAsia"/>
                <w:bCs/>
                <w:color w:val="auto"/>
              </w:rPr>
              <w:t>应</w:t>
            </w:r>
            <w:r>
              <w:rPr>
                <w:bCs/>
                <w:color w:val="auto"/>
              </w:rPr>
              <w:t>按照《危险废物贮存污染控制标准》（GB18597-2001）及其修改单（公告2013年第36号）相关要求进行设计与施工建设</w:t>
            </w:r>
            <w:r>
              <w:rPr>
                <w:rFonts w:hint="eastAsia"/>
                <w:bCs/>
                <w:color w:val="auto"/>
              </w:rPr>
              <w:t>。</w:t>
            </w:r>
          </w:p>
          <w:p>
            <w:pPr>
              <w:pStyle w:val="24"/>
              <w:spacing w:line="360" w:lineRule="auto"/>
              <w:ind w:firstLine="472" w:firstLineChars="200"/>
              <w:rPr>
                <w:bCs/>
                <w:color w:val="auto"/>
              </w:rPr>
            </w:pPr>
            <w:r>
              <w:rPr>
                <w:rFonts w:hint="eastAsia"/>
                <w:bCs/>
                <w:color w:val="auto"/>
              </w:rPr>
              <w:t>对</w:t>
            </w:r>
            <w:r>
              <w:rPr>
                <w:bCs/>
                <w:color w:val="auto"/>
              </w:rPr>
              <w:t>危废暂存间</w:t>
            </w:r>
            <w:r>
              <w:rPr>
                <w:rFonts w:hint="eastAsia"/>
                <w:bCs/>
                <w:color w:val="auto"/>
              </w:rPr>
              <w:t>的</w:t>
            </w:r>
            <w:r>
              <w:rPr>
                <w:rFonts w:hint="eastAsia"/>
                <w:color w:val="auto"/>
                <w:szCs w:val="28"/>
              </w:rPr>
              <w:t>废油的</w:t>
            </w:r>
            <w:r>
              <w:rPr>
                <w:bCs/>
                <w:color w:val="auto"/>
              </w:rPr>
              <w:t>日常管理与检查，对于</w:t>
            </w:r>
            <w:r>
              <w:rPr>
                <w:rFonts w:hint="eastAsia"/>
                <w:bCs/>
                <w:color w:val="auto"/>
              </w:rPr>
              <w:t>油类物质</w:t>
            </w:r>
            <w:r>
              <w:rPr>
                <w:bCs/>
                <w:color w:val="auto"/>
              </w:rPr>
              <w:t>泄漏</w:t>
            </w:r>
            <w:r>
              <w:rPr>
                <w:rFonts w:hint="eastAsia"/>
                <w:bCs/>
                <w:color w:val="auto"/>
              </w:rPr>
              <w:t>和泄露遇明火发生火灾爆炸事故的预防和</w:t>
            </w:r>
            <w:r>
              <w:rPr>
                <w:bCs/>
                <w:color w:val="auto"/>
              </w:rPr>
              <w:t>防</w:t>
            </w:r>
            <w:r>
              <w:rPr>
                <w:rFonts w:hint="eastAsia"/>
                <w:bCs/>
                <w:color w:val="auto"/>
              </w:rPr>
              <w:t>治</w:t>
            </w:r>
            <w:r>
              <w:rPr>
                <w:bCs/>
                <w:color w:val="auto"/>
              </w:rPr>
              <w:t>是十分重要的，具体措施如下：</w:t>
            </w:r>
          </w:p>
          <w:p>
            <w:pPr>
              <w:spacing w:line="360" w:lineRule="auto"/>
              <w:ind w:firstLine="472" w:firstLineChars="200"/>
              <w:rPr>
                <w:bCs/>
                <w:color w:val="auto"/>
                <w:sz w:val="24"/>
              </w:rPr>
            </w:pPr>
            <w:r>
              <w:rPr>
                <w:rFonts w:hint="eastAsia"/>
                <w:bCs/>
                <w:color w:val="auto"/>
                <w:sz w:val="24"/>
              </w:rPr>
              <w:t>a.</w:t>
            </w:r>
            <w:r>
              <w:rPr>
                <w:bCs/>
                <w:color w:val="auto"/>
                <w:sz w:val="24"/>
              </w:rPr>
              <w:t>制定烟火管理制度，制定设备安全使用制度及检测维修制度，并得到认真贯彻落实</w:t>
            </w:r>
            <w:r>
              <w:rPr>
                <w:rFonts w:hint="eastAsia"/>
                <w:bCs/>
                <w:color w:val="auto"/>
                <w:sz w:val="24"/>
              </w:rPr>
              <w:t>。</w:t>
            </w:r>
          </w:p>
          <w:p>
            <w:pPr>
              <w:spacing w:line="360" w:lineRule="auto"/>
              <w:ind w:firstLine="472" w:firstLineChars="200"/>
              <w:rPr>
                <w:bCs/>
                <w:color w:val="auto"/>
                <w:sz w:val="24"/>
              </w:rPr>
            </w:pPr>
            <w:r>
              <w:rPr>
                <w:rFonts w:hint="eastAsia"/>
                <w:bCs/>
                <w:color w:val="auto"/>
                <w:sz w:val="24"/>
              </w:rPr>
              <w:t>b.</w:t>
            </w:r>
            <w:r>
              <w:rPr>
                <w:bCs/>
                <w:color w:val="auto"/>
                <w:sz w:val="24"/>
              </w:rPr>
              <w:t>制定动火管理制度：在设备维修必须动火时，一定按动火、防火管理制度执行，加强监督管理，保证不发生火灾</w:t>
            </w:r>
            <w:r>
              <w:rPr>
                <w:rFonts w:hint="eastAsia"/>
                <w:bCs/>
                <w:color w:val="auto"/>
                <w:sz w:val="24"/>
              </w:rPr>
              <w:t>。</w:t>
            </w:r>
          </w:p>
          <w:p>
            <w:pPr>
              <w:spacing w:line="360" w:lineRule="auto"/>
              <w:ind w:firstLine="472" w:firstLineChars="200"/>
              <w:rPr>
                <w:bCs/>
                <w:color w:val="auto"/>
                <w:sz w:val="24"/>
              </w:rPr>
            </w:pPr>
            <w:r>
              <w:rPr>
                <w:rFonts w:hint="eastAsia"/>
                <w:bCs/>
                <w:color w:val="auto"/>
                <w:sz w:val="24"/>
              </w:rPr>
              <w:t>c.</w:t>
            </w:r>
            <w:r>
              <w:rPr>
                <w:bCs/>
                <w:color w:val="auto"/>
                <w:sz w:val="24"/>
              </w:rPr>
              <w:t>设防火、防爆、防中毒等事故处理系统；配备应急救援</w:t>
            </w:r>
            <w:r>
              <w:rPr>
                <w:rFonts w:hint="eastAsia"/>
                <w:bCs/>
                <w:color w:val="auto"/>
                <w:sz w:val="24"/>
              </w:rPr>
              <w:t>物资</w:t>
            </w:r>
            <w:r>
              <w:rPr>
                <w:bCs/>
                <w:color w:val="auto"/>
                <w:sz w:val="24"/>
              </w:rPr>
              <w:t>，设计救援通道和应急疏散通道</w:t>
            </w:r>
            <w:r>
              <w:rPr>
                <w:rFonts w:hint="eastAsia"/>
                <w:bCs/>
                <w:color w:val="auto"/>
                <w:sz w:val="24"/>
              </w:rPr>
              <w:t>。</w:t>
            </w:r>
          </w:p>
          <w:p>
            <w:pPr>
              <w:spacing w:line="360" w:lineRule="auto"/>
              <w:ind w:firstLine="472" w:firstLineChars="200"/>
              <w:rPr>
                <w:bCs/>
                <w:color w:val="auto"/>
              </w:rPr>
            </w:pPr>
            <w:r>
              <w:rPr>
                <w:rFonts w:hint="eastAsia"/>
                <w:bCs/>
                <w:color w:val="auto"/>
                <w:sz w:val="24"/>
              </w:rPr>
              <w:t>d.</w:t>
            </w:r>
            <w:r>
              <w:rPr>
                <w:bCs/>
                <w:color w:val="auto"/>
                <w:sz w:val="24"/>
              </w:rPr>
              <w:t>加强对职工的安全知识教育，包括消防知识、化学品物性、救护、逃生、触电等各方面知识的教育，提高职工的素质和技能，定期进行消防事故演练。</w:t>
            </w:r>
          </w:p>
          <w:p>
            <w:pPr>
              <w:pStyle w:val="24"/>
              <w:spacing w:line="360" w:lineRule="auto"/>
              <w:ind w:firstLine="472" w:firstLineChars="200"/>
              <w:rPr>
                <w:bCs/>
                <w:color w:val="auto"/>
              </w:rPr>
            </w:pPr>
            <w:r>
              <w:rPr>
                <w:rFonts w:hint="eastAsia"/>
                <w:bCs/>
                <w:color w:val="auto"/>
              </w:rPr>
              <w:t>e.项目</w:t>
            </w:r>
            <w:r>
              <w:rPr>
                <w:rFonts w:hint="eastAsia"/>
                <w:color w:val="auto"/>
              </w:rPr>
              <w:t>废液压油</w:t>
            </w:r>
            <w:r>
              <w:rPr>
                <w:bCs/>
                <w:color w:val="auto"/>
              </w:rPr>
              <w:t>为桶装，</w:t>
            </w:r>
            <w:r>
              <w:rPr>
                <w:rFonts w:hint="eastAsia"/>
                <w:bCs/>
                <w:color w:val="auto"/>
              </w:rPr>
              <w:t>且</w:t>
            </w:r>
            <w:r>
              <w:rPr>
                <w:bCs/>
                <w:color w:val="auto"/>
              </w:rPr>
              <w:t>周围设置围堰并做防渗漏、防流失措施，四周设有导流</w:t>
            </w:r>
            <w:r>
              <w:rPr>
                <w:rFonts w:hint="eastAsia"/>
                <w:bCs/>
                <w:color w:val="auto"/>
              </w:rPr>
              <w:t>槽</w:t>
            </w:r>
            <w:r>
              <w:rPr>
                <w:bCs/>
                <w:color w:val="auto"/>
              </w:rPr>
              <w:t>可将</w:t>
            </w:r>
            <w:r>
              <w:rPr>
                <w:rFonts w:hint="eastAsia"/>
                <w:bCs/>
                <w:color w:val="auto"/>
              </w:rPr>
              <w:t>液体</w:t>
            </w:r>
            <w:r>
              <w:rPr>
                <w:bCs/>
                <w:color w:val="auto"/>
              </w:rPr>
              <w:t>泄漏物引流</w:t>
            </w:r>
            <w:r>
              <w:rPr>
                <w:rFonts w:hint="eastAsia"/>
                <w:bCs/>
                <w:color w:val="auto"/>
              </w:rPr>
              <w:t>并收集</w:t>
            </w:r>
            <w:r>
              <w:rPr>
                <w:bCs/>
                <w:color w:val="auto"/>
              </w:rPr>
              <w:t>。每月盘查</w:t>
            </w:r>
            <w:r>
              <w:rPr>
                <w:rFonts w:hint="eastAsia"/>
                <w:bCs/>
                <w:color w:val="auto"/>
              </w:rPr>
              <w:t>废废机油</w:t>
            </w:r>
            <w:r>
              <w:rPr>
                <w:bCs/>
                <w:color w:val="auto"/>
              </w:rPr>
              <w:t>包装桶，如有异常亏损时，立即作追踪检查，必要时立即更换；</w:t>
            </w:r>
          </w:p>
          <w:p>
            <w:pPr>
              <w:pStyle w:val="24"/>
              <w:spacing w:line="360" w:lineRule="auto"/>
              <w:ind w:firstLine="472" w:firstLineChars="200"/>
              <w:rPr>
                <w:bCs/>
                <w:color w:val="auto"/>
              </w:rPr>
            </w:pPr>
            <w:r>
              <w:rPr>
                <w:rFonts w:hint="eastAsia"/>
                <w:bCs/>
                <w:color w:val="auto"/>
              </w:rPr>
              <w:t>f.</w:t>
            </w:r>
            <w:r>
              <w:rPr>
                <w:bCs/>
                <w:color w:val="auto"/>
              </w:rPr>
              <w:t>制订“泄漏事故记事表”，以掌握发生泄漏事件的原因以及频率，作为</w:t>
            </w:r>
            <w:r>
              <w:rPr>
                <w:rFonts w:hint="eastAsia"/>
                <w:bCs/>
                <w:color w:val="auto"/>
              </w:rPr>
              <w:t>废挥发油、废机油</w:t>
            </w:r>
            <w:r>
              <w:rPr>
                <w:bCs/>
                <w:color w:val="auto"/>
              </w:rPr>
              <w:t>包装桶防漏管理及污染整治的参考；</w:t>
            </w:r>
          </w:p>
          <w:p>
            <w:pPr>
              <w:pStyle w:val="24"/>
              <w:spacing w:line="360" w:lineRule="auto"/>
              <w:ind w:firstLine="472" w:firstLineChars="200"/>
              <w:rPr>
                <w:bCs/>
                <w:color w:val="auto"/>
              </w:rPr>
            </w:pPr>
            <w:r>
              <w:rPr>
                <w:rFonts w:hint="eastAsia"/>
                <w:bCs/>
                <w:color w:val="auto"/>
              </w:rPr>
              <w:t>g.</w:t>
            </w:r>
            <w:r>
              <w:rPr>
                <w:rFonts w:hint="eastAsia"/>
                <w:color w:val="auto"/>
                <w:szCs w:val="28"/>
              </w:rPr>
              <w:t>废液压油</w:t>
            </w:r>
            <w:r>
              <w:rPr>
                <w:bCs/>
                <w:color w:val="auto"/>
              </w:rPr>
              <w:t>包装桶的地基和支撑结构应定期检查，检查的结果应存档以备将来参考。</w:t>
            </w:r>
          </w:p>
          <w:p>
            <w:pPr>
              <w:autoSpaceDE w:val="0"/>
              <w:spacing w:line="360" w:lineRule="auto"/>
              <w:ind w:firstLine="472" w:firstLineChars="200"/>
              <w:rPr>
                <w:rFonts w:ascii="宋体" w:hAnsi="宋体"/>
                <w:color w:val="auto"/>
                <w:sz w:val="24"/>
                <w:szCs w:val="24"/>
              </w:rPr>
            </w:pPr>
            <w:r>
              <w:rPr>
                <w:rFonts w:hint="eastAsia" w:ascii="宋体" w:hAnsi="宋体"/>
                <w:color w:val="auto"/>
                <w:sz w:val="24"/>
                <w:szCs w:val="24"/>
              </w:rPr>
              <w:t>2）天然气风险防范措施</w:t>
            </w:r>
          </w:p>
          <w:p>
            <w:pPr>
              <w:pStyle w:val="24"/>
              <w:spacing w:line="360" w:lineRule="auto"/>
              <w:ind w:firstLine="472" w:firstLineChars="200"/>
              <w:rPr>
                <w:bCs/>
                <w:color w:val="auto"/>
              </w:rPr>
            </w:pPr>
            <w:r>
              <w:rPr>
                <w:rFonts w:hint="eastAsia"/>
                <w:bCs/>
                <w:color w:val="auto"/>
              </w:rPr>
              <w:t xml:space="preserve">a.在划定的防爆区，所有的固定、移动设备、电器开关、照明装置均采用防爆型。 </w:t>
            </w:r>
          </w:p>
          <w:p>
            <w:pPr>
              <w:pStyle w:val="24"/>
              <w:spacing w:line="360" w:lineRule="auto"/>
              <w:ind w:firstLine="472" w:firstLineChars="200"/>
              <w:rPr>
                <w:bCs/>
                <w:color w:val="auto"/>
              </w:rPr>
            </w:pPr>
            <w:r>
              <w:rPr>
                <w:rFonts w:hint="eastAsia"/>
                <w:bCs/>
                <w:color w:val="auto"/>
              </w:rPr>
              <w:t xml:space="preserve">b.可燃气体、有毒气体自动报警装置应按规范要求定期校验。 </w:t>
            </w:r>
          </w:p>
          <w:p>
            <w:pPr>
              <w:pStyle w:val="24"/>
              <w:spacing w:line="360" w:lineRule="auto"/>
              <w:ind w:firstLine="472" w:firstLineChars="200"/>
              <w:rPr>
                <w:bCs/>
                <w:color w:val="auto"/>
              </w:rPr>
            </w:pPr>
            <w:r>
              <w:rPr>
                <w:rFonts w:hint="eastAsia"/>
                <w:bCs/>
                <w:color w:val="auto"/>
              </w:rPr>
              <w:t xml:space="preserve">c.雷雨前要进行防雷检测。 </w:t>
            </w:r>
          </w:p>
          <w:p>
            <w:pPr>
              <w:pStyle w:val="24"/>
              <w:spacing w:line="360" w:lineRule="auto"/>
              <w:ind w:firstLine="472" w:firstLineChars="200"/>
              <w:rPr>
                <w:bCs/>
                <w:color w:val="auto"/>
              </w:rPr>
            </w:pPr>
            <w:r>
              <w:rPr>
                <w:rFonts w:hint="eastAsia"/>
                <w:bCs/>
                <w:color w:val="auto"/>
              </w:rPr>
              <w:t>d.操作人员每周应进行安全活动，提高职工的安全意识，识别事故发生前的异常状态，并采取相应的措施；</w:t>
            </w:r>
          </w:p>
          <w:p>
            <w:pPr>
              <w:pStyle w:val="24"/>
              <w:spacing w:line="360" w:lineRule="auto"/>
              <w:ind w:firstLine="472" w:firstLineChars="200"/>
              <w:rPr>
                <w:bCs/>
                <w:color w:val="auto"/>
              </w:rPr>
            </w:pPr>
            <w:r>
              <w:rPr>
                <w:rFonts w:hint="eastAsia"/>
                <w:bCs/>
                <w:color w:val="auto"/>
              </w:rPr>
              <w:t xml:space="preserve">e.制订应急操作规程，在规程中应说明发生管道事故时应采取的操作步骤，规定抢修进度，限制事故的影响，另外还应说明与管道操作人员有关的安全问题。 </w:t>
            </w:r>
          </w:p>
          <w:p>
            <w:pPr>
              <w:pStyle w:val="24"/>
              <w:spacing w:line="360" w:lineRule="auto"/>
              <w:ind w:firstLine="472" w:firstLineChars="200"/>
              <w:rPr>
                <w:bCs/>
                <w:color w:val="auto"/>
              </w:rPr>
            </w:pPr>
            <w:r>
              <w:rPr>
                <w:rFonts w:hint="eastAsia"/>
                <w:bCs/>
                <w:color w:val="auto"/>
              </w:rPr>
              <w:t>f. 对重要的仪器设备有完善的检查项目、维护方法；按计划进行定期维护；有专门档案(包括维护记录档案)，文件齐全。</w:t>
            </w:r>
          </w:p>
          <w:p>
            <w:pPr>
              <w:autoSpaceDE w:val="0"/>
              <w:spacing w:line="360" w:lineRule="auto"/>
              <w:ind w:firstLine="472" w:firstLineChars="200"/>
              <w:rPr>
                <w:rFonts w:ascii="宋体" w:hAnsi="宋体"/>
                <w:color w:val="auto"/>
                <w:sz w:val="24"/>
                <w:szCs w:val="24"/>
              </w:rPr>
            </w:pPr>
            <w:r>
              <w:rPr>
                <w:rFonts w:hint="eastAsia" w:ascii="宋体" w:hAnsi="宋体"/>
                <w:color w:val="auto"/>
                <w:sz w:val="24"/>
                <w:szCs w:val="24"/>
              </w:rPr>
              <w:t>3）应急预案主要内容</w:t>
            </w:r>
          </w:p>
          <w:p>
            <w:pPr>
              <w:pStyle w:val="7"/>
              <w:autoSpaceDE w:val="0"/>
              <w:spacing w:line="480" w:lineRule="exact"/>
              <w:ind w:firstLine="472" w:firstLineChars="200"/>
              <w:rPr>
                <w:b/>
                <w:color w:val="auto"/>
                <w:sz w:val="24"/>
              </w:rPr>
            </w:pPr>
            <w:r>
              <w:rPr>
                <w:rFonts w:eastAsia="宋体"/>
                <w:color w:val="auto"/>
                <w:sz w:val="24"/>
              </w:rPr>
              <w:t>根据本项目环境风险分析的结果，对于项目可能造成环境风险的突发性事故制定应急预案纲要，供项目决策人参考，见表</w:t>
            </w:r>
            <w:r>
              <w:rPr>
                <w:rFonts w:hint="eastAsia" w:eastAsia="宋体"/>
                <w:color w:val="auto"/>
                <w:sz w:val="24"/>
              </w:rPr>
              <w:t>4-19。</w:t>
            </w:r>
          </w:p>
          <w:p>
            <w:pPr>
              <w:autoSpaceDE w:val="0"/>
              <w:spacing w:line="480" w:lineRule="exact"/>
              <w:jc w:val="center"/>
              <w:rPr>
                <w:b/>
                <w:color w:val="auto"/>
                <w:sz w:val="24"/>
              </w:rPr>
            </w:pPr>
            <w:r>
              <w:rPr>
                <w:b/>
                <w:color w:val="auto"/>
                <w:sz w:val="24"/>
              </w:rPr>
              <w:t>表</w:t>
            </w:r>
            <w:r>
              <w:rPr>
                <w:rFonts w:hint="eastAsia"/>
                <w:b/>
                <w:color w:val="auto"/>
                <w:sz w:val="24"/>
              </w:rPr>
              <w:t>4-19</w:t>
            </w:r>
            <w:r>
              <w:rPr>
                <w:b/>
                <w:color w:val="auto"/>
                <w:sz w:val="24"/>
              </w:rPr>
              <w:t>环境风险突发事故应急预案</w:t>
            </w:r>
          </w:p>
          <w:tbl>
            <w:tblPr>
              <w:tblStyle w:val="19"/>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581"/>
              <w:gridCol w:w="95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序号</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项目</w:t>
                  </w:r>
                </w:p>
              </w:tc>
              <w:tc>
                <w:tcPr>
                  <w:tcW w:w="3628" w:type="pct"/>
                  <w:tcBorders>
                    <w:tl2br w:val="nil"/>
                    <w:tr2bl w:val="nil"/>
                  </w:tcBorders>
                  <w:vAlign w:val="center"/>
                </w:tcPr>
                <w:p>
                  <w:pPr>
                    <w:pStyle w:val="36"/>
                    <w:adjustRightInd w:val="0"/>
                    <w:spacing w:line="260" w:lineRule="exact"/>
                    <w:rPr>
                      <w:color w:val="auto"/>
                      <w:szCs w:val="21"/>
                    </w:rPr>
                  </w:pPr>
                  <w:r>
                    <w:rPr>
                      <w:color w:val="auto"/>
                      <w:szCs w:val="21"/>
                    </w:rPr>
                    <w:t>内容及要求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危险源情况</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详细说明危险源类型、数量、分布及其对环境的风险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2</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应急计划区</w:t>
                  </w:r>
                </w:p>
              </w:tc>
              <w:tc>
                <w:tcPr>
                  <w:tcW w:w="3628" w:type="pct"/>
                  <w:tcBorders>
                    <w:tl2br w:val="nil"/>
                    <w:tr2bl w:val="nil"/>
                  </w:tcBorders>
                  <w:vAlign w:val="center"/>
                </w:tcPr>
                <w:p>
                  <w:pPr>
                    <w:pStyle w:val="36"/>
                    <w:adjustRightInd w:val="0"/>
                    <w:spacing w:line="260" w:lineRule="exact"/>
                    <w:jc w:val="both"/>
                    <w:rPr>
                      <w:color w:val="auto"/>
                      <w:szCs w:val="21"/>
                    </w:rPr>
                  </w:pPr>
                  <w:r>
                    <w:rPr>
                      <w:rFonts w:hint="eastAsia"/>
                      <w:color w:val="auto"/>
                      <w:szCs w:val="21"/>
                    </w:rPr>
                    <w:t>水洗后烘干炉和固化炉、危废间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3</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应急组织</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企业：成立应急指挥小组，由公司最高领导层担任小组长，负责现场全面指挥，专业救援队伍负责事故控制、救援和善后处理。</w:t>
                  </w:r>
                </w:p>
                <w:p>
                  <w:pPr>
                    <w:pStyle w:val="36"/>
                    <w:adjustRightInd w:val="0"/>
                    <w:spacing w:line="260" w:lineRule="exact"/>
                    <w:jc w:val="both"/>
                    <w:rPr>
                      <w:color w:val="auto"/>
                      <w:szCs w:val="21"/>
                    </w:rPr>
                  </w:pPr>
                  <w:r>
                    <w:rPr>
                      <w:color w:val="auto"/>
                      <w:szCs w:val="21"/>
                    </w:rPr>
                    <w:t>临近地区：地区指挥部—</w:t>
                  </w:r>
                  <w:r>
                    <w:rPr>
                      <w:rFonts w:ascii="宋体" w:hAnsi="宋体"/>
                      <w:color w:val="auto"/>
                      <w:szCs w:val="21"/>
                    </w:rPr>
                    <w:t>负责企业附近地区全面指挥，救援，管制和疏散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4</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应急状态分类应急响应程序</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规定环境风险事故的级别及相应的应急状态分类，以此制定相应的应急响应程序。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5</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应急设施</w:t>
                  </w:r>
                </w:p>
                <w:p>
                  <w:pPr>
                    <w:pStyle w:val="36"/>
                    <w:adjustRightInd w:val="0"/>
                    <w:spacing w:line="260" w:lineRule="exact"/>
                    <w:rPr>
                      <w:color w:val="auto"/>
                      <w:szCs w:val="21"/>
                    </w:rPr>
                  </w:pPr>
                  <w:r>
                    <w:rPr>
                      <w:color w:val="auto"/>
                      <w:szCs w:val="21"/>
                    </w:rPr>
                    <w:t>设备与材料</w:t>
                  </w:r>
                </w:p>
              </w:tc>
              <w:tc>
                <w:tcPr>
                  <w:tcW w:w="3628" w:type="pct"/>
                  <w:tcBorders>
                    <w:tl2br w:val="nil"/>
                    <w:tr2bl w:val="nil"/>
                  </w:tcBorders>
                  <w:vAlign w:val="center"/>
                </w:tcPr>
                <w:p>
                  <w:pPr>
                    <w:pStyle w:val="36"/>
                    <w:adjustRightInd w:val="0"/>
                    <w:spacing w:line="260" w:lineRule="exact"/>
                    <w:jc w:val="both"/>
                    <w:rPr>
                      <w:color w:val="auto"/>
                      <w:szCs w:val="21"/>
                    </w:rPr>
                  </w:pPr>
                  <w:r>
                    <w:rPr>
                      <w:rFonts w:hint="eastAsia"/>
                      <w:color w:val="auto"/>
                      <w:szCs w:val="21"/>
                    </w:rPr>
                    <w:t>水洗后烘干炉和固化炉</w:t>
                  </w:r>
                  <w:r>
                    <w:rPr>
                      <w:color w:val="auto"/>
                      <w:szCs w:val="21"/>
                    </w:rPr>
                    <w:t>：防火灾事故的应急设施、设备与材料，主要为消防器材、消防服等；中毒人员急救所用的一些药品、器材</w:t>
                  </w:r>
                </w:p>
                <w:p>
                  <w:pPr>
                    <w:pStyle w:val="36"/>
                    <w:adjustRightInd w:val="0"/>
                    <w:spacing w:line="260" w:lineRule="exact"/>
                    <w:jc w:val="both"/>
                    <w:rPr>
                      <w:color w:val="auto"/>
                      <w:szCs w:val="21"/>
                    </w:rPr>
                  </w:pPr>
                  <w:r>
                    <w:rPr>
                      <w:color w:val="auto"/>
                      <w:szCs w:val="21"/>
                    </w:rPr>
                    <w:t>临界地区：中毒人员急救所用的一些药品、器材。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6</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应急通讯</w:t>
                  </w:r>
                </w:p>
                <w:p>
                  <w:pPr>
                    <w:pStyle w:val="36"/>
                    <w:adjustRightInd w:val="0"/>
                    <w:spacing w:line="260" w:lineRule="exact"/>
                    <w:rPr>
                      <w:color w:val="auto"/>
                      <w:szCs w:val="21"/>
                    </w:rPr>
                  </w:pPr>
                  <w:r>
                    <w:rPr>
                      <w:color w:val="auto"/>
                      <w:szCs w:val="21"/>
                    </w:rPr>
                    <w:t>通告与交通</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规定应急状态下的通讯、通告方式和交通保障、管理等事项。可充分利用现代化的通信设施，如手机、固定电话、广播、电视等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7</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应急环境监测及事故后评价</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由专业人员对环境分析事故现场进行应急监测，对事故性质、严重程度均所造成的环境危害后果进行评估，吸取经验教训避免再次发生事故，为指挥部门提供决策依据。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8</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应急防护措施</w:t>
                  </w:r>
                </w:p>
                <w:p>
                  <w:pPr>
                    <w:pStyle w:val="36"/>
                    <w:adjustRightInd w:val="0"/>
                    <w:spacing w:line="260" w:lineRule="exact"/>
                    <w:rPr>
                      <w:color w:val="auto"/>
                      <w:szCs w:val="21"/>
                    </w:rPr>
                  </w:pPr>
                  <w:r>
                    <w:rPr>
                      <w:color w:val="auto"/>
                      <w:szCs w:val="21"/>
                    </w:rPr>
                    <w:t>消除泄漏措施及需使用器材</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事故现场：控制事故发展，防止扩大、蔓延及连锁反应；清除现场泄泥物，降低危害；相应的设施器材配备；</w:t>
                  </w:r>
                </w:p>
                <w:p>
                  <w:pPr>
                    <w:pStyle w:val="36"/>
                    <w:adjustRightInd w:val="0"/>
                    <w:spacing w:line="260" w:lineRule="exact"/>
                    <w:jc w:val="both"/>
                    <w:rPr>
                      <w:color w:val="auto"/>
                      <w:szCs w:val="21"/>
                    </w:rPr>
                  </w:pPr>
                  <w:r>
                    <w:rPr>
                      <w:color w:val="auto"/>
                      <w:szCs w:val="21"/>
                    </w:rPr>
                    <w:t>临近地区：控制防火区域，控制和消除环境污染的措施及相应的设备配备。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9</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应急剂量控制</w:t>
                  </w:r>
                </w:p>
                <w:p>
                  <w:pPr>
                    <w:pStyle w:val="36"/>
                    <w:adjustRightInd w:val="0"/>
                    <w:spacing w:line="260" w:lineRule="exact"/>
                    <w:rPr>
                      <w:color w:val="auto"/>
                      <w:szCs w:val="21"/>
                    </w:rPr>
                  </w:pPr>
                  <w:r>
                    <w:rPr>
                      <w:color w:val="auto"/>
                      <w:szCs w:val="21"/>
                    </w:rPr>
                    <w:t>撤离组织计划</w:t>
                  </w:r>
                </w:p>
                <w:p>
                  <w:pPr>
                    <w:pStyle w:val="36"/>
                    <w:adjustRightInd w:val="0"/>
                    <w:spacing w:line="260" w:lineRule="exact"/>
                    <w:rPr>
                      <w:color w:val="auto"/>
                      <w:szCs w:val="21"/>
                    </w:rPr>
                  </w:pPr>
                  <w:r>
                    <w:rPr>
                      <w:color w:val="auto"/>
                      <w:szCs w:val="21"/>
                    </w:rPr>
                    <w:t>医疗救护与保护公众健康</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事故现场：事故处理人员制定毒物的应急剂量、现场及临近装置人员的撤离组织计划和紧急救护方案；</w:t>
                  </w:r>
                </w:p>
                <w:p>
                  <w:pPr>
                    <w:pStyle w:val="36"/>
                    <w:adjustRightInd w:val="0"/>
                    <w:spacing w:line="260" w:lineRule="exact"/>
                    <w:jc w:val="both"/>
                    <w:rPr>
                      <w:color w:val="auto"/>
                      <w:szCs w:val="21"/>
                    </w:rPr>
                  </w:pPr>
                  <w:r>
                    <w:rPr>
                      <w:color w:val="auto"/>
                      <w:szCs w:val="21"/>
                    </w:rPr>
                    <w:t>临近地区：制定受事故影响的临近地区内人员对毒物的应急剂量、公众的疏散组织计划和紧急救护方案。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10</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应急状态中止</w:t>
                  </w:r>
                </w:p>
                <w:p>
                  <w:pPr>
                    <w:pStyle w:val="36"/>
                    <w:adjustRightInd w:val="0"/>
                    <w:spacing w:line="260" w:lineRule="exact"/>
                    <w:rPr>
                      <w:color w:val="auto"/>
                      <w:szCs w:val="21"/>
                    </w:rPr>
                  </w:pPr>
                  <w:r>
                    <w:rPr>
                      <w:color w:val="auto"/>
                      <w:szCs w:val="21"/>
                    </w:rPr>
                    <w:t>恢复措施</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事故现场：规定应急状态终止秩序；事故现场善后处理，回复生产措施；</w:t>
                  </w:r>
                </w:p>
                <w:p>
                  <w:pPr>
                    <w:pStyle w:val="36"/>
                    <w:adjustRightInd w:val="0"/>
                    <w:spacing w:line="260" w:lineRule="exact"/>
                    <w:jc w:val="both"/>
                    <w:rPr>
                      <w:color w:val="auto"/>
                      <w:szCs w:val="21"/>
                    </w:rPr>
                  </w:pPr>
                  <w:r>
                    <w:rPr>
                      <w:color w:val="auto"/>
                      <w:szCs w:val="21"/>
                    </w:rPr>
                    <w:t>临近地区：解除事故警戒，公众返回和善后回复措施。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11</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人员培训</w:t>
                  </w:r>
                </w:p>
                <w:p>
                  <w:pPr>
                    <w:pStyle w:val="36"/>
                    <w:adjustRightInd w:val="0"/>
                    <w:spacing w:line="260" w:lineRule="exact"/>
                    <w:rPr>
                      <w:color w:val="auto"/>
                      <w:szCs w:val="21"/>
                    </w:rPr>
                  </w:pPr>
                  <w:r>
                    <w:rPr>
                      <w:color w:val="auto"/>
                      <w:szCs w:val="21"/>
                    </w:rPr>
                    <w:t>与演习</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应急计划制定后，平时安排事故出路人员进行相关知识培训并进行事故应急处理演习；对工人进行安全卫生教育。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12</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公众教育</w:t>
                  </w:r>
                </w:p>
                <w:p>
                  <w:pPr>
                    <w:pStyle w:val="36"/>
                    <w:adjustRightInd w:val="0"/>
                    <w:spacing w:line="260" w:lineRule="exact"/>
                    <w:rPr>
                      <w:color w:val="auto"/>
                      <w:szCs w:val="21"/>
                    </w:rPr>
                  </w:pPr>
                  <w:r>
                    <w:rPr>
                      <w:color w:val="auto"/>
                      <w:szCs w:val="21"/>
                    </w:rPr>
                    <w:t>信息发布</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对厂站临近地区公众开展环境风险事故预防教育、应急知识培训并定期发布相关信息。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13</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记录和报告</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设应急事故专门记录，建立档案和报告制度，设专门部门负责管理。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36"/>
                    <w:adjustRightInd w:val="0"/>
                    <w:spacing w:line="260" w:lineRule="exact"/>
                    <w:rPr>
                      <w:color w:val="auto"/>
                      <w:szCs w:val="21"/>
                    </w:rPr>
                  </w:pPr>
                  <w:r>
                    <w:rPr>
                      <w:color w:val="auto"/>
                      <w:szCs w:val="21"/>
                    </w:rPr>
                    <w:t>14</w:t>
                  </w:r>
                </w:p>
              </w:tc>
              <w:tc>
                <w:tcPr>
                  <w:tcW w:w="979" w:type="pct"/>
                  <w:tcBorders>
                    <w:tl2br w:val="nil"/>
                    <w:tr2bl w:val="nil"/>
                  </w:tcBorders>
                  <w:vAlign w:val="center"/>
                </w:tcPr>
                <w:p>
                  <w:pPr>
                    <w:pStyle w:val="36"/>
                    <w:adjustRightInd w:val="0"/>
                    <w:spacing w:line="260" w:lineRule="exact"/>
                    <w:rPr>
                      <w:color w:val="auto"/>
                      <w:szCs w:val="21"/>
                    </w:rPr>
                  </w:pPr>
                  <w:r>
                    <w:rPr>
                      <w:color w:val="auto"/>
                      <w:szCs w:val="21"/>
                    </w:rPr>
                    <w:t>附件</w:t>
                  </w:r>
                </w:p>
              </w:tc>
              <w:tc>
                <w:tcPr>
                  <w:tcW w:w="3628" w:type="pct"/>
                  <w:tcBorders>
                    <w:tl2br w:val="nil"/>
                    <w:tr2bl w:val="nil"/>
                  </w:tcBorders>
                  <w:vAlign w:val="center"/>
                </w:tcPr>
                <w:p>
                  <w:pPr>
                    <w:pStyle w:val="36"/>
                    <w:adjustRightInd w:val="0"/>
                    <w:spacing w:line="260" w:lineRule="exact"/>
                    <w:jc w:val="both"/>
                    <w:rPr>
                      <w:color w:val="auto"/>
                      <w:szCs w:val="21"/>
                    </w:rPr>
                  </w:pPr>
                  <w:r>
                    <w:rPr>
                      <w:color w:val="auto"/>
                      <w:szCs w:val="21"/>
                    </w:rPr>
                    <w:t>准备并形成环境风险事故应急处理有关的附件材料。</w:t>
                  </w:r>
                </w:p>
              </w:tc>
            </w:tr>
          </w:tbl>
          <w:p>
            <w:pPr>
              <w:autoSpaceDE w:val="0"/>
              <w:spacing w:line="360" w:lineRule="auto"/>
              <w:ind w:firstLine="472" w:firstLineChars="200"/>
              <w:rPr>
                <w:b/>
                <w:color w:val="auto"/>
                <w:sz w:val="24"/>
                <w:szCs w:val="22"/>
              </w:rPr>
            </w:pPr>
            <w:r>
              <w:rPr>
                <w:rFonts w:ascii="宋体" w:hAnsi="宋体"/>
                <w:color w:val="auto"/>
                <w:sz w:val="24"/>
                <w:szCs w:val="24"/>
              </w:rPr>
              <w:t>综上所述，</w:t>
            </w:r>
            <w:r>
              <w:rPr>
                <w:rFonts w:hint="eastAsia" w:ascii="宋体" w:hAnsi="宋体"/>
                <w:color w:val="auto"/>
                <w:sz w:val="24"/>
                <w:szCs w:val="24"/>
              </w:rPr>
              <w:t>本项目</w:t>
            </w:r>
            <w:r>
              <w:rPr>
                <w:rFonts w:ascii="宋体" w:hAnsi="宋体"/>
                <w:color w:val="auto"/>
                <w:sz w:val="24"/>
                <w:szCs w:val="24"/>
              </w:rPr>
              <w:t>经采取有效的环境风险防治措施，制定完善的安全管理、降低风险的规章制度，在管理、控制、监督、运营及维护方面采取有效措施后，项目运营的安全性将得到有效保证，环境风险事故的发生概率可控制在可接受水平。</w:t>
            </w:r>
          </w:p>
          <w:p>
            <w:pPr>
              <w:pStyle w:val="24"/>
              <w:numPr>
                <w:ilvl w:val="0"/>
                <w:numId w:val="6"/>
              </w:numPr>
              <w:spacing w:line="360" w:lineRule="auto"/>
              <w:ind w:left="410"/>
              <w:rPr>
                <w:b/>
                <w:bCs/>
                <w:color w:val="auto"/>
              </w:rPr>
            </w:pPr>
            <w:r>
              <w:rPr>
                <w:rFonts w:hint="eastAsia"/>
                <w:b/>
                <w:bCs/>
                <w:color w:val="auto"/>
              </w:rPr>
              <w:t>电磁辐射环境影响分析</w:t>
            </w:r>
          </w:p>
          <w:p>
            <w:pPr>
              <w:pStyle w:val="24"/>
              <w:spacing w:line="360" w:lineRule="auto"/>
              <w:rPr>
                <w:color w:val="auto"/>
              </w:rPr>
            </w:pPr>
            <w:r>
              <w:rPr>
                <w:rFonts w:hint="eastAsia"/>
                <w:color w:val="auto"/>
              </w:rPr>
              <w:t xml:space="preserve">    本项目生产过程中不涉及电磁辐射类设备的使用，不会对周边环境产生电磁辐射的影响。</w:t>
            </w:r>
          </w:p>
          <w:p>
            <w:pPr>
              <w:pStyle w:val="24"/>
              <w:spacing w:line="360" w:lineRule="auto"/>
              <w:ind w:left="412" w:leftChars="200"/>
              <w:rPr>
                <w:b/>
                <w:bCs/>
                <w:color w:val="auto"/>
              </w:rPr>
            </w:pPr>
            <w:r>
              <w:rPr>
                <w:rFonts w:hint="eastAsia"/>
                <w:b/>
                <w:bCs/>
                <w:color w:val="auto"/>
              </w:rPr>
              <w:t>八、生态环境影响分析</w:t>
            </w:r>
          </w:p>
          <w:p>
            <w:pPr>
              <w:spacing w:line="360" w:lineRule="auto"/>
              <w:ind w:firstLine="482"/>
              <w:rPr>
                <w:color w:val="auto"/>
                <w:szCs w:val="21"/>
              </w:rPr>
            </w:pPr>
            <w:r>
              <w:rPr>
                <w:rFonts w:hint="eastAsia"/>
                <w:color w:val="auto"/>
                <w:kern w:val="0"/>
                <w:sz w:val="24"/>
                <w:szCs w:val="22"/>
                <w:lang w:val="fr-FR"/>
              </w:rPr>
              <w:t>本项目为</w:t>
            </w:r>
            <w:r>
              <w:rPr>
                <w:rFonts w:hint="eastAsia"/>
                <w:color w:val="auto"/>
                <w:kern w:val="0"/>
                <w:sz w:val="24"/>
                <w:szCs w:val="22"/>
              </w:rPr>
              <w:t>新建</w:t>
            </w:r>
            <w:r>
              <w:rPr>
                <w:rFonts w:hint="eastAsia"/>
                <w:color w:val="auto"/>
                <w:kern w:val="0"/>
                <w:sz w:val="24"/>
                <w:szCs w:val="22"/>
                <w:lang w:val="fr-FR"/>
              </w:rPr>
              <w:t>项目，</w:t>
            </w:r>
            <w:r>
              <w:rPr>
                <w:rFonts w:hint="eastAsia"/>
                <w:color w:val="auto"/>
                <w:kern w:val="0"/>
                <w:sz w:val="24"/>
                <w:szCs w:val="22"/>
              </w:rPr>
              <w:t>在聚银公司现有的车间内建设，只是设备搬迁和安装，无土建施工，不新增占地，不会干扰表层土壤，不会破坏周边植被，不会对周边生态环境带来明显不利影响。</w:t>
            </w:r>
          </w:p>
        </w:tc>
      </w:tr>
    </w:tbl>
    <w:p>
      <w:pPr>
        <w:sectPr>
          <w:pgSz w:w="16838" w:h="11906" w:orient="landscape"/>
          <w:pgMar w:top="1701" w:right="1304" w:bottom="1701" w:left="1418" w:header="851" w:footer="851" w:gutter="0"/>
          <w:pgBorders>
            <w:top w:val="none" w:sz="0" w:space="0"/>
            <w:left w:val="none" w:sz="0" w:space="0"/>
            <w:bottom w:val="none" w:sz="0" w:space="0"/>
            <w:right w:val="none" w:sz="0" w:space="0"/>
          </w:pgBorders>
          <w:cols w:space="720" w:num="1"/>
          <w:docGrid w:type="linesAndChars" w:linePitch="380" w:charSpace="-948"/>
        </w:sectPr>
      </w:pPr>
    </w:p>
    <w:p>
      <w:pPr>
        <w:jc w:val="center"/>
        <w:rPr>
          <w:rFonts w:eastAsia="黑体"/>
          <w:b/>
          <w:sz w:val="32"/>
          <w:szCs w:val="32"/>
        </w:rPr>
      </w:pPr>
      <w:r>
        <w:rPr>
          <w:rFonts w:hint="eastAsia" w:eastAsia="黑体"/>
          <w:b/>
          <w:sz w:val="32"/>
          <w:szCs w:val="32"/>
        </w:rPr>
        <w:t>五、环境保护措施监督检查清单</w:t>
      </w:r>
    </w:p>
    <w:tbl>
      <w:tblPr>
        <w:tblStyle w:val="19"/>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01"/>
        <w:gridCol w:w="1425"/>
        <w:gridCol w:w="212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tcBorders>
              <w:tl2br w:val="single" w:color="auto" w:sz="4" w:space="0"/>
            </w:tcBorders>
          </w:tcPr>
          <w:p>
            <w:pPr>
              <w:spacing w:line="300" w:lineRule="exact"/>
              <w:jc w:val="left"/>
              <w:rPr>
                <w:color w:val="auto"/>
                <w:szCs w:val="21"/>
              </w:rPr>
            </w:pPr>
            <w:r>
              <w:rPr>
                <w:color w:val="auto"/>
                <w:szCs w:val="21"/>
              </w:rPr>
              <w:t xml:space="preserve">       内容</w:t>
            </w:r>
          </w:p>
          <w:p>
            <w:pPr>
              <w:pStyle w:val="24"/>
              <w:rPr>
                <w:color w:val="auto"/>
                <w:sz w:val="21"/>
                <w:szCs w:val="21"/>
              </w:rPr>
            </w:pPr>
            <w:r>
              <w:rPr>
                <w:color w:val="auto"/>
                <w:sz w:val="21"/>
                <w:szCs w:val="21"/>
              </w:rPr>
              <w:t>要素</w:t>
            </w:r>
          </w:p>
        </w:tc>
        <w:tc>
          <w:tcPr>
            <w:tcW w:w="1801" w:type="dxa"/>
            <w:vAlign w:val="center"/>
          </w:tcPr>
          <w:p>
            <w:pPr>
              <w:spacing w:line="300" w:lineRule="exact"/>
              <w:jc w:val="center"/>
              <w:rPr>
                <w:color w:val="auto"/>
                <w:szCs w:val="21"/>
              </w:rPr>
            </w:pPr>
            <w:r>
              <w:rPr>
                <w:color w:val="auto"/>
                <w:szCs w:val="21"/>
              </w:rPr>
              <w:t>排放口</w:t>
            </w:r>
          </w:p>
          <w:p>
            <w:pPr>
              <w:spacing w:line="300" w:lineRule="exact"/>
              <w:jc w:val="center"/>
              <w:rPr>
                <w:color w:val="auto"/>
                <w:szCs w:val="21"/>
              </w:rPr>
            </w:pPr>
            <w:r>
              <w:rPr>
                <w:color w:val="auto"/>
                <w:szCs w:val="21"/>
              </w:rPr>
              <w:t>（编号、名称）/污染源</w:t>
            </w:r>
          </w:p>
        </w:tc>
        <w:tc>
          <w:tcPr>
            <w:tcW w:w="1425" w:type="dxa"/>
            <w:vAlign w:val="center"/>
          </w:tcPr>
          <w:p>
            <w:pPr>
              <w:spacing w:line="300" w:lineRule="exact"/>
              <w:jc w:val="center"/>
              <w:rPr>
                <w:color w:val="auto"/>
                <w:szCs w:val="21"/>
              </w:rPr>
            </w:pPr>
            <w:r>
              <w:rPr>
                <w:color w:val="auto"/>
                <w:szCs w:val="21"/>
              </w:rPr>
              <w:t>污染物项目</w:t>
            </w:r>
          </w:p>
        </w:tc>
        <w:tc>
          <w:tcPr>
            <w:tcW w:w="2120" w:type="dxa"/>
            <w:vAlign w:val="center"/>
          </w:tcPr>
          <w:p>
            <w:pPr>
              <w:spacing w:line="300" w:lineRule="exact"/>
              <w:jc w:val="center"/>
              <w:rPr>
                <w:color w:val="auto"/>
                <w:szCs w:val="21"/>
              </w:rPr>
            </w:pPr>
            <w:r>
              <w:rPr>
                <w:color w:val="auto"/>
                <w:szCs w:val="21"/>
              </w:rPr>
              <w:t>环保措施</w:t>
            </w:r>
          </w:p>
        </w:tc>
        <w:tc>
          <w:tcPr>
            <w:tcW w:w="2259" w:type="dxa"/>
            <w:vAlign w:val="center"/>
          </w:tcPr>
          <w:p>
            <w:pPr>
              <w:tabs>
                <w:tab w:val="center" w:pos="-2293"/>
                <w:tab w:val="left" w:pos="567"/>
              </w:tabs>
              <w:spacing w:line="300" w:lineRule="exact"/>
              <w:ind w:left="-6999" w:leftChars="-3398" w:right="-241" w:rightChars="-117"/>
              <w:jc w:val="left"/>
              <w:rPr>
                <w:color w:val="auto"/>
                <w:szCs w:val="21"/>
              </w:rPr>
            </w:pPr>
            <w:r>
              <w:rPr>
                <w:color w:val="auto"/>
                <w:szCs w:val="21"/>
              </w:rPr>
              <w:tab/>
            </w:r>
            <w:r>
              <w:rPr>
                <w:color w:val="auto"/>
                <w:szCs w:val="21"/>
              </w:rPr>
              <w:t>执行标准</w:t>
            </w:r>
            <w:r>
              <w:rPr>
                <w:color w:val="auto"/>
                <w:szCs w:val="21"/>
              </w:rPr>
              <w:tab/>
            </w:r>
            <w:r>
              <w:rPr>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515" w:type="dxa"/>
            <w:vMerge w:val="restart"/>
            <w:vAlign w:val="center"/>
          </w:tcPr>
          <w:p>
            <w:pPr>
              <w:spacing w:line="300" w:lineRule="exact"/>
              <w:jc w:val="center"/>
              <w:rPr>
                <w:color w:val="auto"/>
                <w:szCs w:val="21"/>
              </w:rPr>
            </w:pPr>
            <w:r>
              <w:rPr>
                <w:color w:val="auto"/>
                <w:szCs w:val="21"/>
              </w:rPr>
              <w:t>大气环境</w:t>
            </w:r>
          </w:p>
        </w:tc>
        <w:tc>
          <w:tcPr>
            <w:tcW w:w="1801" w:type="dxa"/>
            <w:vAlign w:val="center"/>
          </w:tcPr>
          <w:p>
            <w:pPr>
              <w:spacing w:line="300" w:lineRule="exact"/>
              <w:jc w:val="center"/>
              <w:rPr>
                <w:color w:val="auto"/>
                <w:szCs w:val="21"/>
              </w:rPr>
            </w:pPr>
            <w:r>
              <w:rPr>
                <w:rFonts w:hint="eastAsia"/>
                <w:color w:val="auto"/>
                <w:szCs w:val="21"/>
              </w:rPr>
              <w:t>切割工序</w:t>
            </w:r>
          </w:p>
        </w:tc>
        <w:tc>
          <w:tcPr>
            <w:tcW w:w="1425" w:type="dxa"/>
            <w:vMerge w:val="restart"/>
            <w:vAlign w:val="center"/>
          </w:tcPr>
          <w:p>
            <w:pPr>
              <w:spacing w:line="300" w:lineRule="exact"/>
              <w:jc w:val="center"/>
              <w:rPr>
                <w:color w:val="auto"/>
                <w:szCs w:val="21"/>
              </w:rPr>
            </w:pPr>
            <w:r>
              <w:rPr>
                <w:rFonts w:hint="eastAsia"/>
                <w:color w:val="auto"/>
                <w:szCs w:val="21"/>
              </w:rPr>
              <w:t>颗粒物</w:t>
            </w:r>
          </w:p>
        </w:tc>
        <w:tc>
          <w:tcPr>
            <w:tcW w:w="2120" w:type="dxa"/>
            <w:vMerge w:val="restart"/>
            <w:vAlign w:val="center"/>
          </w:tcPr>
          <w:p>
            <w:pPr>
              <w:spacing w:line="300" w:lineRule="exact"/>
              <w:jc w:val="center"/>
              <w:rPr>
                <w:color w:val="auto"/>
                <w:szCs w:val="21"/>
              </w:rPr>
            </w:pPr>
            <w:r>
              <w:rPr>
                <w:rFonts w:hint="eastAsia"/>
                <w:color w:val="auto"/>
                <w:szCs w:val="21"/>
              </w:rPr>
              <w:t>集气罩+布袋除尘器+15m排气筒（DA001)</w:t>
            </w:r>
          </w:p>
        </w:tc>
        <w:tc>
          <w:tcPr>
            <w:tcW w:w="2259" w:type="dxa"/>
            <w:vMerge w:val="restart"/>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《大气污染物综合排放标准》（GB16297-1996）表2其他行业颗粒物二级标准限值要求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打孔工序</w:t>
            </w:r>
          </w:p>
        </w:tc>
        <w:tc>
          <w:tcPr>
            <w:tcW w:w="1425" w:type="dxa"/>
            <w:vMerge w:val="continue"/>
            <w:vAlign w:val="center"/>
          </w:tcPr>
          <w:p>
            <w:pPr>
              <w:spacing w:line="300" w:lineRule="exact"/>
              <w:jc w:val="center"/>
              <w:rPr>
                <w:color w:val="auto"/>
                <w:szCs w:val="21"/>
              </w:rPr>
            </w:pPr>
          </w:p>
        </w:tc>
        <w:tc>
          <w:tcPr>
            <w:tcW w:w="2120" w:type="dxa"/>
            <w:vMerge w:val="continue"/>
            <w:vAlign w:val="center"/>
          </w:tcPr>
          <w:p>
            <w:pPr>
              <w:spacing w:line="300" w:lineRule="exact"/>
              <w:jc w:val="center"/>
              <w:rPr>
                <w:color w:val="auto"/>
                <w:szCs w:val="21"/>
              </w:rPr>
            </w:pPr>
          </w:p>
        </w:tc>
        <w:tc>
          <w:tcPr>
            <w:tcW w:w="2259"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焊接工序</w:t>
            </w:r>
          </w:p>
        </w:tc>
        <w:tc>
          <w:tcPr>
            <w:tcW w:w="1425" w:type="dxa"/>
            <w:vMerge w:val="continue"/>
            <w:vAlign w:val="center"/>
          </w:tcPr>
          <w:p>
            <w:pPr>
              <w:spacing w:line="300" w:lineRule="exact"/>
              <w:jc w:val="center"/>
              <w:rPr>
                <w:color w:val="auto"/>
                <w:szCs w:val="21"/>
              </w:rPr>
            </w:pPr>
          </w:p>
        </w:tc>
        <w:tc>
          <w:tcPr>
            <w:tcW w:w="2120" w:type="dxa"/>
            <w:vMerge w:val="continue"/>
            <w:vAlign w:val="center"/>
          </w:tcPr>
          <w:p>
            <w:pPr>
              <w:spacing w:line="300" w:lineRule="exact"/>
              <w:jc w:val="center"/>
              <w:rPr>
                <w:color w:val="auto"/>
                <w:szCs w:val="21"/>
              </w:rPr>
            </w:pPr>
          </w:p>
        </w:tc>
        <w:tc>
          <w:tcPr>
            <w:tcW w:w="2259"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天然气燃烧机</w:t>
            </w:r>
          </w:p>
        </w:tc>
        <w:tc>
          <w:tcPr>
            <w:tcW w:w="1425" w:type="dxa"/>
            <w:vAlign w:val="center"/>
          </w:tcPr>
          <w:p>
            <w:pPr>
              <w:spacing w:line="300" w:lineRule="exact"/>
              <w:jc w:val="center"/>
              <w:rPr>
                <w:color w:val="auto"/>
                <w:szCs w:val="21"/>
              </w:rPr>
            </w:pPr>
            <w:r>
              <w:rPr>
                <w:rFonts w:hint="eastAsia"/>
                <w:color w:val="auto"/>
                <w:szCs w:val="21"/>
              </w:rPr>
              <w:t>颗粒物、二氧化硫、氮氧化物</w:t>
            </w:r>
          </w:p>
        </w:tc>
        <w:tc>
          <w:tcPr>
            <w:tcW w:w="2120" w:type="dxa"/>
            <w:vAlign w:val="center"/>
          </w:tcPr>
          <w:p>
            <w:pPr>
              <w:spacing w:line="300" w:lineRule="exact"/>
              <w:jc w:val="center"/>
              <w:rPr>
                <w:color w:val="auto"/>
                <w:szCs w:val="21"/>
              </w:rPr>
            </w:pPr>
            <w:r>
              <w:rPr>
                <w:rFonts w:hint="eastAsia"/>
                <w:color w:val="auto"/>
                <w:szCs w:val="21"/>
              </w:rPr>
              <w:t>脱水炉和固化炉天然气燃烧机共用1根15m排气筒（DA002)</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《工业炉窑大气污染物排放标准》（DB13/1640-2012）表1表2限值</w:t>
            </w:r>
            <w:r>
              <w:rPr>
                <w:rFonts w:hint="eastAsia"/>
                <w:bCs/>
                <w:color w:val="auto"/>
                <w:szCs w:val="21"/>
              </w:rPr>
              <w:t>及</w:t>
            </w:r>
            <w:r>
              <w:rPr>
                <w:bCs/>
                <w:color w:val="auto"/>
                <w:szCs w:val="21"/>
              </w:rPr>
              <w:t>《工业炉窑大气污染综合治理方案》（环大气【2019】56号文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喷涂工序</w:t>
            </w:r>
          </w:p>
        </w:tc>
        <w:tc>
          <w:tcPr>
            <w:tcW w:w="1425" w:type="dxa"/>
            <w:vAlign w:val="center"/>
          </w:tcPr>
          <w:p>
            <w:pPr>
              <w:spacing w:line="300" w:lineRule="exact"/>
              <w:jc w:val="center"/>
              <w:rPr>
                <w:color w:val="auto"/>
                <w:szCs w:val="21"/>
              </w:rPr>
            </w:pPr>
            <w:r>
              <w:rPr>
                <w:rFonts w:hint="eastAsia"/>
                <w:color w:val="auto"/>
                <w:szCs w:val="21"/>
              </w:rPr>
              <w:t>颗粒物</w:t>
            </w:r>
          </w:p>
        </w:tc>
        <w:tc>
          <w:tcPr>
            <w:tcW w:w="2120" w:type="dxa"/>
            <w:vAlign w:val="center"/>
          </w:tcPr>
          <w:p>
            <w:pPr>
              <w:spacing w:line="300" w:lineRule="exact"/>
              <w:jc w:val="center"/>
              <w:rPr>
                <w:color w:val="auto"/>
                <w:szCs w:val="21"/>
              </w:rPr>
            </w:pPr>
            <w:r>
              <w:rPr>
                <w:rFonts w:hint="eastAsia"/>
                <w:color w:val="auto"/>
                <w:szCs w:val="21"/>
              </w:rPr>
              <w:t>密闭负压粉房+二级滤芯回收系统+</w:t>
            </w:r>
            <w:r>
              <w:rPr>
                <w:rFonts w:hint="eastAsia"/>
                <w:color w:val="auto"/>
                <w:szCs w:val="21"/>
                <w:lang w:val="en-US" w:eastAsia="zh-CN"/>
              </w:rPr>
              <w:t>布袋除尘器+</w:t>
            </w:r>
            <w:r>
              <w:rPr>
                <w:rFonts w:hint="eastAsia"/>
                <w:color w:val="auto"/>
                <w:szCs w:val="21"/>
              </w:rPr>
              <w:t>15m排气筒（DA003)</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w:t>
            </w:r>
            <w:r>
              <w:rPr>
                <w:rFonts w:hint="eastAsia"/>
                <w:bCs/>
                <w:color w:val="auto"/>
                <w:szCs w:val="21"/>
              </w:rPr>
              <w:t>染料尘</w:t>
            </w:r>
            <w:r>
              <w:rPr>
                <w:bCs/>
                <w:color w:val="auto"/>
                <w:szCs w:val="21"/>
              </w:rPr>
              <w:t>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固化工序</w:t>
            </w:r>
          </w:p>
        </w:tc>
        <w:tc>
          <w:tcPr>
            <w:tcW w:w="1425" w:type="dxa"/>
            <w:vAlign w:val="center"/>
          </w:tcPr>
          <w:p>
            <w:pPr>
              <w:spacing w:line="300" w:lineRule="exact"/>
              <w:jc w:val="center"/>
              <w:rPr>
                <w:color w:val="auto"/>
                <w:szCs w:val="21"/>
              </w:rPr>
            </w:pPr>
            <w:r>
              <w:rPr>
                <w:rFonts w:hint="eastAsia"/>
                <w:color w:val="auto"/>
                <w:szCs w:val="21"/>
              </w:rPr>
              <w:t>非甲烷总烃</w:t>
            </w:r>
          </w:p>
        </w:tc>
        <w:tc>
          <w:tcPr>
            <w:tcW w:w="2120" w:type="dxa"/>
            <w:vAlign w:val="center"/>
          </w:tcPr>
          <w:p>
            <w:pPr>
              <w:spacing w:line="300" w:lineRule="exact"/>
              <w:jc w:val="center"/>
              <w:rPr>
                <w:color w:val="auto"/>
                <w:szCs w:val="21"/>
              </w:rPr>
            </w:pPr>
            <w:r>
              <w:rPr>
                <w:rFonts w:hint="eastAsia"/>
                <w:color w:val="auto"/>
                <w:szCs w:val="21"/>
              </w:rPr>
              <w:t>烘干窑头窑尾集气罩+旋流塔+干湿过滤箱+活性炭吸附浓缩+催化燃烧装置+15m排气（DA004）</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《工业企业挥发性有机物排放控制标准》(DB13/2322-2016)表1表面涂装业有机废气排放口排放要求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手动喷粉室</w:t>
            </w:r>
          </w:p>
        </w:tc>
        <w:tc>
          <w:tcPr>
            <w:tcW w:w="1425" w:type="dxa"/>
            <w:vAlign w:val="center"/>
          </w:tcPr>
          <w:p>
            <w:pPr>
              <w:spacing w:line="300" w:lineRule="exact"/>
              <w:jc w:val="center"/>
              <w:rPr>
                <w:color w:val="auto"/>
                <w:szCs w:val="21"/>
              </w:rPr>
            </w:pPr>
            <w:r>
              <w:rPr>
                <w:rFonts w:hint="eastAsia"/>
                <w:color w:val="auto"/>
                <w:szCs w:val="21"/>
              </w:rPr>
              <w:t>颗粒物</w:t>
            </w:r>
          </w:p>
        </w:tc>
        <w:tc>
          <w:tcPr>
            <w:tcW w:w="2120" w:type="dxa"/>
            <w:vAlign w:val="center"/>
          </w:tcPr>
          <w:p>
            <w:pPr>
              <w:spacing w:line="300" w:lineRule="exact"/>
              <w:jc w:val="center"/>
              <w:rPr>
                <w:color w:val="auto"/>
                <w:szCs w:val="21"/>
              </w:rPr>
            </w:pPr>
            <w:r>
              <w:rPr>
                <w:rFonts w:hint="eastAsia"/>
                <w:color w:val="auto"/>
                <w:szCs w:val="21"/>
              </w:rPr>
              <w:t>密闭负压粉房+布袋除尘器+15m排气筒（DA005)</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w:t>
            </w:r>
            <w:r>
              <w:rPr>
                <w:rFonts w:hint="eastAsia"/>
                <w:bCs/>
                <w:color w:val="auto"/>
                <w:szCs w:val="21"/>
              </w:rPr>
              <w:t>染料尘</w:t>
            </w:r>
            <w:r>
              <w:rPr>
                <w:bCs/>
                <w:color w:val="auto"/>
                <w:szCs w:val="21"/>
              </w:rPr>
              <w:t>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手喷件固化烘箱</w:t>
            </w:r>
          </w:p>
        </w:tc>
        <w:tc>
          <w:tcPr>
            <w:tcW w:w="1425" w:type="dxa"/>
            <w:vAlign w:val="center"/>
          </w:tcPr>
          <w:p>
            <w:pPr>
              <w:spacing w:line="300" w:lineRule="exact"/>
              <w:jc w:val="center"/>
              <w:rPr>
                <w:color w:val="auto"/>
                <w:szCs w:val="21"/>
              </w:rPr>
            </w:pPr>
            <w:r>
              <w:rPr>
                <w:rFonts w:hint="eastAsia"/>
                <w:color w:val="auto"/>
                <w:szCs w:val="21"/>
              </w:rPr>
              <w:t>非甲烷总烃</w:t>
            </w:r>
          </w:p>
        </w:tc>
        <w:tc>
          <w:tcPr>
            <w:tcW w:w="2120" w:type="dxa"/>
            <w:vAlign w:val="center"/>
          </w:tcPr>
          <w:p>
            <w:pPr>
              <w:spacing w:line="300" w:lineRule="exact"/>
              <w:jc w:val="center"/>
              <w:rPr>
                <w:color w:val="auto"/>
                <w:szCs w:val="21"/>
              </w:rPr>
            </w:pPr>
            <w:r>
              <w:rPr>
                <w:rFonts w:hint="eastAsia"/>
                <w:color w:val="auto"/>
                <w:szCs w:val="21"/>
              </w:rPr>
              <w:t>集气罩+二级活性炭吸附+15m排气筒（DA006)</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《工业企业挥发性有机物排放控制标准》(DB13/2322-2016)表1表面涂装业有机废气排放口排放要求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515" w:type="dxa"/>
            <w:vMerge w:val="continue"/>
            <w:vAlign w:val="center"/>
          </w:tcPr>
          <w:p>
            <w:pPr>
              <w:spacing w:line="300" w:lineRule="exact"/>
              <w:jc w:val="center"/>
              <w:rPr>
                <w:color w:val="auto"/>
                <w:szCs w:val="21"/>
              </w:rPr>
            </w:pPr>
          </w:p>
        </w:tc>
        <w:tc>
          <w:tcPr>
            <w:tcW w:w="1801" w:type="dxa"/>
            <w:vMerge w:val="restart"/>
            <w:vAlign w:val="center"/>
          </w:tcPr>
          <w:p>
            <w:pPr>
              <w:pStyle w:val="24"/>
              <w:spacing w:line="240" w:lineRule="exact"/>
              <w:jc w:val="center"/>
              <w:rPr>
                <w:color w:val="auto"/>
                <w:sz w:val="21"/>
                <w:szCs w:val="21"/>
              </w:rPr>
            </w:pPr>
            <w:r>
              <w:rPr>
                <w:rFonts w:hint="eastAsia"/>
                <w:color w:val="auto"/>
                <w:sz w:val="21"/>
                <w:szCs w:val="21"/>
              </w:rPr>
              <w:t>厂界无组织废气</w:t>
            </w:r>
          </w:p>
        </w:tc>
        <w:tc>
          <w:tcPr>
            <w:tcW w:w="1425" w:type="dxa"/>
            <w:vAlign w:val="center"/>
          </w:tcPr>
          <w:p>
            <w:pPr>
              <w:adjustRightInd w:val="0"/>
              <w:snapToGrid w:val="0"/>
              <w:spacing w:line="360" w:lineRule="exact"/>
              <w:jc w:val="center"/>
              <w:rPr>
                <w:color w:val="auto"/>
                <w:szCs w:val="21"/>
              </w:rPr>
            </w:pPr>
            <w:r>
              <w:rPr>
                <w:rFonts w:hint="eastAsia"/>
                <w:color w:val="auto"/>
                <w:szCs w:val="21"/>
              </w:rPr>
              <w:t>颗粒物</w:t>
            </w:r>
          </w:p>
        </w:tc>
        <w:tc>
          <w:tcPr>
            <w:tcW w:w="2120" w:type="dxa"/>
            <w:vMerge w:val="restart"/>
            <w:vAlign w:val="center"/>
          </w:tcPr>
          <w:p>
            <w:pPr>
              <w:jc w:val="center"/>
              <w:rPr>
                <w:color w:val="auto"/>
                <w:szCs w:val="21"/>
              </w:rPr>
            </w:pPr>
            <w:r>
              <w:rPr>
                <w:rFonts w:hint="eastAsia" w:ascii="宋体" w:hAnsi="宋体" w:cs="宋体"/>
                <w:color w:val="auto"/>
                <w:spacing w:val="-2"/>
                <w:szCs w:val="21"/>
              </w:rPr>
              <w:t>规范在车间内操作，减少无组织气体的产生</w:t>
            </w: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《大气污染物综合排放标准》（GB16297-1996）表2</w:t>
            </w:r>
            <w:r>
              <w:rPr>
                <w:rFonts w:hint="eastAsia"/>
                <w:bCs/>
                <w:color w:val="auto"/>
                <w:szCs w:val="21"/>
              </w:rPr>
              <w:t>无组织排放监控浓度</w:t>
            </w:r>
            <w:r>
              <w:rPr>
                <w:bCs/>
                <w:color w:val="auto"/>
                <w:szCs w:val="21"/>
              </w:rPr>
              <w:t>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1515" w:type="dxa"/>
            <w:vMerge w:val="continue"/>
            <w:vAlign w:val="center"/>
          </w:tcPr>
          <w:p>
            <w:pPr>
              <w:spacing w:line="300" w:lineRule="exact"/>
              <w:jc w:val="center"/>
              <w:rPr>
                <w:color w:val="auto"/>
                <w:szCs w:val="21"/>
              </w:rPr>
            </w:pPr>
          </w:p>
        </w:tc>
        <w:tc>
          <w:tcPr>
            <w:tcW w:w="1801" w:type="dxa"/>
            <w:vMerge w:val="continue"/>
            <w:vAlign w:val="center"/>
          </w:tcPr>
          <w:p>
            <w:pPr>
              <w:pStyle w:val="24"/>
              <w:spacing w:line="240" w:lineRule="exact"/>
              <w:jc w:val="center"/>
              <w:rPr>
                <w:color w:val="auto"/>
                <w:sz w:val="21"/>
                <w:szCs w:val="21"/>
              </w:rPr>
            </w:pPr>
          </w:p>
        </w:tc>
        <w:tc>
          <w:tcPr>
            <w:tcW w:w="1425" w:type="dxa"/>
            <w:vAlign w:val="center"/>
          </w:tcPr>
          <w:p>
            <w:pPr>
              <w:adjustRightInd w:val="0"/>
              <w:snapToGrid w:val="0"/>
              <w:spacing w:line="360" w:lineRule="exact"/>
              <w:jc w:val="center"/>
              <w:rPr>
                <w:color w:val="auto"/>
                <w:szCs w:val="21"/>
              </w:rPr>
            </w:pPr>
            <w:r>
              <w:rPr>
                <w:rFonts w:hint="eastAsia"/>
                <w:color w:val="auto"/>
                <w:szCs w:val="21"/>
              </w:rPr>
              <w:t>非甲烷总烃</w:t>
            </w:r>
          </w:p>
        </w:tc>
        <w:tc>
          <w:tcPr>
            <w:tcW w:w="2120" w:type="dxa"/>
            <w:vMerge w:val="continue"/>
            <w:vAlign w:val="center"/>
          </w:tcPr>
          <w:p>
            <w:pPr>
              <w:jc w:val="center"/>
              <w:rPr>
                <w:rFonts w:ascii="宋体" w:hAnsi="宋体" w:cs="宋体"/>
                <w:color w:val="auto"/>
                <w:spacing w:val="-2"/>
                <w:szCs w:val="21"/>
              </w:rPr>
            </w:pPr>
          </w:p>
        </w:tc>
        <w:tc>
          <w:tcPr>
            <w:tcW w:w="2259" w:type="dxa"/>
            <w:vAlign w:val="center"/>
          </w:tcPr>
          <w:p>
            <w:pPr>
              <w:adjustRightInd w:val="0"/>
              <w:snapToGrid w:val="0"/>
              <w:spacing w:line="280" w:lineRule="exact"/>
              <w:jc w:val="center"/>
              <w:rPr>
                <w:rFonts w:ascii="宋体" w:hAnsi="宋体" w:cs="宋体"/>
                <w:color w:val="auto"/>
                <w:szCs w:val="21"/>
              </w:rPr>
            </w:pPr>
            <w:r>
              <w:rPr>
                <w:bCs/>
                <w:color w:val="auto"/>
                <w:szCs w:val="21"/>
              </w:rPr>
              <w:t>《工业企业挥发性有机物排放控制标准》(DB13/2322-2016)表</w:t>
            </w:r>
            <w:r>
              <w:rPr>
                <w:rFonts w:hint="eastAsia"/>
                <w:bCs/>
                <w:color w:val="auto"/>
                <w:szCs w:val="21"/>
              </w:rPr>
              <w:t>2其他企业边界限值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15" w:type="dxa"/>
            <w:vMerge w:val="restart"/>
            <w:vAlign w:val="center"/>
          </w:tcPr>
          <w:p>
            <w:pPr>
              <w:spacing w:line="300" w:lineRule="exact"/>
              <w:jc w:val="center"/>
              <w:rPr>
                <w:color w:val="auto"/>
                <w:szCs w:val="21"/>
              </w:rPr>
            </w:pPr>
            <w:r>
              <w:rPr>
                <w:color w:val="auto"/>
                <w:szCs w:val="21"/>
              </w:rPr>
              <w:t>地表水环境</w:t>
            </w:r>
          </w:p>
        </w:tc>
        <w:tc>
          <w:tcPr>
            <w:tcW w:w="1801" w:type="dxa"/>
            <w:tcBorders>
              <w:bottom w:val="single" w:color="auto" w:sz="4" w:space="0"/>
            </w:tcBorders>
            <w:vAlign w:val="center"/>
          </w:tcPr>
          <w:p>
            <w:pPr>
              <w:spacing w:line="360" w:lineRule="exact"/>
              <w:jc w:val="center"/>
              <w:rPr>
                <w:color w:val="auto"/>
                <w:szCs w:val="21"/>
              </w:rPr>
            </w:pPr>
            <w:r>
              <w:rPr>
                <w:rFonts w:hint="eastAsia"/>
                <w:color w:val="auto"/>
                <w:szCs w:val="21"/>
              </w:rPr>
              <w:t>生活废水</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pH、COD、SS、BOD5、氨氮</w:t>
            </w:r>
          </w:p>
        </w:tc>
        <w:tc>
          <w:tcPr>
            <w:tcW w:w="2120" w:type="dxa"/>
            <w:tcBorders>
              <w:bottom w:val="single" w:color="auto" w:sz="4" w:space="0"/>
            </w:tcBorders>
            <w:vAlign w:val="center"/>
          </w:tcPr>
          <w:p>
            <w:pPr>
              <w:jc w:val="center"/>
              <w:rPr>
                <w:color w:val="auto"/>
                <w:szCs w:val="21"/>
              </w:rPr>
            </w:pPr>
            <w:r>
              <w:rPr>
                <w:rFonts w:hint="eastAsia"/>
                <w:color w:val="auto"/>
                <w:szCs w:val="21"/>
              </w:rPr>
              <w:t>化粪池</w:t>
            </w:r>
          </w:p>
        </w:tc>
        <w:tc>
          <w:tcPr>
            <w:tcW w:w="2259" w:type="dxa"/>
            <w:vMerge w:val="restart"/>
            <w:vAlign w:val="center"/>
          </w:tcPr>
          <w:p>
            <w:pPr>
              <w:adjustRightInd w:val="0"/>
              <w:snapToGrid w:val="0"/>
              <w:spacing w:line="280" w:lineRule="exact"/>
              <w:jc w:val="center"/>
              <w:rPr>
                <w:rFonts w:ascii="宋体" w:hAnsi="宋体" w:cs="宋体"/>
                <w:color w:val="auto"/>
                <w:szCs w:val="21"/>
              </w:rPr>
            </w:pPr>
            <w:r>
              <w:rPr>
                <w:rFonts w:hint="eastAsia" w:ascii="宋体" w:hAnsi="宋体" w:cs="宋体"/>
                <w:color w:val="auto"/>
                <w:szCs w:val="21"/>
              </w:rPr>
              <w:t>《污水综合排放标准》（GB 8978-1996）中三级标准，同时满足魏县经济开发区污水处理厂进水指标要求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15" w:type="dxa"/>
            <w:vMerge w:val="continue"/>
            <w:vAlign w:val="center"/>
          </w:tcPr>
          <w:p>
            <w:pPr>
              <w:jc w:val="center"/>
              <w:rPr>
                <w:color w:val="auto"/>
              </w:rPr>
            </w:pPr>
          </w:p>
        </w:tc>
        <w:tc>
          <w:tcPr>
            <w:tcW w:w="1801" w:type="dxa"/>
            <w:tcBorders>
              <w:bottom w:val="single" w:color="auto" w:sz="4" w:space="0"/>
            </w:tcBorders>
            <w:vAlign w:val="center"/>
          </w:tcPr>
          <w:p>
            <w:pPr>
              <w:jc w:val="center"/>
              <w:rPr>
                <w:color w:val="auto"/>
                <w:szCs w:val="21"/>
              </w:rPr>
            </w:pPr>
            <w:r>
              <w:rPr>
                <w:rFonts w:hint="eastAsia"/>
                <w:color w:val="auto"/>
                <w:szCs w:val="21"/>
              </w:rPr>
              <w:t>生产废水</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pH、COD、SS、石油类、氨氮、阴离子表面活性剂、总磷</w:t>
            </w:r>
          </w:p>
        </w:tc>
        <w:tc>
          <w:tcPr>
            <w:tcW w:w="2120" w:type="dxa"/>
            <w:tcBorders>
              <w:bottom w:val="single" w:color="auto" w:sz="4" w:space="0"/>
            </w:tcBorders>
            <w:vAlign w:val="center"/>
          </w:tcPr>
          <w:p>
            <w:pPr>
              <w:jc w:val="center"/>
              <w:rPr>
                <w:color w:val="auto"/>
                <w:szCs w:val="21"/>
              </w:rPr>
            </w:pPr>
            <w:r>
              <w:rPr>
                <w:rFonts w:hint="eastAsia"/>
                <w:color w:val="auto"/>
                <w:szCs w:val="21"/>
              </w:rPr>
              <w:t>一体化污水处理设施,采用“隔油+混凝沉淀+气浮+活性炭碳滤”工艺</w:t>
            </w:r>
          </w:p>
        </w:tc>
        <w:tc>
          <w:tcPr>
            <w:tcW w:w="2259"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spacing w:line="300" w:lineRule="exact"/>
              <w:jc w:val="center"/>
              <w:rPr>
                <w:color w:val="auto"/>
                <w:szCs w:val="21"/>
              </w:rPr>
            </w:pPr>
            <w:r>
              <w:rPr>
                <w:color w:val="auto"/>
                <w:szCs w:val="21"/>
              </w:rPr>
              <w:t>声环境</w:t>
            </w:r>
          </w:p>
        </w:tc>
        <w:tc>
          <w:tcPr>
            <w:tcW w:w="1801" w:type="dxa"/>
            <w:tcBorders>
              <w:bottom w:val="single" w:color="auto" w:sz="4" w:space="0"/>
            </w:tcBorders>
            <w:vAlign w:val="center"/>
          </w:tcPr>
          <w:p>
            <w:pPr>
              <w:spacing w:line="300" w:lineRule="exact"/>
              <w:jc w:val="center"/>
              <w:rPr>
                <w:color w:val="auto"/>
                <w:szCs w:val="21"/>
              </w:rPr>
            </w:pPr>
            <w:r>
              <w:rPr>
                <w:rFonts w:hint="eastAsia"/>
                <w:color w:val="auto"/>
                <w:szCs w:val="21"/>
              </w:rPr>
              <w:t>项目</w:t>
            </w:r>
            <w:r>
              <w:rPr>
                <w:color w:val="auto"/>
                <w:szCs w:val="21"/>
              </w:rPr>
              <w:t>厂界</w:t>
            </w:r>
          </w:p>
        </w:tc>
        <w:tc>
          <w:tcPr>
            <w:tcW w:w="1425" w:type="dxa"/>
            <w:tcBorders>
              <w:bottom w:val="single" w:color="auto" w:sz="4" w:space="0"/>
            </w:tcBorders>
            <w:vAlign w:val="center"/>
          </w:tcPr>
          <w:p>
            <w:pPr>
              <w:pStyle w:val="24"/>
              <w:jc w:val="center"/>
              <w:rPr>
                <w:color w:val="auto"/>
                <w:sz w:val="21"/>
                <w:szCs w:val="21"/>
              </w:rPr>
            </w:pPr>
            <w:r>
              <w:rPr>
                <w:color w:val="auto"/>
                <w:sz w:val="21"/>
                <w:szCs w:val="21"/>
              </w:rPr>
              <w:t>Leq(A)</w:t>
            </w:r>
          </w:p>
        </w:tc>
        <w:tc>
          <w:tcPr>
            <w:tcW w:w="2120" w:type="dxa"/>
            <w:tcBorders>
              <w:bottom w:val="single" w:color="auto" w:sz="4" w:space="0"/>
            </w:tcBorders>
            <w:vAlign w:val="center"/>
          </w:tcPr>
          <w:p>
            <w:pPr>
              <w:pStyle w:val="24"/>
              <w:jc w:val="center"/>
              <w:rPr>
                <w:color w:val="auto"/>
                <w:sz w:val="21"/>
                <w:szCs w:val="21"/>
              </w:rPr>
            </w:pPr>
            <w:r>
              <w:rPr>
                <w:color w:val="auto"/>
                <w:sz w:val="21"/>
                <w:szCs w:val="21"/>
              </w:rPr>
              <w:t>选用低噪声设备+基础减震+厂房隔声</w:t>
            </w:r>
          </w:p>
        </w:tc>
        <w:tc>
          <w:tcPr>
            <w:tcW w:w="2259" w:type="dxa"/>
            <w:vAlign w:val="center"/>
          </w:tcPr>
          <w:p>
            <w:pPr>
              <w:pStyle w:val="24"/>
              <w:jc w:val="center"/>
              <w:rPr>
                <w:color w:val="auto"/>
                <w:sz w:val="21"/>
                <w:szCs w:val="21"/>
              </w:rPr>
            </w:pPr>
            <w:r>
              <w:rPr>
                <w:color w:val="auto"/>
                <w:sz w:val="21"/>
                <w:szCs w:val="21"/>
              </w:rPr>
              <w:t>厂界执行《工业企业厂界环境噪声排放标准》（GB12348-2008）</w:t>
            </w:r>
            <w:r>
              <w:rPr>
                <w:rFonts w:hint="eastAsia"/>
                <w:color w:val="auto"/>
                <w:sz w:val="21"/>
                <w:szCs w:val="21"/>
              </w:rPr>
              <w:t>3</w:t>
            </w:r>
            <w:r>
              <w:rPr>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5" w:type="dxa"/>
            <w:vAlign w:val="center"/>
          </w:tcPr>
          <w:p>
            <w:pPr>
              <w:spacing w:line="300" w:lineRule="exact"/>
              <w:jc w:val="center"/>
              <w:rPr>
                <w:color w:val="auto"/>
                <w:szCs w:val="21"/>
              </w:rPr>
            </w:pPr>
            <w:r>
              <w:rPr>
                <w:color w:val="auto"/>
                <w:szCs w:val="21"/>
              </w:rPr>
              <w:t>电磁辐射</w:t>
            </w:r>
          </w:p>
        </w:tc>
        <w:tc>
          <w:tcPr>
            <w:tcW w:w="1801" w:type="dxa"/>
            <w:tcBorders>
              <w:bottom w:val="single" w:color="auto" w:sz="4" w:space="0"/>
            </w:tcBorders>
            <w:vAlign w:val="center"/>
          </w:tcPr>
          <w:p>
            <w:pPr>
              <w:spacing w:line="300" w:lineRule="exact"/>
              <w:jc w:val="center"/>
              <w:rPr>
                <w:color w:val="auto"/>
                <w:szCs w:val="21"/>
              </w:rPr>
            </w:pPr>
            <w:r>
              <w:rPr>
                <w:color w:val="auto"/>
                <w:szCs w:val="21"/>
              </w:rPr>
              <w:t>/</w:t>
            </w:r>
          </w:p>
        </w:tc>
        <w:tc>
          <w:tcPr>
            <w:tcW w:w="1425" w:type="dxa"/>
            <w:tcBorders>
              <w:bottom w:val="single" w:color="auto" w:sz="4" w:space="0"/>
            </w:tcBorders>
            <w:vAlign w:val="center"/>
          </w:tcPr>
          <w:p>
            <w:pPr>
              <w:jc w:val="center"/>
              <w:rPr>
                <w:color w:val="auto"/>
                <w:szCs w:val="21"/>
              </w:rPr>
            </w:pPr>
            <w:r>
              <w:rPr>
                <w:color w:val="auto"/>
                <w:szCs w:val="21"/>
              </w:rPr>
              <w:t>/</w:t>
            </w:r>
          </w:p>
        </w:tc>
        <w:tc>
          <w:tcPr>
            <w:tcW w:w="2120" w:type="dxa"/>
            <w:tcBorders>
              <w:bottom w:val="single" w:color="auto" w:sz="4" w:space="0"/>
            </w:tcBorders>
            <w:vAlign w:val="center"/>
          </w:tcPr>
          <w:p>
            <w:pPr>
              <w:spacing w:line="300" w:lineRule="exact"/>
              <w:jc w:val="center"/>
              <w:rPr>
                <w:rFonts w:eastAsiaTheme="minorEastAsia"/>
                <w:color w:val="auto"/>
                <w:szCs w:val="21"/>
              </w:rPr>
            </w:pPr>
            <w:r>
              <w:rPr>
                <w:color w:val="auto"/>
                <w:szCs w:val="21"/>
              </w:rPr>
              <w:t>/</w:t>
            </w:r>
          </w:p>
        </w:tc>
        <w:tc>
          <w:tcPr>
            <w:tcW w:w="2259" w:type="dxa"/>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15" w:type="dxa"/>
            <w:vMerge w:val="restart"/>
            <w:vAlign w:val="center"/>
          </w:tcPr>
          <w:p>
            <w:pPr>
              <w:spacing w:line="300" w:lineRule="exact"/>
              <w:jc w:val="center"/>
              <w:rPr>
                <w:color w:val="auto"/>
                <w:szCs w:val="21"/>
              </w:rPr>
            </w:pPr>
            <w:r>
              <w:rPr>
                <w:rFonts w:hint="eastAsia"/>
                <w:color w:val="auto"/>
                <w:szCs w:val="21"/>
              </w:rPr>
              <w:t>固体废物</w:t>
            </w:r>
          </w:p>
        </w:tc>
        <w:tc>
          <w:tcPr>
            <w:tcW w:w="1801" w:type="dxa"/>
            <w:vAlign w:val="center"/>
          </w:tcPr>
          <w:p>
            <w:pPr>
              <w:spacing w:line="300" w:lineRule="exact"/>
              <w:jc w:val="center"/>
              <w:rPr>
                <w:rFonts w:eastAsiaTheme="minorEastAsia"/>
                <w:color w:val="auto"/>
                <w:szCs w:val="21"/>
              </w:rPr>
            </w:pPr>
            <w:r>
              <w:rPr>
                <w:rFonts w:hint="eastAsia"/>
                <w:color w:val="auto"/>
                <w:szCs w:val="21"/>
              </w:rPr>
              <w:t>下料、打孔、折弯</w:t>
            </w: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废边角料</w:t>
            </w:r>
          </w:p>
        </w:tc>
        <w:tc>
          <w:tcPr>
            <w:tcW w:w="2120" w:type="dxa"/>
            <w:vAlign w:val="center"/>
          </w:tcPr>
          <w:p>
            <w:pPr>
              <w:spacing w:line="240" w:lineRule="exact"/>
              <w:jc w:val="center"/>
              <w:rPr>
                <w:color w:val="auto"/>
                <w:szCs w:val="21"/>
              </w:rPr>
            </w:pPr>
            <w:r>
              <w:rPr>
                <w:rFonts w:hint="eastAsia" w:ascii="宋体" w:hAnsi="宋体" w:cs="宋体"/>
                <w:color w:val="auto"/>
                <w:szCs w:val="21"/>
              </w:rPr>
              <w:t>外售综合利用</w:t>
            </w:r>
          </w:p>
        </w:tc>
        <w:tc>
          <w:tcPr>
            <w:tcW w:w="2259" w:type="dxa"/>
            <w:vMerge w:val="restart"/>
            <w:vAlign w:val="center"/>
          </w:tcPr>
          <w:p>
            <w:pPr>
              <w:spacing w:line="240" w:lineRule="exact"/>
              <w:jc w:val="center"/>
              <w:rPr>
                <w:color w:val="auto"/>
                <w:szCs w:val="21"/>
              </w:rPr>
            </w:pPr>
            <w:r>
              <w:rPr>
                <w:rFonts w:hint="eastAsia"/>
                <w:color w:val="auto"/>
                <w:szCs w:val="21"/>
              </w:rPr>
              <w:t>《</w:t>
            </w:r>
            <w:r>
              <w:rPr>
                <w:rFonts w:hint="eastAsia"/>
                <w:color w:val="auto"/>
                <w:szCs w:val="21"/>
                <w:lang w:eastAsia="zh-CN"/>
              </w:rPr>
              <w:t>一般工业固体废物贮存和填埋污染物控制标准</w:t>
            </w:r>
            <w:r>
              <w:rPr>
                <w:rFonts w:hint="eastAsia"/>
                <w:color w:val="auto"/>
                <w:szCs w:val="21"/>
              </w:rPr>
              <w:t>》（GB18599-2020）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color w:val="auto"/>
                <w:szCs w:val="21"/>
              </w:rPr>
            </w:pPr>
            <w:r>
              <w:rPr>
                <w:rFonts w:hint="eastAsia"/>
                <w:color w:val="auto"/>
                <w:szCs w:val="21"/>
              </w:rPr>
              <w:t>焊接工序</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焊渣</w:t>
            </w:r>
          </w:p>
        </w:tc>
        <w:tc>
          <w:tcPr>
            <w:tcW w:w="2120" w:type="dxa"/>
            <w:vAlign w:val="center"/>
          </w:tcPr>
          <w:p>
            <w:pPr>
              <w:spacing w:line="240" w:lineRule="exact"/>
              <w:jc w:val="center"/>
              <w:rPr>
                <w:color w:val="auto"/>
                <w:szCs w:val="21"/>
              </w:rPr>
            </w:pPr>
            <w:r>
              <w:rPr>
                <w:rFonts w:hint="eastAsia" w:ascii="宋体" w:hAnsi="宋体" w:cs="宋体"/>
                <w:color w:val="auto"/>
                <w:szCs w:val="21"/>
              </w:rPr>
              <w:t>外售综合利用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rFonts w:eastAsiaTheme="minorEastAsia"/>
                <w:color w:val="auto"/>
                <w:szCs w:val="21"/>
              </w:rPr>
            </w:pPr>
            <w:r>
              <w:rPr>
                <w:rFonts w:hint="eastAsia"/>
                <w:color w:val="auto"/>
                <w:szCs w:val="21"/>
              </w:rPr>
              <w:t>铜排母线冲剪、折弯</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废铜线</w:t>
            </w:r>
          </w:p>
        </w:tc>
        <w:tc>
          <w:tcPr>
            <w:tcW w:w="2120" w:type="dxa"/>
            <w:tcBorders>
              <w:bottom w:val="single" w:color="auto" w:sz="4" w:space="0"/>
            </w:tcBorders>
            <w:vAlign w:val="center"/>
          </w:tcPr>
          <w:p>
            <w:pPr>
              <w:spacing w:line="240" w:lineRule="exact"/>
              <w:jc w:val="center"/>
              <w:rPr>
                <w:color w:val="auto"/>
                <w:szCs w:val="21"/>
              </w:rPr>
            </w:pPr>
            <w:r>
              <w:rPr>
                <w:rFonts w:hint="eastAsia" w:ascii="宋体" w:hAnsi="宋体" w:cs="宋体"/>
                <w:color w:val="auto"/>
                <w:szCs w:val="21"/>
              </w:rPr>
              <w:t>外售综合利用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rFonts w:eastAsiaTheme="minorEastAsia"/>
                <w:color w:val="auto"/>
                <w:szCs w:val="21"/>
              </w:rPr>
            </w:pPr>
            <w:r>
              <w:rPr>
                <w:rFonts w:hint="eastAsia"/>
                <w:color w:val="auto"/>
                <w:szCs w:val="21"/>
              </w:rPr>
              <w:t>脱脂剂包装</w:t>
            </w:r>
          </w:p>
        </w:tc>
        <w:tc>
          <w:tcPr>
            <w:tcW w:w="1425" w:type="dxa"/>
            <w:tcBorders>
              <w:bottom w:val="single" w:color="auto" w:sz="4" w:space="0"/>
            </w:tcBorders>
            <w:vAlign w:val="center"/>
          </w:tcPr>
          <w:p>
            <w:pPr>
              <w:spacing w:line="300" w:lineRule="exact"/>
              <w:jc w:val="center"/>
              <w:rPr>
                <w:rFonts w:hAnsi="宋体"/>
                <w:color w:val="auto"/>
                <w:szCs w:val="21"/>
              </w:rPr>
            </w:pPr>
            <w:r>
              <w:rPr>
                <w:rFonts w:hint="eastAsia"/>
                <w:color w:val="auto"/>
                <w:szCs w:val="21"/>
              </w:rPr>
              <w:t>废脱脂剂包装桶</w:t>
            </w:r>
          </w:p>
        </w:tc>
        <w:tc>
          <w:tcPr>
            <w:tcW w:w="2120" w:type="dxa"/>
            <w:tcBorders>
              <w:bottom w:val="single" w:color="auto" w:sz="4" w:space="0"/>
            </w:tcBorders>
            <w:vAlign w:val="center"/>
          </w:tcPr>
          <w:p>
            <w:pPr>
              <w:spacing w:line="240" w:lineRule="exact"/>
              <w:jc w:val="center"/>
              <w:rPr>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spacing w:line="300" w:lineRule="exact"/>
              <w:jc w:val="center"/>
              <w:rPr>
                <w:color w:val="auto"/>
                <w:szCs w:val="21"/>
              </w:rPr>
            </w:pPr>
          </w:p>
        </w:tc>
        <w:tc>
          <w:tcPr>
            <w:tcW w:w="1801" w:type="dxa"/>
            <w:vAlign w:val="center"/>
          </w:tcPr>
          <w:p>
            <w:pPr>
              <w:spacing w:line="300" w:lineRule="exact"/>
              <w:jc w:val="center"/>
              <w:rPr>
                <w:rFonts w:eastAsiaTheme="minorEastAsia"/>
                <w:color w:val="auto"/>
                <w:szCs w:val="21"/>
              </w:rPr>
            </w:pPr>
            <w:r>
              <w:rPr>
                <w:rFonts w:hint="eastAsia"/>
                <w:color w:val="auto"/>
                <w:szCs w:val="21"/>
              </w:rPr>
              <w:t>塑粉包装</w:t>
            </w:r>
          </w:p>
        </w:tc>
        <w:tc>
          <w:tcPr>
            <w:tcW w:w="1425" w:type="dxa"/>
            <w:tcBorders>
              <w:bottom w:val="single" w:color="auto" w:sz="4" w:space="0"/>
            </w:tcBorders>
            <w:vAlign w:val="center"/>
          </w:tcPr>
          <w:p>
            <w:pPr>
              <w:spacing w:line="300" w:lineRule="exact"/>
              <w:jc w:val="center"/>
              <w:rPr>
                <w:rFonts w:hAnsi="宋体"/>
                <w:color w:val="auto"/>
                <w:szCs w:val="21"/>
              </w:rPr>
            </w:pPr>
            <w:r>
              <w:rPr>
                <w:rFonts w:hint="eastAsia"/>
                <w:color w:val="auto"/>
                <w:szCs w:val="21"/>
              </w:rPr>
              <w:t>废塑粉袋</w:t>
            </w:r>
          </w:p>
        </w:tc>
        <w:tc>
          <w:tcPr>
            <w:tcW w:w="2120" w:type="dxa"/>
            <w:vAlign w:val="center"/>
          </w:tcPr>
          <w:p>
            <w:pPr>
              <w:spacing w:line="240" w:lineRule="exact"/>
              <w:jc w:val="center"/>
              <w:rPr>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color w:val="auto"/>
              </w:rPr>
            </w:pPr>
          </w:p>
        </w:tc>
        <w:tc>
          <w:tcPr>
            <w:tcW w:w="1801" w:type="dxa"/>
            <w:vMerge w:val="restart"/>
            <w:vAlign w:val="center"/>
          </w:tcPr>
          <w:p>
            <w:pPr>
              <w:spacing w:line="300" w:lineRule="exact"/>
              <w:jc w:val="center"/>
              <w:rPr>
                <w:rFonts w:eastAsiaTheme="minorEastAsia"/>
                <w:color w:val="auto"/>
                <w:szCs w:val="21"/>
              </w:rPr>
            </w:pPr>
            <w:r>
              <w:rPr>
                <w:rFonts w:hint="eastAsia"/>
                <w:color w:val="auto"/>
                <w:szCs w:val="21"/>
              </w:rPr>
              <w:t>滤芯回收系统</w:t>
            </w:r>
          </w:p>
        </w:tc>
        <w:tc>
          <w:tcPr>
            <w:tcW w:w="1425" w:type="dxa"/>
            <w:tcBorders>
              <w:bottom w:val="single" w:color="auto" w:sz="4" w:space="0"/>
            </w:tcBorders>
            <w:vAlign w:val="center"/>
          </w:tcPr>
          <w:p>
            <w:pPr>
              <w:spacing w:line="300" w:lineRule="exact"/>
              <w:jc w:val="center"/>
              <w:rPr>
                <w:rFonts w:hint="default" w:eastAsiaTheme="minorEastAsia"/>
                <w:color w:val="auto"/>
                <w:szCs w:val="21"/>
                <w:lang w:val="en-US" w:eastAsia="zh-CN"/>
              </w:rPr>
            </w:pPr>
            <w:r>
              <w:rPr>
                <w:rFonts w:hint="eastAsia" w:eastAsiaTheme="minorEastAsia"/>
                <w:color w:val="auto"/>
                <w:szCs w:val="21"/>
                <w:lang w:val="en-US" w:eastAsia="zh-CN"/>
              </w:rPr>
              <w:t>废塑粉</w:t>
            </w:r>
          </w:p>
        </w:tc>
        <w:tc>
          <w:tcPr>
            <w:tcW w:w="2120" w:type="dxa"/>
            <w:vAlign w:val="center"/>
          </w:tcPr>
          <w:p>
            <w:pPr>
              <w:spacing w:line="240" w:lineRule="exact"/>
              <w:jc w:val="center"/>
              <w:rPr>
                <w:rFonts w:eastAsiaTheme="minorEastAsia"/>
                <w:color w:val="auto"/>
                <w:szCs w:val="21"/>
              </w:rPr>
            </w:pPr>
            <w:r>
              <w:rPr>
                <w:rFonts w:hint="eastAsia" w:ascii="宋体" w:hAnsi="宋体" w:cs="宋体"/>
                <w:color w:val="auto"/>
                <w:kern w:val="1"/>
                <w:szCs w:val="21"/>
              </w:rPr>
              <w:t>回用于生产</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eastAsiaTheme="minorEastAsia"/>
                <w:color w:val="auto"/>
                <w:szCs w:val="21"/>
              </w:rPr>
            </w:pP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废滤芯</w:t>
            </w:r>
          </w:p>
        </w:tc>
        <w:tc>
          <w:tcPr>
            <w:tcW w:w="2120" w:type="dxa"/>
            <w:vAlign w:val="center"/>
          </w:tcPr>
          <w:p>
            <w:pPr>
              <w:spacing w:line="240" w:lineRule="exact"/>
              <w:jc w:val="center"/>
              <w:rPr>
                <w:rFonts w:eastAsiaTheme="minorEastAsia"/>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Align w:val="center"/>
          </w:tcPr>
          <w:p>
            <w:pPr>
              <w:spacing w:line="300" w:lineRule="exact"/>
              <w:jc w:val="center"/>
              <w:rPr>
                <w:rFonts w:hint="default" w:eastAsiaTheme="minorEastAsia"/>
                <w:color w:val="auto"/>
                <w:szCs w:val="21"/>
                <w:lang w:val="en-US" w:eastAsia="zh-CN"/>
              </w:rPr>
            </w:pPr>
            <w:r>
              <w:rPr>
                <w:rFonts w:hint="eastAsia" w:eastAsiaTheme="minorEastAsia"/>
                <w:color w:val="auto"/>
                <w:szCs w:val="21"/>
                <w:lang w:val="en-US" w:eastAsia="zh-CN"/>
              </w:rPr>
              <w:t>布袋除尘器</w:t>
            </w:r>
          </w:p>
        </w:tc>
        <w:tc>
          <w:tcPr>
            <w:tcW w:w="1425" w:type="dxa"/>
            <w:tcBorders>
              <w:bottom w:val="single" w:color="auto" w:sz="4" w:space="0"/>
            </w:tcBorders>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除尘灰</w:t>
            </w:r>
          </w:p>
        </w:tc>
        <w:tc>
          <w:tcPr>
            <w:tcW w:w="2120" w:type="dxa"/>
            <w:vAlign w:val="center"/>
          </w:tcPr>
          <w:p>
            <w:pPr>
              <w:spacing w:line="240" w:lineRule="exact"/>
              <w:jc w:val="center"/>
              <w:rPr>
                <w:rFonts w:hint="eastAsia"/>
                <w:color w:val="auto"/>
                <w:szCs w:val="21"/>
              </w:rPr>
            </w:pPr>
            <w:r>
              <w:rPr>
                <w:rFonts w:hint="eastAsia" w:ascii="宋体" w:hAnsi="宋体" w:cs="宋体"/>
                <w:color w:val="auto"/>
                <w:szCs w:val="21"/>
              </w:rPr>
              <w:t>外售综合利用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eastAsiaTheme="minorEastAsia"/>
                <w:color w:val="auto"/>
                <w:szCs w:val="21"/>
              </w:rPr>
            </w:pPr>
            <w:r>
              <w:rPr>
                <w:rFonts w:hint="eastAsia"/>
                <w:color w:val="auto"/>
                <w:szCs w:val="21"/>
              </w:rPr>
              <w:t>VOCs废气治理设备</w:t>
            </w: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废催化剂</w:t>
            </w:r>
          </w:p>
        </w:tc>
        <w:tc>
          <w:tcPr>
            <w:tcW w:w="2120" w:type="dxa"/>
            <w:vAlign w:val="center"/>
          </w:tcPr>
          <w:p>
            <w:pPr>
              <w:spacing w:line="240" w:lineRule="exact"/>
              <w:jc w:val="center"/>
              <w:rPr>
                <w:rFonts w:eastAsiaTheme="minorEastAsia"/>
                <w:color w:val="auto"/>
                <w:szCs w:val="21"/>
              </w:rPr>
            </w:pPr>
            <w:r>
              <w:rPr>
                <w:rFonts w:hint="eastAsia"/>
                <w:color w:val="auto"/>
                <w:szCs w:val="21"/>
              </w:rPr>
              <w:t>厂家回收利用</w:t>
            </w:r>
          </w:p>
        </w:tc>
        <w:tc>
          <w:tcPr>
            <w:tcW w:w="2259" w:type="dxa"/>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eastAsiaTheme="minorEastAsia"/>
                <w:color w:val="auto"/>
                <w:szCs w:val="21"/>
              </w:rPr>
            </w:pPr>
          </w:p>
        </w:tc>
        <w:tc>
          <w:tcPr>
            <w:tcW w:w="1425" w:type="dxa"/>
            <w:tcBorders>
              <w:bottom w:val="single" w:color="auto" w:sz="4" w:space="0"/>
            </w:tcBorders>
            <w:vAlign w:val="center"/>
          </w:tcPr>
          <w:p>
            <w:pPr>
              <w:spacing w:line="300" w:lineRule="exact"/>
              <w:jc w:val="center"/>
              <w:rPr>
                <w:rFonts w:eastAsiaTheme="minorEastAsia"/>
                <w:color w:val="auto"/>
                <w:szCs w:val="21"/>
              </w:rPr>
            </w:pPr>
            <w:r>
              <w:rPr>
                <w:rFonts w:hint="eastAsia"/>
                <w:color w:val="auto"/>
                <w:szCs w:val="21"/>
              </w:rPr>
              <w:t>废活性炭</w:t>
            </w:r>
          </w:p>
        </w:tc>
        <w:tc>
          <w:tcPr>
            <w:tcW w:w="2120" w:type="dxa"/>
            <w:vMerge w:val="restart"/>
            <w:vAlign w:val="center"/>
          </w:tcPr>
          <w:p>
            <w:pPr>
              <w:spacing w:line="240" w:lineRule="exact"/>
              <w:jc w:val="center"/>
              <w:rPr>
                <w:rFonts w:eastAsiaTheme="minorEastAsia"/>
                <w:color w:val="auto"/>
                <w:szCs w:val="21"/>
              </w:rPr>
            </w:pPr>
            <w:r>
              <w:rPr>
                <w:rFonts w:hint="eastAsia" w:ascii="宋体" w:hAnsi="宋体" w:cs="宋体"/>
                <w:color w:val="auto"/>
                <w:kern w:val="1"/>
                <w:szCs w:val="21"/>
              </w:rPr>
              <w:t>暂存危废间，定期委托有资质单位处置</w:t>
            </w:r>
          </w:p>
        </w:tc>
        <w:tc>
          <w:tcPr>
            <w:tcW w:w="2259" w:type="dxa"/>
            <w:vMerge w:val="restart"/>
            <w:vAlign w:val="center"/>
          </w:tcPr>
          <w:p>
            <w:pPr>
              <w:spacing w:line="240" w:lineRule="exact"/>
              <w:jc w:val="center"/>
              <w:rPr>
                <w:color w:val="auto"/>
                <w:szCs w:val="21"/>
              </w:rPr>
            </w:pPr>
            <w:r>
              <w:rPr>
                <w:rFonts w:hint="eastAsia"/>
                <w:color w:val="auto"/>
                <w:szCs w:val="21"/>
              </w:rPr>
              <w:t>《危险废物贮存污染控制标准》（GB18597-2001）及其修改单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ascii="宋体" w:hAnsi="宋体" w:cs="宋体"/>
                <w:color w:val="auto"/>
                <w:szCs w:val="21"/>
              </w:rPr>
            </w:pPr>
          </w:p>
        </w:tc>
        <w:tc>
          <w:tcPr>
            <w:tcW w:w="1425" w:type="dxa"/>
            <w:tcBorders>
              <w:bottom w:val="single" w:color="auto" w:sz="4" w:space="0"/>
            </w:tcBorders>
            <w:vAlign w:val="center"/>
          </w:tcPr>
          <w:p>
            <w:pPr>
              <w:spacing w:line="300" w:lineRule="exact"/>
              <w:jc w:val="center"/>
              <w:rPr>
                <w:rFonts w:ascii="宋体" w:hAnsi="宋体" w:cs="宋体"/>
                <w:color w:val="auto"/>
                <w:szCs w:val="21"/>
              </w:rPr>
            </w:pPr>
            <w:r>
              <w:rPr>
                <w:rFonts w:hint="eastAsia"/>
                <w:color w:val="auto"/>
                <w:szCs w:val="21"/>
              </w:rPr>
              <w:t>废过滤棉</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ascii="宋体" w:hAnsi="宋体" w:cs="宋体"/>
                <w:color w:val="auto"/>
                <w:szCs w:val="21"/>
              </w:rPr>
            </w:pPr>
            <w:r>
              <w:rPr>
                <w:rFonts w:hint="eastAsia"/>
                <w:color w:val="auto"/>
                <w:szCs w:val="21"/>
              </w:rPr>
              <w:t>污水处理站</w:t>
            </w:r>
          </w:p>
        </w:tc>
        <w:tc>
          <w:tcPr>
            <w:tcW w:w="1425" w:type="dxa"/>
            <w:tcBorders>
              <w:bottom w:val="single" w:color="auto" w:sz="4" w:space="0"/>
            </w:tcBorders>
            <w:vAlign w:val="center"/>
          </w:tcPr>
          <w:p>
            <w:pPr>
              <w:spacing w:line="300" w:lineRule="exact"/>
              <w:jc w:val="center"/>
              <w:rPr>
                <w:rFonts w:ascii="宋体" w:hAnsi="宋体" w:cs="宋体"/>
                <w:color w:val="auto"/>
                <w:szCs w:val="21"/>
              </w:rPr>
            </w:pPr>
            <w:r>
              <w:rPr>
                <w:rFonts w:hint="eastAsia"/>
                <w:color w:val="auto"/>
                <w:szCs w:val="21"/>
              </w:rPr>
              <w:t>污泥</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ascii="宋体" w:hAnsi="宋体" w:cs="宋体"/>
                <w:color w:val="auto"/>
                <w:szCs w:val="21"/>
              </w:rPr>
            </w:pPr>
          </w:p>
        </w:tc>
        <w:tc>
          <w:tcPr>
            <w:tcW w:w="1425" w:type="dxa"/>
            <w:tcBorders>
              <w:bottom w:val="single" w:color="auto" w:sz="4" w:space="0"/>
            </w:tcBorders>
            <w:vAlign w:val="center"/>
          </w:tcPr>
          <w:p>
            <w:pPr>
              <w:spacing w:line="300" w:lineRule="exact"/>
              <w:jc w:val="center"/>
              <w:rPr>
                <w:rFonts w:ascii="宋体" w:hAnsi="宋体" w:cs="宋体"/>
                <w:color w:val="auto"/>
                <w:szCs w:val="21"/>
              </w:rPr>
            </w:pPr>
            <w:r>
              <w:rPr>
                <w:rFonts w:hint="eastAsia"/>
                <w:color w:val="auto"/>
                <w:szCs w:val="21"/>
              </w:rPr>
              <w:t>气浮机废油</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液压设备</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废液压油</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Merge w:val="continue"/>
            <w:vAlign w:val="center"/>
          </w:tcPr>
          <w:p>
            <w:pPr>
              <w:spacing w:line="300" w:lineRule="exact"/>
              <w:jc w:val="center"/>
              <w:rPr>
                <w:rFonts w:ascii="宋体" w:hAnsi="宋体" w:cs="宋体"/>
                <w:color w:val="auto"/>
                <w:szCs w:val="21"/>
              </w:rPr>
            </w:pP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废油桶</w:t>
            </w:r>
          </w:p>
        </w:tc>
        <w:tc>
          <w:tcPr>
            <w:tcW w:w="2120" w:type="dxa"/>
            <w:vMerge w:val="continue"/>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vAlign w:val="center"/>
          </w:tcPr>
          <w:p>
            <w:pPr>
              <w:adjustRightInd w:val="0"/>
              <w:snapToGrid w:val="0"/>
              <w:spacing w:line="360" w:lineRule="exact"/>
              <w:jc w:val="center"/>
              <w:rPr>
                <w:rFonts w:eastAsiaTheme="minorEastAsia"/>
                <w:color w:val="auto"/>
                <w:szCs w:val="21"/>
              </w:rPr>
            </w:pPr>
          </w:p>
        </w:tc>
        <w:tc>
          <w:tcPr>
            <w:tcW w:w="1801"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脱脂槽</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脱脂槽残渣</w:t>
            </w:r>
          </w:p>
        </w:tc>
        <w:tc>
          <w:tcPr>
            <w:tcW w:w="2120" w:type="dxa"/>
            <w:vMerge w:val="continue"/>
            <w:tcBorders>
              <w:bottom w:val="single" w:color="auto" w:sz="4" w:space="0"/>
            </w:tcBorders>
            <w:vAlign w:val="center"/>
          </w:tcPr>
          <w:p>
            <w:pPr>
              <w:spacing w:line="240" w:lineRule="exact"/>
              <w:jc w:val="center"/>
              <w:rPr>
                <w:rFonts w:eastAsiaTheme="minorEastAsia"/>
                <w:color w:val="auto"/>
                <w:szCs w:val="21"/>
              </w:rPr>
            </w:pPr>
          </w:p>
        </w:tc>
        <w:tc>
          <w:tcPr>
            <w:tcW w:w="2259" w:type="dxa"/>
            <w:vMerge w:val="continue"/>
            <w:vAlign w:val="center"/>
          </w:tcPr>
          <w:p>
            <w:pPr>
              <w:adjustRightInd w:val="0"/>
              <w:snapToGrid w:val="0"/>
              <w:spacing w:line="360" w:lineRule="exact"/>
              <w:jc w:val="center"/>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tcBorders>
              <w:bottom w:val="single" w:color="auto" w:sz="4" w:space="0"/>
            </w:tcBorders>
            <w:vAlign w:val="center"/>
          </w:tcPr>
          <w:p>
            <w:pPr>
              <w:adjustRightInd w:val="0"/>
              <w:snapToGrid w:val="0"/>
              <w:spacing w:line="360" w:lineRule="exact"/>
              <w:jc w:val="center"/>
              <w:rPr>
                <w:rFonts w:eastAsiaTheme="minorEastAsia"/>
                <w:color w:val="auto"/>
                <w:szCs w:val="21"/>
              </w:rPr>
            </w:pPr>
          </w:p>
        </w:tc>
        <w:tc>
          <w:tcPr>
            <w:tcW w:w="1801"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职工生活</w:t>
            </w:r>
          </w:p>
        </w:tc>
        <w:tc>
          <w:tcPr>
            <w:tcW w:w="1425" w:type="dxa"/>
            <w:tcBorders>
              <w:bottom w:val="single" w:color="auto" w:sz="4" w:space="0"/>
            </w:tcBorders>
            <w:vAlign w:val="center"/>
          </w:tcPr>
          <w:p>
            <w:pPr>
              <w:spacing w:line="300" w:lineRule="exact"/>
              <w:jc w:val="center"/>
              <w:rPr>
                <w:color w:val="auto"/>
                <w:szCs w:val="21"/>
              </w:rPr>
            </w:pPr>
            <w:r>
              <w:rPr>
                <w:rFonts w:hint="eastAsia"/>
                <w:color w:val="auto"/>
                <w:szCs w:val="21"/>
              </w:rPr>
              <w:t>生活垃圾</w:t>
            </w:r>
          </w:p>
        </w:tc>
        <w:tc>
          <w:tcPr>
            <w:tcW w:w="2120" w:type="dxa"/>
            <w:tcBorders>
              <w:bottom w:val="single" w:color="auto" w:sz="4" w:space="0"/>
            </w:tcBorders>
            <w:vAlign w:val="center"/>
          </w:tcPr>
          <w:p>
            <w:pPr>
              <w:spacing w:line="240" w:lineRule="exact"/>
              <w:jc w:val="center"/>
              <w:rPr>
                <w:rFonts w:eastAsiaTheme="minorEastAsia"/>
                <w:color w:val="auto"/>
                <w:szCs w:val="21"/>
              </w:rPr>
            </w:pPr>
            <w:r>
              <w:rPr>
                <w:rFonts w:hint="eastAsia" w:ascii="宋体" w:hAnsi="宋体" w:cs="宋体"/>
                <w:color w:val="auto"/>
                <w:szCs w:val="21"/>
              </w:rPr>
              <w:t>环卫部门统一清运</w:t>
            </w:r>
          </w:p>
        </w:tc>
        <w:tc>
          <w:tcPr>
            <w:tcW w:w="2259" w:type="dxa"/>
            <w:vAlign w:val="center"/>
          </w:tcPr>
          <w:p>
            <w:pPr>
              <w:adjustRightInd w:val="0"/>
              <w:snapToGrid w:val="0"/>
              <w:spacing w:line="360" w:lineRule="exact"/>
              <w:jc w:val="center"/>
              <w:rPr>
                <w:rFonts w:eastAsiaTheme="minorEastAsia"/>
                <w:color w:val="auto"/>
                <w:szCs w:val="21"/>
              </w:rPr>
            </w:pPr>
            <w:r>
              <w:rPr>
                <w:rFonts w:hint="eastAsia" w:eastAsiaTheme="minor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土壤及地下水污染防渗措施</w:t>
            </w:r>
          </w:p>
        </w:tc>
        <w:tc>
          <w:tcPr>
            <w:tcW w:w="7605" w:type="dxa"/>
            <w:gridSpan w:val="4"/>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对喷涂生产线前处理区域、一体化污水处理设施、危废间地面采用耐酸碱水泥硬化，水泥地面上表面刷2mm环氧树脂漆，渗透系数≤10</w:t>
            </w:r>
            <w:r>
              <w:rPr>
                <w:rFonts w:hint="eastAsia" w:ascii="宋体" w:hAnsi="宋体" w:cs="宋体"/>
                <w:color w:val="auto"/>
                <w:szCs w:val="21"/>
                <w:vertAlign w:val="superscript"/>
              </w:rPr>
              <w:t>-10</w:t>
            </w:r>
            <w:r>
              <w:rPr>
                <w:rFonts w:hint="eastAsia" w:ascii="宋体" w:hAnsi="宋体" w:cs="宋体"/>
                <w:color w:val="auto"/>
                <w:szCs w:val="21"/>
              </w:rPr>
              <w:t>cm/s</w:t>
            </w:r>
            <w:r>
              <w:rPr>
                <w:rFonts w:hint="eastAsia" w:ascii="宋体" w:hAnsi="宋体" w:cs="宋体"/>
                <w:color w:val="auto"/>
                <w:szCs w:val="21"/>
                <w:lang w:eastAsia="zh-CN"/>
              </w:rPr>
              <w:t>，</w:t>
            </w:r>
            <w:r>
              <w:rPr>
                <w:rFonts w:hint="eastAsia" w:ascii="宋体" w:hAnsi="宋体" w:cs="宋体"/>
                <w:color w:val="auto"/>
                <w:szCs w:val="21"/>
                <w:lang w:val="en-US" w:eastAsia="zh-CN"/>
              </w:rPr>
              <w:t>生产车间其他区域为一般防渗区，采用耐酸间水泥硬化，</w:t>
            </w:r>
            <w:r>
              <w:rPr>
                <w:rFonts w:hint="eastAsia" w:ascii="宋体" w:hAnsi="宋体" w:cs="宋体"/>
                <w:color w:val="auto"/>
                <w:szCs w:val="21"/>
              </w:rPr>
              <w:t>渗透系数≤10</w:t>
            </w:r>
            <w:r>
              <w:rPr>
                <w:rFonts w:hint="eastAsia" w:ascii="宋体" w:hAnsi="宋体" w:cs="宋体"/>
                <w:color w:val="auto"/>
                <w:szCs w:val="21"/>
                <w:vertAlign w:val="superscript"/>
              </w:rPr>
              <w:t>-</w:t>
            </w:r>
            <w:r>
              <w:rPr>
                <w:rFonts w:hint="eastAsia" w:ascii="宋体" w:hAnsi="宋体" w:cs="宋体"/>
                <w:color w:val="auto"/>
                <w:szCs w:val="21"/>
                <w:vertAlign w:val="superscript"/>
                <w:lang w:val="en-US" w:eastAsia="zh-CN"/>
              </w:rPr>
              <w:t>7</w:t>
            </w:r>
            <w:r>
              <w:rPr>
                <w:rFonts w:hint="eastAsia" w:ascii="宋体" w:hAnsi="宋体" w:cs="宋体"/>
                <w:color w:val="auto"/>
                <w:szCs w:val="21"/>
              </w:rPr>
              <w:t>cm/s</w:t>
            </w:r>
            <w:r>
              <w:rPr>
                <w:rFonts w:hint="eastAsia" w:ascii="宋体" w:hAnsi="宋体" w:cs="宋体"/>
                <w:color w:val="auto"/>
                <w:szCs w:val="21"/>
                <w:lang w:eastAsia="zh-CN"/>
              </w:rPr>
              <w:t>，</w:t>
            </w:r>
            <w:r>
              <w:rPr>
                <w:rFonts w:hint="eastAsia" w:ascii="宋体" w:hAnsi="宋体" w:cs="宋体"/>
                <w:color w:val="auto"/>
                <w:szCs w:val="21"/>
                <w:lang w:val="en-US" w:eastAsia="zh-CN"/>
              </w:rPr>
              <w:t>其他区域采用一般水泥硬化。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生态保护措施</w:t>
            </w:r>
          </w:p>
        </w:tc>
        <w:tc>
          <w:tcPr>
            <w:tcW w:w="7605" w:type="dxa"/>
            <w:gridSpan w:val="4"/>
            <w:vAlign w:val="center"/>
          </w:tcPr>
          <w:p>
            <w:pPr>
              <w:jc w:val="center"/>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color w:val="auto"/>
                <w:szCs w:val="21"/>
              </w:rPr>
            </w:pPr>
            <w:r>
              <w:rPr>
                <w:color w:val="auto"/>
                <w:szCs w:val="21"/>
              </w:rPr>
              <w:t>环境风险</w:t>
            </w:r>
          </w:p>
          <w:p>
            <w:pPr>
              <w:spacing w:line="300" w:lineRule="exact"/>
              <w:jc w:val="center"/>
              <w:rPr>
                <w:color w:val="auto"/>
                <w:szCs w:val="21"/>
              </w:rPr>
            </w:pPr>
            <w:r>
              <w:rPr>
                <w:color w:val="auto"/>
                <w:szCs w:val="21"/>
              </w:rPr>
              <w:t>防范措施</w:t>
            </w:r>
          </w:p>
        </w:tc>
        <w:tc>
          <w:tcPr>
            <w:tcW w:w="7605" w:type="dxa"/>
            <w:gridSpan w:val="4"/>
            <w:vAlign w:val="center"/>
          </w:tcPr>
          <w:p>
            <w:pPr>
              <w:jc w:val="center"/>
              <w:rPr>
                <w:rFonts w:ascii="宋体" w:hAnsi="宋体" w:cs="宋体"/>
                <w:color w:val="auto"/>
                <w:szCs w:val="21"/>
              </w:rPr>
            </w:pPr>
            <w:r>
              <w:rPr>
                <w:rFonts w:hint="eastAsia" w:ascii="宋体" w:hAnsi="宋体" w:cs="宋体"/>
                <w:color w:val="auto"/>
                <w:szCs w:val="21"/>
              </w:rPr>
              <w:t>见本报告环境风险防控措施章节内容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tcPr>
          <w:p>
            <w:pPr>
              <w:spacing w:line="300" w:lineRule="exact"/>
              <w:jc w:val="center"/>
              <w:rPr>
                <w:color w:val="auto"/>
                <w:szCs w:val="21"/>
              </w:rPr>
            </w:pPr>
            <w:r>
              <w:rPr>
                <w:color w:val="auto"/>
                <w:szCs w:val="21"/>
              </w:rPr>
              <w:t>其他环境</w:t>
            </w:r>
          </w:p>
          <w:p>
            <w:pPr>
              <w:spacing w:line="300" w:lineRule="exact"/>
              <w:jc w:val="center"/>
              <w:rPr>
                <w:color w:val="auto"/>
                <w:szCs w:val="21"/>
              </w:rPr>
            </w:pPr>
            <w:r>
              <w:rPr>
                <w:color w:val="auto"/>
                <w:szCs w:val="21"/>
              </w:rPr>
              <w:t>管理要求</w:t>
            </w:r>
          </w:p>
        </w:tc>
        <w:tc>
          <w:tcPr>
            <w:tcW w:w="7605" w:type="dxa"/>
            <w:gridSpan w:val="4"/>
            <w:vAlign w:val="center"/>
          </w:tcPr>
          <w:p>
            <w:pPr>
              <w:spacing w:line="520" w:lineRule="exact"/>
              <w:ind w:firstLine="412" w:firstLineChars="200"/>
              <w:rPr>
                <w:color w:val="auto"/>
                <w:szCs w:val="21"/>
              </w:rPr>
            </w:pPr>
            <w:r>
              <w:rPr>
                <w:rFonts w:hint="eastAsia"/>
                <w:color w:val="auto"/>
                <w:szCs w:val="21"/>
              </w:rPr>
              <w:t>1、企业的环境管理总体要求：</w:t>
            </w:r>
            <w:r>
              <w:rPr>
                <w:color w:val="auto"/>
                <w:szCs w:val="21"/>
              </w:rPr>
              <w:t>环境管理工作应实行法人负责制，本项目应设置环保管理机构和管理人员，企业需配置1名专职或兼职管理人员。</w:t>
            </w:r>
            <w:r>
              <w:rPr>
                <w:rFonts w:hint="eastAsia"/>
                <w:color w:val="auto"/>
                <w:szCs w:val="21"/>
              </w:rPr>
              <w:t>企业应该</w:t>
            </w:r>
            <w:r>
              <w:rPr>
                <w:color w:val="auto"/>
                <w:szCs w:val="21"/>
              </w:rPr>
              <w:t>贯彻执行《中华人民共和国环境保护法》及其相关法律、法规，按国家的环保政策、环境标准及环境监测要求，制定环境管理规章制度，并监督执行。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组织并抓好本项目污染治理和综合利用工作，定期对环保设施进行检查，负责环保设备的维修保养，保证其正常运行。</w:t>
            </w:r>
          </w:p>
          <w:p>
            <w:pPr>
              <w:spacing w:line="360" w:lineRule="auto"/>
              <w:ind w:firstLine="412" w:firstLineChars="200"/>
              <w:rPr>
                <w:color w:val="auto"/>
                <w:szCs w:val="21"/>
              </w:rPr>
            </w:pPr>
            <w:r>
              <w:rPr>
                <w:rFonts w:hint="eastAsia"/>
                <w:color w:val="auto"/>
                <w:szCs w:val="21"/>
              </w:rPr>
              <w:t>2危险废物管理要求：</w:t>
            </w:r>
            <w:r>
              <w:rPr>
                <w:rFonts w:eastAsiaTheme="minorEastAsia"/>
                <w:bCs/>
                <w:color w:val="auto"/>
                <w:szCs w:val="21"/>
              </w:rPr>
              <w:t>①各危险废物分类采用密闭容器进行盛装，且盛装容器贴有危险废物标识， 贮存间设置危险废物警示标志，由专人进行管理，</w:t>
            </w:r>
            <w:r>
              <w:rPr>
                <w:rFonts w:hint="eastAsia" w:eastAsiaTheme="minorEastAsia"/>
                <w:bCs/>
                <w:color w:val="auto"/>
                <w:szCs w:val="21"/>
              </w:rPr>
              <w:t>建立</w:t>
            </w:r>
            <w:r>
              <w:rPr>
                <w:rFonts w:eastAsiaTheme="minorEastAsia"/>
                <w:bCs/>
                <w:color w:val="auto"/>
                <w:szCs w:val="21"/>
              </w:rPr>
              <w:t>危险废物产生量及处置记录。②危险废物收集、贮存、运输时应按腐蚀性、毒性、易燃性和反应性等危险特性进行分类、包装并设置相应的标志及标签。 ③对密闭容器定期进行检查，泄漏损坏时立即进行处理，并将其装入完好容器内。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⑤危险废物转移遵从《危险废物转移联单管理办法》及其他有关规定的要求。</w:t>
            </w:r>
          </w:p>
          <w:p>
            <w:pPr>
              <w:spacing w:line="520" w:lineRule="exact"/>
              <w:ind w:firstLine="412" w:firstLineChars="200"/>
              <w:rPr>
                <w:color w:val="auto"/>
                <w:szCs w:val="21"/>
                <w:lang w:bidi="ar"/>
              </w:rPr>
            </w:pPr>
            <w:r>
              <w:rPr>
                <w:rFonts w:hint="eastAsia"/>
                <w:color w:val="auto"/>
                <w:szCs w:val="21"/>
              </w:rPr>
              <w:t>3、排污口规范化管理要求：</w:t>
            </w:r>
            <w:r>
              <w:rPr>
                <w:rFonts w:hint="eastAsia"/>
                <w:color w:val="auto"/>
                <w:szCs w:val="21"/>
                <w:lang w:bidi="ar"/>
              </w:rPr>
              <w:t>排污单位</w:t>
            </w:r>
            <w:r>
              <w:rPr>
                <w:color w:val="auto"/>
                <w:szCs w:val="21"/>
                <w:lang w:bidi="ar"/>
              </w:rPr>
              <w:t>应按照相关规范要求，建设完善规范化排污口。同时建设的规范化排污口要充分考虑便于采集样品、便于监测计量、便于日常环境监督管理的要求。排污口标志牌是对排污单位排放污染物实施监测采样和监督管理的法定标志。各排污单位要按照相关规范要求设立排污口标志牌。各相关企业应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同时上报</w:t>
            </w:r>
            <w:r>
              <w:rPr>
                <w:rFonts w:hint="eastAsia"/>
                <w:color w:val="auto"/>
                <w:szCs w:val="21"/>
                <w:lang w:bidi="ar"/>
              </w:rPr>
              <w:t>当地生态环境主管部门</w:t>
            </w:r>
            <w:r>
              <w:rPr>
                <w:color w:val="auto"/>
                <w:szCs w:val="21"/>
                <w:lang w:bidi="ar"/>
              </w:rPr>
              <w:t>建档以便统一管理</w:t>
            </w:r>
            <w:r>
              <w:rPr>
                <w:rFonts w:hint="eastAsia"/>
                <w:color w:val="auto"/>
                <w:szCs w:val="21"/>
                <w:lang w:bidi="ar"/>
              </w:rPr>
              <w:t>。</w:t>
            </w:r>
          </w:p>
          <w:p>
            <w:pPr>
              <w:spacing w:line="520" w:lineRule="exact"/>
              <w:ind w:firstLine="412" w:firstLineChars="200"/>
              <w:jc w:val="left"/>
              <w:rPr>
                <w:color w:val="auto"/>
                <w:szCs w:val="21"/>
                <w:lang w:bidi="ar"/>
              </w:rPr>
            </w:pPr>
            <w:r>
              <w:rPr>
                <w:rFonts w:hint="eastAsia"/>
                <w:color w:val="auto"/>
                <w:szCs w:val="21"/>
                <w:lang w:bidi="ar"/>
              </w:rPr>
              <w:t>4、信息公开要求：</w:t>
            </w:r>
            <w:r>
              <w:rPr>
                <w:rFonts w:hint="eastAsia"/>
                <w:color w:val="auto"/>
                <w:szCs w:val="21"/>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项目基础信息、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生态环境行政许可情况、⑤突发环境事件应急预案、⑥其他应当公开的环境信息。如若公司的环境信息发生变更或有新生成时，应在环境信息生成或者变更之日起三十日内予以公开。生态环境主管部门应当宣传和引导公众监督企业事业单位环境信息公开工作。</w:t>
            </w:r>
          </w:p>
          <w:p>
            <w:pPr>
              <w:jc w:val="center"/>
              <w:rPr>
                <w:rFonts w:ascii="宋体" w:hAnsi="宋体" w:cs="宋体"/>
                <w:color w:val="auto"/>
                <w:szCs w:val="21"/>
              </w:rPr>
            </w:pPr>
          </w:p>
        </w:tc>
      </w:tr>
    </w:tbl>
    <w:p>
      <w:pPr>
        <w:rPr>
          <w:rFonts w:eastAsia="黑体"/>
          <w:sz w:val="28"/>
          <w:lang w:val="fr-FR"/>
        </w:rPr>
        <w:sectPr>
          <w:pgSz w:w="11906" w:h="16838"/>
          <w:pgMar w:top="1304" w:right="1701" w:bottom="1418" w:left="1701" w:header="851" w:footer="851" w:gutter="0"/>
          <w:pgBorders>
            <w:top w:val="none" w:sz="0" w:space="0"/>
            <w:left w:val="none" w:sz="0" w:space="0"/>
            <w:bottom w:val="none" w:sz="0" w:space="0"/>
            <w:right w:val="none" w:sz="0" w:space="0"/>
          </w:pgBorders>
          <w:cols w:space="720" w:num="1"/>
          <w:docGrid w:type="linesAndChars" w:linePitch="380" w:charSpace="-948"/>
        </w:sectPr>
      </w:pPr>
    </w:p>
    <w:p>
      <w:pPr>
        <w:jc w:val="center"/>
        <w:rPr>
          <w:rFonts w:eastAsia="黑体"/>
          <w:b/>
          <w:sz w:val="32"/>
          <w:szCs w:val="32"/>
        </w:rPr>
      </w:pPr>
      <w:r>
        <w:rPr>
          <w:rFonts w:hint="eastAsia" w:eastAsia="黑体"/>
          <w:b/>
          <w:sz w:val="32"/>
          <w:szCs w:val="32"/>
        </w:rPr>
        <w:t>六、</w:t>
      </w:r>
      <w:r>
        <w:rPr>
          <w:rFonts w:eastAsia="黑体"/>
          <w:b/>
          <w:sz w:val="32"/>
          <w:szCs w:val="32"/>
        </w:rPr>
        <w:t>结论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b/>
                <w:sz w:val="24"/>
                <w:szCs w:val="24"/>
              </w:rPr>
            </w:pPr>
            <w:r>
              <w:rPr>
                <w:rFonts w:hint="eastAsia"/>
                <w:b/>
                <w:sz w:val="24"/>
                <w:szCs w:val="24"/>
              </w:rPr>
              <w:t>建设</w:t>
            </w:r>
            <w:r>
              <w:rPr>
                <w:b/>
                <w:sz w:val="24"/>
                <w:szCs w:val="24"/>
              </w:rPr>
              <w:t>项目</w:t>
            </w:r>
            <w:r>
              <w:rPr>
                <w:rFonts w:hint="eastAsia"/>
                <w:b/>
                <w:sz w:val="24"/>
                <w:szCs w:val="24"/>
              </w:rPr>
              <w:t>环境影响</w:t>
            </w:r>
            <w:r>
              <w:rPr>
                <w:b/>
                <w:sz w:val="24"/>
                <w:szCs w:val="24"/>
              </w:rPr>
              <w:t>可行性结论</w:t>
            </w:r>
            <w:r>
              <w:rPr>
                <w:rFonts w:hint="eastAsia"/>
                <w:b/>
                <w:sz w:val="24"/>
                <w:szCs w:val="24"/>
              </w:rPr>
              <w:t>：</w:t>
            </w:r>
          </w:p>
          <w:p>
            <w:pPr>
              <w:spacing w:line="360" w:lineRule="auto"/>
              <w:ind w:firstLine="472" w:firstLineChars="200"/>
              <w:jc w:val="left"/>
              <w:rPr>
                <w:sz w:val="24"/>
                <w:szCs w:val="24"/>
              </w:rPr>
            </w:pPr>
            <w:r>
              <w:rPr>
                <w:sz w:val="24"/>
                <w:szCs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9"/>
              <w:spacing w:line="360" w:lineRule="auto"/>
              <w:ind w:firstLine="0"/>
              <w:rPr>
                <w:sz w:val="24"/>
                <w:szCs w:val="24"/>
              </w:rPr>
            </w:pPr>
          </w:p>
        </w:tc>
      </w:tr>
    </w:tbl>
    <w:p>
      <w:pPr>
        <w:sectPr>
          <w:footerReference r:id="rId6" w:type="default"/>
          <w:pgSz w:w="11906" w:h="16838"/>
          <w:pgMar w:top="1304" w:right="1701" w:bottom="1418" w:left="1701" w:header="851" w:footer="953" w:gutter="0"/>
          <w:pgBorders>
            <w:top w:val="none" w:sz="0" w:space="0"/>
            <w:left w:val="none" w:sz="0" w:space="0"/>
            <w:bottom w:val="none" w:sz="0" w:space="0"/>
            <w:right w:val="none" w:sz="0" w:space="0"/>
          </w:pgBorders>
          <w:cols w:space="720" w:num="1"/>
          <w:docGrid w:type="linesAndChars" w:linePitch="380" w:charSpace="-948"/>
        </w:sectPr>
      </w:pPr>
    </w:p>
    <w:p>
      <w:pPr>
        <w:pStyle w:val="24"/>
        <w:rPr>
          <w:rFonts w:ascii="黑体" w:hAnsi="黑体" w:eastAsia="黑体" w:cs="黑体"/>
          <w:color w:val="auto"/>
          <w:sz w:val="32"/>
          <w:szCs w:val="32"/>
        </w:rPr>
      </w:pPr>
      <w:r>
        <w:rPr>
          <w:rFonts w:hint="eastAsia" w:ascii="黑体" w:hAnsi="黑体" w:eastAsia="黑体" w:cs="黑体"/>
          <w:color w:val="auto"/>
          <w:sz w:val="32"/>
          <w:szCs w:val="32"/>
        </w:rPr>
        <w:t>附表                         建设项目污染物排放量汇总表         单位：t/a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105"/>
        <w:gridCol w:w="1260"/>
        <w:gridCol w:w="1592"/>
        <w:gridCol w:w="1592"/>
        <w:gridCol w:w="1593"/>
        <w:gridCol w:w="1593"/>
        <w:gridCol w:w="183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11" w:type="dxa"/>
            <w:vAlign w:val="center"/>
          </w:tcPr>
          <w:p>
            <w:pPr>
              <w:pStyle w:val="24"/>
              <w:snapToGrid w:val="0"/>
              <w:jc w:val="center"/>
              <w:rPr>
                <w:rFonts w:ascii="黑体" w:hAnsi="黑体" w:eastAsia="黑体" w:cs="黑体"/>
                <w:color w:val="auto"/>
                <w:szCs w:val="24"/>
              </w:rPr>
            </w:pPr>
            <w:r>
              <w:rPr>
                <w:rFonts w:hint="eastAsia" w:ascii="黑体" w:hAnsi="黑体" w:eastAsia="黑体" w:cs="黑体"/>
                <w:color w:val="auto"/>
                <w:szCs w:val="24"/>
              </w:rPr>
              <w:t>分类</w:t>
            </w:r>
          </w:p>
          <w:p>
            <w:pPr>
              <w:pStyle w:val="24"/>
              <w:jc w:val="center"/>
              <w:rPr>
                <w:rFonts w:ascii="黑体" w:hAnsi="黑体" w:eastAsia="黑体" w:cs="黑体"/>
                <w:color w:val="auto"/>
                <w:szCs w:val="24"/>
              </w:rPr>
            </w:pPr>
            <w:r>
              <w:rPr>
                <w:rFonts w:hint="eastAsia" w:ascii="黑体" w:hAnsi="黑体" w:eastAsia="黑体" w:cs="黑体"/>
                <w:color w:val="auto"/>
                <w:szCs w:val="24"/>
              </w:rPr>
              <w:t>项目</w:t>
            </w:r>
          </w:p>
        </w:tc>
        <w:tc>
          <w:tcPr>
            <w:tcW w:w="2105"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污染物名称</w:t>
            </w:r>
          </w:p>
        </w:tc>
        <w:tc>
          <w:tcPr>
            <w:tcW w:w="1260"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现有工程排放量</w:t>
            </w:r>
          </w:p>
        </w:tc>
        <w:tc>
          <w:tcPr>
            <w:tcW w:w="1592"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现有工程许可排放量</w:t>
            </w:r>
          </w:p>
        </w:tc>
        <w:tc>
          <w:tcPr>
            <w:tcW w:w="1592"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在建工程排放量</w:t>
            </w:r>
          </w:p>
        </w:tc>
        <w:tc>
          <w:tcPr>
            <w:tcW w:w="1593"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本项目排放量</w:t>
            </w:r>
          </w:p>
        </w:tc>
        <w:tc>
          <w:tcPr>
            <w:tcW w:w="1593"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以新带老消减量</w:t>
            </w:r>
          </w:p>
        </w:tc>
        <w:tc>
          <w:tcPr>
            <w:tcW w:w="1834"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本项目建成后全厂排放量</w:t>
            </w:r>
          </w:p>
        </w:tc>
        <w:tc>
          <w:tcPr>
            <w:tcW w:w="1352" w:type="dxa"/>
            <w:vAlign w:val="center"/>
          </w:tcPr>
          <w:p>
            <w:pPr>
              <w:pStyle w:val="24"/>
              <w:jc w:val="center"/>
              <w:rPr>
                <w:rFonts w:ascii="黑体" w:hAnsi="黑体" w:eastAsia="黑体" w:cs="黑体"/>
                <w:color w:val="auto"/>
                <w:szCs w:val="24"/>
              </w:rPr>
            </w:pPr>
            <w:r>
              <w:rPr>
                <w:rFonts w:hint="eastAsia" w:ascii="黑体" w:hAnsi="黑体" w:eastAsia="黑体" w:cs="黑体"/>
                <w:color w:val="auto"/>
                <w:szCs w:val="24"/>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废气</w:t>
            </w:r>
          </w:p>
        </w:tc>
        <w:tc>
          <w:tcPr>
            <w:tcW w:w="2105" w:type="dxa"/>
            <w:vAlign w:val="center"/>
          </w:tcPr>
          <w:p>
            <w:pPr>
              <w:adjustRightInd w:val="0"/>
              <w:snapToGrid w:val="0"/>
              <w:spacing w:line="300" w:lineRule="exact"/>
              <w:jc w:val="center"/>
              <w:rPr>
                <w:color w:val="auto"/>
                <w:szCs w:val="21"/>
              </w:rPr>
            </w:pPr>
            <w:r>
              <w:rPr>
                <w:rFonts w:hint="eastAsia"/>
                <w:color w:val="auto"/>
                <w:szCs w:val="21"/>
              </w:rPr>
              <w:t>颗粒物</w:t>
            </w:r>
          </w:p>
        </w:tc>
        <w:tc>
          <w:tcPr>
            <w:tcW w:w="1260"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0.4685</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top"/>
          </w:tcPr>
          <w:p>
            <w:pPr>
              <w:adjustRightInd w:val="0"/>
              <w:jc w:val="center"/>
              <w:textAlignment w:val="baseline"/>
              <w:rPr>
                <w:color w:val="auto"/>
                <w:spacing w:val="-4"/>
                <w:szCs w:val="21"/>
              </w:rPr>
            </w:pPr>
            <w:r>
              <w:rPr>
                <w:rFonts w:hint="eastAsia"/>
                <w:color w:val="auto"/>
                <w:szCs w:val="21"/>
                <w:lang w:val="en-US" w:eastAsia="zh-CN"/>
              </w:rPr>
              <w:t>0.4685</w:t>
            </w:r>
          </w:p>
        </w:tc>
        <w:tc>
          <w:tcPr>
            <w:tcW w:w="1352" w:type="dxa"/>
            <w:vAlign w:val="top"/>
          </w:tcPr>
          <w:p>
            <w:pPr>
              <w:adjustRightInd w:val="0"/>
              <w:jc w:val="center"/>
              <w:textAlignment w:val="baseline"/>
              <w:rPr>
                <w:color w:val="auto"/>
                <w:kern w:val="1"/>
                <w:szCs w:val="21"/>
              </w:rPr>
            </w:pPr>
            <w:r>
              <w:rPr>
                <w:rFonts w:hint="eastAsia"/>
                <w:color w:val="auto"/>
                <w:szCs w:val="21"/>
                <w:lang w:val="en-US" w:eastAsia="zh-CN"/>
              </w:rPr>
              <w:t>+0.4685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SO2</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0.008</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top"/>
          </w:tcPr>
          <w:p>
            <w:pPr>
              <w:adjustRightInd w:val="0"/>
              <w:jc w:val="center"/>
              <w:textAlignment w:val="baseline"/>
              <w:rPr>
                <w:color w:val="auto"/>
                <w:spacing w:val="-4"/>
                <w:szCs w:val="21"/>
              </w:rPr>
            </w:pPr>
            <w:r>
              <w:rPr>
                <w:rFonts w:hint="eastAsia"/>
                <w:color w:val="auto"/>
                <w:szCs w:val="21"/>
                <w:lang w:val="en-US" w:eastAsia="zh-CN"/>
              </w:rPr>
              <w:t>0.008</w:t>
            </w:r>
          </w:p>
        </w:tc>
        <w:tc>
          <w:tcPr>
            <w:tcW w:w="1352" w:type="dxa"/>
            <w:vAlign w:val="top"/>
          </w:tcPr>
          <w:p>
            <w:pPr>
              <w:adjustRightInd w:val="0"/>
              <w:jc w:val="center"/>
              <w:textAlignment w:val="baseline"/>
              <w:rPr>
                <w:color w:val="auto"/>
                <w:kern w:val="1"/>
                <w:szCs w:val="21"/>
              </w:rPr>
            </w:pPr>
            <w:r>
              <w:rPr>
                <w:rFonts w:hint="eastAsia"/>
                <w:color w:val="auto"/>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NOX</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0.191</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top"/>
          </w:tcPr>
          <w:p>
            <w:pPr>
              <w:adjustRightInd w:val="0"/>
              <w:jc w:val="center"/>
              <w:textAlignment w:val="baseline"/>
              <w:rPr>
                <w:color w:val="auto"/>
                <w:spacing w:val="-4"/>
                <w:szCs w:val="21"/>
              </w:rPr>
            </w:pPr>
            <w:r>
              <w:rPr>
                <w:rFonts w:hint="eastAsia"/>
                <w:color w:val="auto"/>
                <w:szCs w:val="21"/>
                <w:lang w:val="en-US" w:eastAsia="zh-CN"/>
              </w:rPr>
              <w:t>0.191</w:t>
            </w:r>
          </w:p>
        </w:tc>
        <w:tc>
          <w:tcPr>
            <w:tcW w:w="1352" w:type="dxa"/>
            <w:vAlign w:val="top"/>
          </w:tcPr>
          <w:p>
            <w:pPr>
              <w:adjustRightInd w:val="0"/>
              <w:jc w:val="center"/>
              <w:textAlignment w:val="baseline"/>
              <w:rPr>
                <w:color w:val="auto"/>
                <w:kern w:val="1"/>
                <w:szCs w:val="21"/>
              </w:rPr>
            </w:pPr>
            <w:r>
              <w:rPr>
                <w:rFonts w:hint="eastAsia"/>
                <w:color w:val="auto"/>
                <w:szCs w:val="21"/>
                <w:lang w:val="en-US" w:eastAsia="zh-CN"/>
              </w:rPr>
              <w:t>+0.191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非甲烷总烃</w:t>
            </w:r>
          </w:p>
        </w:tc>
        <w:tc>
          <w:tcPr>
            <w:tcW w:w="1260"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2" w:type="dxa"/>
            <w:vAlign w:val="center"/>
          </w:tcPr>
          <w:p>
            <w:pPr>
              <w:pStyle w:val="35"/>
              <w:spacing w:line="280" w:lineRule="exact"/>
              <w:jc w:val="center"/>
              <w:rPr>
                <w:color w:val="auto"/>
                <w:sz w:val="21"/>
                <w:szCs w:val="21"/>
              </w:rPr>
            </w:pPr>
            <w:r>
              <w:rPr>
                <w:b w:val="0"/>
                <w:color w:val="auto"/>
                <w:kern w:val="0"/>
                <w:sz w:val="21"/>
                <w:szCs w:val="21"/>
              </w:rPr>
              <w:t>/</w:t>
            </w:r>
          </w:p>
        </w:tc>
        <w:tc>
          <w:tcPr>
            <w:tcW w:w="1593" w:type="dxa"/>
          </w:tcPr>
          <w:p>
            <w:pPr>
              <w:adjustRightInd w:val="0"/>
              <w:jc w:val="center"/>
              <w:textAlignment w:val="baseline"/>
              <w:rPr>
                <w:color w:val="auto"/>
                <w:szCs w:val="21"/>
              </w:rPr>
            </w:pPr>
            <w:r>
              <w:rPr>
                <w:rFonts w:hint="eastAsia"/>
                <w:color w:val="auto"/>
                <w:szCs w:val="21"/>
                <w:lang w:val="en-US" w:eastAsia="zh-CN"/>
              </w:rPr>
              <w:t>0.1616</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top"/>
          </w:tcPr>
          <w:p>
            <w:pPr>
              <w:adjustRightInd w:val="0"/>
              <w:jc w:val="center"/>
              <w:textAlignment w:val="baseline"/>
              <w:rPr>
                <w:color w:val="auto"/>
                <w:szCs w:val="21"/>
              </w:rPr>
            </w:pPr>
            <w:r>
              <w:rPr>
                <w:rFonts w:hint="eastAsia"/>
                <w:color w:val="auto"/>
                <w:szCs w:val="21"/>
                <w:lang w:val="en-US" w:eastAsia="zh-CN"/>
              </w:rPr>
              <w:t>0.1616</w:t>
            </w:r>
          </w:p>
        </w:tc>
        <w:tc>
          <w:tcPr>
            <w:tcW w:w="1352" w:type="dxa"/>
            <w:vAlign w:val="top"/>
          </w:tcPr>
          <w:p>
            <w:pPr>
              <w:adjustRightInd w:val="0"/>
              <w:jc w:val="center"/>
              <w:textAlignment w:val="baseline"/>
              <w:rPr>
                <w:color w:val="auto"/>
                <w:szCs w:val="21"/>
              </w:rPr>
            </w:pPr>
            <w:r>
              <w:rPr>
                <w:rFonts w:hint="eastAsia"/>
                <w:color w:val="auto"/>
                <w:szCs w:val="21"/>
                <w:lang w:val="en-US" w:eastAsia="zh-CN"/>
              </w:rPr>
              <w:t>+0.1616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废水</w:t>
            </w:r>
          </w:p>
        </w:tc>
        <w:tc>
          <w:tcPr>
            <w:tcW w:w="2105" w:type="dxa"/>
            <w:vAlign w:val="center"/>
          </w:tcPr>
          <w:p>
            <w:pPr>
              <w:adjustRightInd w:val="0"/>
              <w:snapToGrid w:val="0"/>
              <w:spacing w:line="300" w:lineRule="exact"/>
              <w:jc w:val="center"/>
              <w:rPr>
                <w:color w:val="auto"/>
                <w:szCs w:val="21"/>
              </w:rPr>
            </w:pPr>
            <w:r>
              <w:rPr>
                <w:rFonts w:hint="eastAsia"/>
                <w:color w:val="auto"/>
                <w:szCs w:val="21"/>
              </w:rPr>
              <w:t>COD</w:t>
            </w:r>
          </w:p>
        </w:tc>
        <w:tc>
          <w:tcPr>
            <w:tcW w:w="1260" w:type="dxa"/>
            <w:vAlign w:val="center"/>
          </w:tcPr>
          <w:p>
            <w:pPr>
              <w:pStyle w:val="35"/>
              <w:spacing w:line="280" w:lineRule="exact"/>
              <w:jc w:val="center"/>
              <w:rPr>
                <w:color w:val="auto"/>
                <w:kern w:val="0"/>
                <w:szCs w:val="21"/>
              </w:rPr>
            </w:pPr>
            <w:r>
              <w:rPr>
                <w:b w:val="0"/>
                <w:color w:val="auto"/>
                <w:kern w:val="0"/>
                <w:sz w:val="21"/>
                <w:szCs w:val="21"/>
              </w:rPr>
              <w:t>/</w:t>
            </w:r>
          </w:p>
        </w:tc>
        <w:tc>
          <w:tcPr>
            <w:tcW w:w="1592" w:type="dxa"/>
            <w:vAlign w:val="center"/>
          </w:tcPr>
          <w:p>
            <w:pPr>
              <w:pStyle w:val="35"/>
              <w:spacing w:line="280" w:lineRule="exact"/>
              <w:jc w:val="center"/>
              <w:rPr>
                <w:color w:val="auto"/>
                <w:kern w:val="0"/>
                <w:szCs w:val="21"/>
              </w:rPr>
            </w:pPr>
            <w:r>
              <w:rPr>
                <w:b w:val="0"/>
                <w:color w:val="auto"/>
                <w:kern w:val="0"/>
                <w:sz w:val="21"/>
                <w:szCs w:val="21"/>
              </w:rPr>
              <w:t>/</w:t>
            </w:r>
          </w:p>
        </w:tc>
        <w:tc>
          <w:tcPr>
            <w:tcW w:w="1592" w:type="dxa"/>
            <w:vAlign w:val="center"/>
          </w:tcPr>
          <w:p>
            <w:pPr>
              <w:pStyle w:val="35"/>
              <w:spacing w:line="280" w:lineRule="exact"/>
              <w:jc w:val="center"/>
              <w:rPr>
                <w:color w:val="auto"/>
                <w:kern w:val="0"/>
                <w:szCs w:val="21"/>
              </w:rPr>
            </w:pPr>
            <w:r>
              <w:rPr>
                <w:b w:val="0"/>
                <w:color w:val="auto"/>
                <w:kern w:val="0"/>
                <w:sz w:val="21"/>
                <w:szCs w:val="21"/>
              </w:rPr>
              <w:t>/</w:t>
            </w:r>
          </w:p>
        </w:tc>
        <w:tc>
          <w:tcPr>
            <w:tcW w:w="1593" w:type="dxa"/>
            <w:vAlign w:val="bottom"/>
          </w:tcPr>
          <w:p>
            <w:pPr>
              <w:adjustRightInd w:val="0"/>
              <w:jc w:val="center"/>
              <w:textAlignment w:val="baseline"/>
              <w:rPr>
                <w:rFonts w:hint="default"/>
                <w:color w:val="auto"/>
                <w:szCs w:val="21"/>
                <w:lang w:val="en-US" w:eastAsia="zh-CN"/>
              </w:rPr>
            </w:pPr>
            <w:r>
              <w:rPr>
                <w:rFonts w:hint="eastAsia"/>
                <w:color w:val="auto"/>
                <w:szCs w:val="21"/>
                <w:lang w:val="en-US" w:eastAsia="zh-CN"/>
              </w:rPr>
              <w:t>0.169</w:t>
            </w:r>
          </w:p>
        </w:tc>
        <w:tc>
          <w:tcPr>
            <w:tcW w:w="1593" w:type="dxa"/>
            <w:vAlign w:val="center"/>
          </w:tcPr>
          <w:p>
            <w:pPr>
              <w:pStyle w:val="35"/>
              <w:spacing w:line="280" w:lineRule="exact"/>
              <w:jc w:val="center"/>
              <w:rPr>
                <w:color w:val="auto"/>
                <w:kern w:val="0"/>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0.169</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BOD</w:t>
            </w:r>
            <w:r>
              <w:rPr>
                <w:rFonts w:hint="eastAsia"/>
                <w:color w:val="auto"/>
                <w:szCs w:val="21"/>
                <w:vertAlign w:val="subscript"/>
              </w:rPr>
              <w:t>5</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eastAsia"/>
                <w:color w:val="auto"/>
                <w:szCs w:val="21"/>
                <w:lang w:val="en-US" w:eastAsia="zh-CN"/>
              </w:rPr>
              <w:t>0.125</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0.125</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悬浮物</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default"/>
                <w:color w:val="auto"/>
                <w:szCs w:val="21"/>
                <w:lang w:val="en-US" w:eastAsia="zh-CN"/>
              </w:rPr>
            </w:pPr>
            <w:r>
              <w:rPr>
                <w:rFonts w:hint="eastAsia"/>
                <w:color w:val="auto"/>
                <w:szCs w:val="21"/>
                <w:lang w:val="en-US" w:eastAsia="zh-CN"/>
              </w:rPr>
              <w:t>0.117</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0.117</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氨氮</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default"/>
                <w:color w:val="auto"/>
                <w:szCs w:val="21"/>
                <w:lang w:val="en-US" w:eastAsia="zh-CN"/>
              </w:rPr>
            </w:pPr>
            <w:r>
              <w:rPr>
                <w:rFonts w:hint="eastAsia"/>
                <w:color w:val="auto"/>
                <w:szCs w:val="21"/>
                <w:lang w:val="en-US" w:eastAsia="zh-CN"/>
              </w:rPr>
              <w:t>0.016</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eastAsia"/>
                <w:color w:val="auto"/>
                <w:szCs w:val="21"/>
                <w:lang w:val="en-US" w:eastAsia="zh-CN"/>
              </w:rPr>
              <w:t>0.016</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阴离子表面活性剂</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default"/>
                <w:color w:val="auto"/>
                <w:szCs w:val="21"/>
                <w:lang w:val="en-US" w:eastAsia="zh-CN"/>
              </w:rPr>
              <w:t>0.00054</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default"/>
                <w:color w:val="auto"/>
                <w:szCs w:val="21"/>
                <w:lang w:val="en-US" w:eastAsia="zh-CN"/>
              </w:rPr>
              <w:t>0.00054</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w:t>
            </w:r>
            <w:r>
              <w:rPr>
                <w:rFonts w:hint="default"/>
                <w:color w:val="auto"/>
                <w:szCs w:val="21"/>
                <w:lang w:val="en-US" w:eastAsia="zh-CN"/>
              </w:rPr>
              <w:t>0.00054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总磷</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default"/>
                <w:color w:val="auto"/>
                <w:szCs w:val="21"/>
                <w:lang w:val="en-US" w:eastAsia="zh-CN"/>
              </w:rPr>
              <w:t>0.000288</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default"/>
                <w:color w:val="auto"/>
                <w:szCs w:val="21"/>
                <w:lang w:val="en-US" w:eastAsia="zh-CN"/>
              </w:rPr>
              <w:t>0.000288</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w:t>
            </w:r>
            <w:r>
              <w:rPr>
                <w:rFonts w:hint="default"/>
                <w:color w:val="auto"/>
                <w:szCs w:val="21"/>
                <w:lang w:val="en-US" w:eastAsia="zh-CN"/>
              </w:rPr>
              <w:t>0.000288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adjustRightInd w:val="0"/>
              <w:snapToGrid w:val="0"/>
              <w:spacing w:line="300" w:lineRule="exact"/>
              <w:jc w:val="center"/>
              <w:rPr>
                <w:color w:val="auto"/>
                <w:szCs w:val="21"/>
              </w:rPr>
            </w:pPr>
            <w:r>
              <w:rPr>
                <w:rFonts w:hint="eastAsia"/>
                <w:color w:val="auto"/>
                <w:szCs w:val="21"/>
              </w:rPr>
              <w:t>石油类</w:t>
            </w:r>
          </w:p>
        </w:tc>
        <w:tc>
          <w:tcPr>
            <w:tcW w:w="1260" w:type="dxa"/>
            <w:vAlign w:val="center"/>
          </w:tcPr>
          <w:p>
            <w:pPr>
              <w:pStyle w:val="35"/>
              <w:spacing w:line="280" w:lineRule="exact"/>
              <w:jc w:val="center"/>
              <w:rPr>
                <w:color w:val="auto"/>
                <w:szCs w:val="21"/>
              </w:rPr>
            </w:pPr>
            <w:r>
              <w:rPr>
                <w:b w:val="0"/>
                <w:color w:val="auto"/>
                <w:kern w:val="0"/>
                <w:sz w:val="21"/>
                <w:szCs w:val="21"/>
              </w:rPr>
              <w:t>/</w:t>
            </w:r>
          </w:p>
        </w:tc>
        <w:tc>
          <w:tcPr>
            <w:tcW w:w="1592" w:type="dxa"/>
            <w:vAlign w:val="center"/>
          </w:tcPr>
          <w:p>
            <w:pPr>
              <w:pStyle w:val="35"/>
              <w:spacing w:line="280" w:lineRule="exact"/>
              <w:jc w:val="center"/>
              <w:rPr>
                <w:rFonts w:ascii="Times New Roman" w:hAnsi="Times New Roman" w:eastAsia="宋体" w:cs="Times New Roman"/>
                <w:color w:val="auto"/>
                <w:kern w:val="2"/>
                <w:sz w:val="24"/>
                <w:szCs w:val="21"/>
                <w:lang w:val="en-US" w:eastAsia="zh-CN" w:bidi="ar-SA"/>
              </w:rPr>
            </w:pPr>
            <w:r>
              <w:rPr>
                <w:b w:val="0"/>
                <w:color w:val="auto"/>
                <w:kern w:val="0"/>
                <w:sz w:val="21"/>
                <w:szCs w:val="21"/>
              </w:rPr>
              <w:t>/</w:t>
            </w:r>
          </w:p>
        </w:tc>
        <w:tc>
          <w:tcPr>
            <w:tcW w:w="1592" w:type="dxa"/>
            <w:vAlign w:val="center"/>
          </w:tcPr>
          <w:p>
            <w:pPr>
              <w:pStyle w:val="35"/>
              <w:spacing w:line="280" w:lineRule="exact"/>
              <w:jc w:val="center"/>
              <w:rPr>
                <w:color w:val="auto"/>
                <w:szCs w:val="21"/>
              </w:rPr>
            </w:pPr>
            <w:r>
              <w:rPr>
                <w:b w:val="0"/>
                <w:color w:val="auto"/>
                <w:kern w:val="0"/>
                <w:sz w:val="21"/>
                <w:szCs w:val="21"/>
              </w:rPr>
              <w:t>/</w:t>
            </w:r>
          </w:p>
        </w:tc>
        <w:tc>
          <w:tcPr>
            <w:tcW w:w="1593" w:type="dxa"/>
            <w:vAlign w:val="bottom"/>
          </w:tcPr>
          <w:p>
            <w:pPr>
              <w:adjustRightInd w:val="0"/>
              <w:jc w:val="center"/>
              <w:textAlignment w:val="baseline"/>
              <w:rPr>
                <w:rFonts w:hint="eastAsia"/>
                <w:color w:val="auto"/>
                <w:szCs w:val="21"/>
                <w:lang w:val="en-US" w:eastAsia="zh-CN"/>
              </w:rPr>
            </w:pPr>
            <w:r>
              <w:rPr>
                <w:rFonts w:hint="default"/>
                <w:color w:val="auto"/>
                <w:szCs w:val="21"/>
                <w:lang w:val="en-US" w:eastAsia="zh-CN"/>
              </w:rPr>
              <w:t>0.0009</w:t>
            </w:r>
          </w:p>
        </w:tc>
        <w:tc>
          <w:tcPr>
            <w:tcW w:w="1593" w:type="dxa"/>
            <w:vAlign w:val="center"/>
          </w:tcPr>
          <w:p>
            <w:pPr>
              <w:pStyle w:val="35"/>
              <w:spacing w:line="280" w:lineRule="exact"/>
              <w:jc w:val="center"/>
              <w:rPr>
                <w:color w:val="auto"/>
                <w:szCs w:val="21"/>
              </w:rPr>
            </w:pPr>
            <w:r>
              <w:rPr>
                <w:b w:val="0"/>
                <w:color w:val="auto"/>
                <w:kern w:val="0"/>
                <w:sz w:val="21"/>
                <w:szCs w:val="21"/>
              </w:rPr>
              <w:t>/</w:t>
            </w:r>
          </w:p>
        </w:tc>
        <w:tc>
          <w:tcPr>
            <w:tcW w:w="1834" w:type="dxa"/>
            <w:vAlign w:val="bottom"/>
          </w:tcPr>
          <w:p>
            <w:pPr>
              <w:adjustRightInd w:val="0"/>
              <w:jc w:val="center"/>
              <w:textAlignment w:val="baseline"/>
              <w:rPr>
                <w:color w:val="auto"/>
                <w:szCs w:val="21"/>
              </w:rPr>
            </w:pPr>
            <w:r>
              <w:rPr>
                <w:rFonts w:hint="default"/>
                <w:color w:val="auto"/>
                <w:szCs w:val="21"/>
                <w:lang w:val="en-US" w:eastAsia="zh-CN"/>
              </w:rPr>
              <w:t>0.0009</w:t>
            </w:r>
          </w:p>
        </w:tc>
        <w:tc>
          <w:tcPr>
            <w:tcW w:w="1352" w:type="dxa"/>
            <w:vAlign w:val="bottom"/>
          </w:tcPr>
          <w:p>
            <w:pPr>
              <w:adjustRightInd w:val="0"/>
              <w:jc w:val="center"/>
              <w:textAlignment w:val="baseline"/>
              <w:rPr>
                <w:color w:val="auto"/>
                <w:szCs w:val="21"/>
              </w:rPr>
            </w:pPr>
            <w:r>
              <w:rPr>
                <w:rFonts w:hint="eastAsia"/>
                <w:color w:val="auto"/>
                <w:szCs w:val="21"/>
                <w:lang w:val="en-US" w:eastAsia="zh-CN"/>
              </w:rPr>
              <w:t>+</w:t>
            </w:r>
            <w:r>
              <w:rPr>
                <w:rFonts w:hint="default"/>
                <w:color w:val="auto"/>
                <w:szCs w:val="21"/>
                <w:lang w:val="en-US" w:eastAsia="zh-CN"/>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一般工业固体废物</w:t>
            </w:r>
          </w:p>
        </w:tc>
        <w:tc>
          <w:tcPr>
            <w:tcW w:w="2105" w:type="dxa"/>
            <w:vAlign w:val="center"/>
          </w:tcPr>
          <w:p>
            <w:pPr>
              <w:spacing w:line="300" w:lineRule="exact"/>
              <w:jc w:val="center"/>
              <w:rPr>
                <w:color w:val="auto"/>
                <w:szCs w:val="21"/>
              </w:rPr>
            </w:pPr>
            <w:r>
              <w:rPr>
                <w:rFonts w:hint="eastAsia"/>
                <w:color w:val="auto"/>
                <w:szCs w:val="21"/>
              </w:rPr>
              <w:t>废边角料</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1"/>
                <w:szCs w:val="21"/>
              </w:rPr>
            </w:pPr>
            <w:r>
              <w:rPr>
                <w:rFonts w:hint="eastAsia"/>
                <w:color w:val="auto"/>
                <w:kern w:val="1"/>
                <w:szCs w:val="21"/>
              </w:rPr>
              <w:t>（15）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1"/>
                <w:szCs w:val="21"/>
              </w:rPr>
            </w:pPr>
            <w:r>
              <w:rPr>
                <w:rFonts w:hint="eastAsia"/>
                <w:color w:val="auto"/>
                <w:kern w:val="1"/>
                <w:szCs w:val="21"/>
              </w:rPr>
              <w:t>（15）</w:t>
            </w:r>
          </w:p>
        </w:tc>
        <w:tc>
          <w:tcPr>
            <w:tcW w:w="1352" w:type="dxa"/>
            <w:vAlign w:val="center"/>
          </w:tcPr>
          <w:p>
            <w:pPr>
              <w:spacing w:line="240" w:lineRule="exact"/>
              <w:jc w:val="center"/>
              <w:rPr>
                <w:color w:val="auto"/>
                <w:kern w:val="1"/>
                <w:szCs w:val="21"/>
              </w:rPr>
            </w:pPr>
            <w:r>
              <w:rPr>
                <w:rFonts w:hint="eastAsia"/>
                <w:color w:val="auto"/>
                <w:kern w:val="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焊渣</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（0.05）</w:t>
            </w:r>
          </w:p>
        </w:tc>
        <w:tc>
          <w:tcPr>
            <w:tcW w:w="1352" w:type="dxa"/>
            <w:vAlign w:val="center"/>
          </w:tcPr>
          <w:p>
            <w:pPr>
              <w:spacing w:line="240" w:lineRule="exact"/>
              <w:jc w:val="center"/>
              <w:rPr>
                <w:color w:val="auto"/>
                <w:kern w:val="0"/>
                <w:szCs w:val="21"/>
              </w:rPr>
            </w:pPr>
            <w:r>
              <w:rPr>
                <w:rFonts w:hint="eastAsia"/>
                <w:color w:val="auto"/>
                <w:kern w:val="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废铜线</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（28）</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（28）</w:t>
            </w:r>
          </w:p>
        </w:tc>
        <w:tc>
          <w:tcPr>
            <w:tcW w:w="1352" w:type="dxa"/>
            <w:vAlign w:val="center"/>
          </w:tcPr>
          <w:p>
            <w:pPr>
              <w:spacing w:line="240" w:lineRule="exact"/>
              <w:jc w:val="center"/>
              <w:rPr>
                <w:color w:val="auto"/>
                <w:kern w:val="0"/>
                <w:szCs w:val="21"/>
              </w:rPr>
            </w:pPr>
            <w:r>
              <w:rPr>
                <w:rFonts w:hint="eastAsia"/>
                <w:color w:val="auto"/>
                <w:kern w:val="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废脱脂剂包装桶</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rFonts w:ascii="宋体" w:hAnsi="宋体" w:cs="宋体"/>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废塑粉袋</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（0.5）</w:t>
            </w:r>
          </w:p>
        </w:tc>
        <w:tc>
          <w:tcPr>
            <w:tcW w:w="1352" w:type="dxa"/>
            <w:vAlign w:val="center"/>
          </w:tcPr>
          <w:p>
            <w:pPr>
              <w:spacing w:line="240" w:lineRule="exact"/>
              <w:jc w:val="center"/>
              <w:rPr>
                <w:color w:val="auto"/>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废塑粉</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w:t>
            </w:r>
            <w:r>
              <w:rPr>
                <w:rFonts w:hint="eastAsia"/>
                <w:color w:val="auto"/>
                <w:kern w:val="1"/>
                <w:szCs w:val="21"/>
                <w:lang w:val="en-US" w:eastAsia="zh-CN"/>
              </w:rPr>
              <w:t>79</w:t>
            </w:r>
            <w:r>
              <w:rPr>
                <w:rFonts w:hint="eastAsia"/>
                <w:color w:val="auto"/>
                <w:kern w:val="1"/>
                <w:szCs w:val="21"/>
              </w:rPr>
              <w:t>）</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w:t>
            </w:r>
            <w:r>
              <w:rPr>
                <w:rFonts w:hint="eastAsia"/>
                <w:color w:val="auto"/>
                <w:kern w:val="1"/>
                <w:szCs w:val="21"/>
                <w:lang w:val="en-US" w:eastAsia="zh-CN"/>
              </w:rPr>
              <w:t>79</w:t>
            </w:r>
            <w:r>
              <w:rPr>
                <w:rFonts w:hint="eastAsia"/>
                <w:color w:val="auto"/>
                <w:kern w:val="1"/>
                <w:szCs w:val="21"/>
              </w:rPr>
              <w:t>）</w:t>
            </w:r>
          </w:p>
        </w:tc>
        <w:tc>
          <w:tcPr>
            <w:tcW w:w="1352" w:type="dxa"/>
            <w:vAlign w:val="center"/>
          </w:tcPr>
          <w:p>
            <w:pPr>
              <w:spacing w:line="240" w:lineRule="exact"/>
              <w:jc w:val="center"/>
              <w:rPr>
                <w:color w:val="auto"/>
                <w:szCs w:val="21"/>
              </w:rPr>
            </w:pPr>
            <w:r>
              <w:rPr>
                <w:rFonts w:hint="eastAsia"/>
                <w:color w:val="auto"/>
                <w:kern w:val="1"/>
                <w:szCs w:val="21"/>
              </w:rPr>
              <w:t>（+</w:t>
            </w:r>
            <w:r>
              <w:rPr>
                <w:rFonts w:hint="eastAsia"/>
                <w:color w:val="auto"/>
                <w:kern w:val="1"/>
                <w:szCs w:val="21"/>
                <w:lang w:val="en-US" w:eastAsia="zh-CN"/>
              </w:rPr>
              <w:t>79</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hint="default"/>
                <w:color w:val="auto"/>
                <w:szCs w:val="21"/>
                <w:lang w:val="en-US" w:eastAsia="zh-CN"/>
              </w:rPr>
            </w:pPr>
            <w:r>
              <w:rPr>
                <w:rFonts w:hint="eastAsia"/>
                <w:color w:val="auto"/>
                <w:szCs w:val="21"/>
                <w:lang w:val="en-US" w:eastAsia="zh-CN"/>
              </w:rPr>
              <w:t>除尘灰</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2</w:t>
            </w:r>
            <w:r>
              <w:rPr>
                <w:rFonts w:hint="eastAsia"/>
                <w:color w:val="auto"/>
                <w:kern w:val="1"/>
                <w:szCs w:val="21"/>
              </w:rPr>
              <w:t>）</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2</w:t>
            </w:r>
            <w:r>
              <w:rPr>
                <w:rFonts w:hint="eastAsia"/>
                <w:color w:val="auto"/>
                <w:kern w:val="1"/>
                <w:szCs w:val="21"/>
              </w:rPr>
              <w:t>）</w:t>
            </w:r>
          </w:p>
        </w:tc>
        <w:tc>
          <w:tcPr>
            <w:tcW w:w="1352" w:type="dxa"/>
            <w:vAlign w:val="center"/>
          </w:tcPr>
          <w:p>
            <w:pPr>
              <w:spacing w:line="240" w:lineRule="exact"/>
              <w:jc w:val="center"/>
              <w:rPr>
                <w:rFonts w:hint="eastAsia"/>
                <w:color w:val="auto"/>
                <w:kern w:val="1"/>
                <w:szCs w:val="21"/>
              </w:rPr>
            </w:pPr>
            <w:r>
              <w:rPr>
                <w:rFonts w:hint="eastAsia"/>
                <w:color w:val="auto"/>
                <w:kern w:val="1"/>
                <w:szCs w:val="21"/>
              </w:rPr>
              <w:t>（+</w:t>
            </w:r>
            <w:r>
              <w:rPr>
                <w:rFonts w:hint="eastAsia"/>
                <w:color w:val="auto"/>
                <w:kern w:val="1"/>
                <w:szCs w:val="21"/>
                <w:lang w:val="en-US" w:eastAsia="zh-CN"/>
              </w:rPr>
              <w:t>2</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废滤芯</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（0.5）</w:t>
            </w:r>
          </w:p>
        </w:tc>
        <w:tc>
          <w:tcPr>
            <w:tcW w:w="1352" w:type="dxa"/>
            <w:vAlign w:val="center"/>
          </w:tcPr>
          <w:p>
            <w:pPr>
              <w:spacing w:line="240" w:lineRule="exact"/>
              <w:jc w:val="center"/>
              <w:rPr>
                <w:color w:val="auto"/>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废催化剂</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（0.1）</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（0.1）</w:t>
            </w:r>
          </w:p>
        </w:tc>
        <w:tc>
          <w:tcPr>
            <w:tcW w:w="1352" w:type="dxa"/>
            <w:vAlign w:val="center"/>
          </w:tcPr>
          <w:p>
            <w:pPr>
              <w:spacing w:line="240" w:lineRule="exact"/>
              <w:jc w:val="center"/>
              <w:rPr>
                <w:color w:val="auto"/>
                <w:szCs w:val="21"/>
              </w:rPr>
            </w:pPr>
            <w:r>
              <w:rPr>
                <w:rFonts w:hint="eastAsia"/>
                <w:color w:val="auto"/>
                <w:kern w:val="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生活垃圾</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（10.7）</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szCs w:val="21"/>
              </w:rPr>
            </w:pPr>
            <w:r>
              <w:rPr>
                <w:rFonts w:hint="eastAsia"/>
                <w:color w:val="auto"/>
                <w:kern w:val="1"/>
                <w:szCs w:val="21"/>
              </w:rPr>
              <w:t>（10.7）</w:t>
            </w:r>
          </w:p>
        </w:tc>
        <w:tc>
          <w:tcPr>
            <w:tcW w:w="1352" w:type="dxa"/>
            <w:vAlign w:val="center"/>
          </w:tcPr>
          <w:p>
            <w:pPr>
              <w:spacing w:line="240" w:lineRule="exact"/>
              <w:jc w:val="center"/>
              <w:rPr>
                <w:color w:val="auto"/>
                <w:szCs w:val="21"/>
              </w:rPr>
            </w:pPr>
            <w:r>
              <w:rPr>
                <w:rFonts w:hint="eastAsia"/>
                <w:color w:val="auto"/>
                <w:kern w:val="1"/>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vAlign w:val="center"/>
          </w:tcPr>
          <w:p>
            <w:pPr>
              <w:pStyle w:val="24"/>
              <w:jc w:val="center"/>
              <w:rPr>
                <w:rFonts w:ascii="宋体" w:hAnsi="宋体" w:cs="宋体"/>
                <w:color w:val="auto"/>
                <w:szCs w:val="24"/>
              </w:rPr>
            </w:pPr>
            <w:r>
              <w:rPr>
                <w:rFonts w:hint="eastAsia" w:ascii="宋体" w:hAnsi="宋体" w:cs="宋体"/>
                <w:color w:val="auto"/>
                <w:szCs w:val="24"/>
              </w:rPr>
              <w:t>危险废物</w:t>
            </w:r>
          </w:p>
        </w:tc>
        <w:tc>
          <w:tcPr>
            <w:tcW w:w="2105" w:type="dxa"/>
            <w:vAlign w:val="center"/>
          </w:tcPr>
          <w:p>
            <w:pPr>
              <w:spacing w:line="300" w:lineRule="exact"/>
              <w:jc w:val="center"/>
              <w:rPr>
                <w:color w:val="auto"/>
                <w:szCs w:val="21"/>
              </w:rPr>
            </w:pPr>
            <w:r>
              <w:rPr>
                <w:rFonts w:hint="eastAsia"/>
                <w:color w:val="auto"/>
                <w:szCs w:val="21"/>
              </w:rPr>
              <w:t>废活性炭</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废过滤棉</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（0.2）</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（0.2）</w:t>
            </w:r>
          </w:p>
        </w:tc>
        <w:tc>
          <w:tcPr>
            <w:tcW w:w="1352" w:type="dxa"/>
            <w:vAlign w:val="center"/>
          </w:tcPr>
          <w:p>
            <w:pPr>
              <w:spacing w:line="240" w:lineRule="exact"/>
              <w:jc w:val="center"/>
              <w:rPr>
                <w:color w:val="auto"/>
                <w:kern w:val="0"/>
                <w:szCs w:val="21"/>
              </w:rPr>
            </w:pPr>
            <w:r>
              <w:rPr>
                <w:rFonts w:hint="eastAsia"/>
                <w:color w:val="auto"/>
                <w:kern w:val="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污泥</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（5.5）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（5.5）</w:t>
            </w:r>
          </w:p>
        </w:tc>
        <w:tc>
          <w:tcPr>
            <w:tcW w:w="1352" w:type="dxa"/>
            <w:vAlign w:val="center"/>
          </w:tcPr>
          <w:p>
            <w:pPr>
              <w:spacing w:line="240" w:lineRule="exact"/>
              <w:jc w:val="center"/>
              <w:rPr>
                <w:color w:val="auto"/>
                <w:kern w:val="0"/>
                <w:szCs w:val="21"/>
              </w:rPr>
            </w:pPr>
            <w:r>
              <w:rPr>
                <w:rFonts w:hint="eastAsia"/>
                <w:color w:val="auto"/>
                <w:kern w:val="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气浮机废油</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color w:val="auto"/>
                <w:szCs w:val="21"/>
              </w:rPr>
            </w:pPr>
            <w:r>
              <w:rPr>
                <w:rFonts w:hint="eastAsia"/>
                <w:color w:val="auto"/>
                <w:szCs w:val="21"/>
              </w:rPr>
              <w:t>废液压油</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color w:val="auto"/>
                <w:kern w:val="1"/>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0"/>
                <w:szCs w:val="21"/>
              </w:rPr>
            </w:pPr>
            <w:r>
              <w:rPr>
                <w:rFonts w:hint="eastAsia"/>
                <w:color w:val="auto"/>
                <w:kern w:val="1"/>
                <w:szCs w:val="21"/>
              </w:rPr>
              <w:t>（0.5）</w:t>
            </w:r>
          </w:p>
        </w:tc>
        <w:tc>
          <w:tcPr>
            <w:tcW w:w="1352" w:type="dxa"/>
            <w:vAlign w:val="center"/>
          </w:tcPr>
          <w:p>
            <w:pPr>
              <w:spacing w:line="240" w:lineRule="exact"/>
              <w:jc w:val="center"/>
              <w:rPr>
                <w:color w:val="auto"/>
                <w:kern w:val="0"/>
                <w:szCs w:val="21"/>
              </w:rPr>
            </w:pPr>
            <w:r>
              <w:rPr>
                <w:rFonts w:hint="eastAsia"/>
                <w:color w:val="auto"/>
                <w:kern w:val="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ascii="宋体" w:hAnsi="宋体" w:cs="宋体"/>
                <w:color w:val="auto"/>
                <w:szCs w:val="21"/>
              </w:rPr>
            </w:pPr>
            <w:r>
              <w:rPr>
                <w:rFonts w:hint="eastAsia"/>
                <w:color w:val="auto"/>
                <w:szCs w:val="21"/>
              </w:rPr>
              <w:t>废油桶</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kern w:val="0"/>
                <w:szCs w:val="21"/>
              </w:rPr>
            </w:pPr>
            <w:r>
              <w:rPr>
                <w:rFonts w:hint="eastAsia"/>
                <w:color w:val="auto"/>
                <w:kern w:val="1"/>
                <w:szCs w:val="21"/>
              </w:rPr>
              <w:t>（0.2）</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1"/>
                <w:szCs w:val="21"/>
              </w:rPr>
            </w:pPr>
            <w:r>
              <w:rPr>
                <w:rFonts w:hint="eastAsia"/>
                <w:color w:val="auto"/>
                <w:kern w:val="1"/>
                <w:szCs w:val="21"/>
              </w:rPr>
              <w:t>（0.2）</w:t>
            </w:r>
          </w:p>
        </w:tc>
        <w:tc>
          <w:tcPr>
            <w:tcW w:w="1352" w:type="dxa"/>
            <w:vAlign w:val="center"/>
          </w:tcPr>
          <w:p>
            <w:pPr>
              <w:spacing w:line="240" w:lineRule="exact"/>
              <w:jc w:val="center"/>
              <w:rPr>
                <w:color w:val="auto"/>
                <w:kern w:val="1"/>
                <w:szCs w:val="21"/>
              </w:rPr>
            </w:pPr>
            <w:r>
              <w:rPr>
                <w:rFonts w:hint="eastAsia"/>
                <w:color w:val="auto"/>
                <w:kern w:val="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continue"/>
            <w:vAlign w:val="center"/>
          </w:tcPr>
          <w:p>
            <w:pPr>
              <w:pStyle w:val="24"/>
              <w:jc w:val="center"/>
              <w:rPr>
                <w:rFonts w:ascii="宋体" w:hAnsi="宋体" w:cs="宋体"/>
                <w:color w:val="auto"/>
                <w:szCs w:val="24"/>
              </w:rPr>
            </w:pPr>
          </w:p>
        </w:tc>
        <w:tc>
          <w:tcPr>
            <w:tcW w:w="2105" w:type="dxa"/>
            <w:vAlign w:val="center"/>
          </w:tcPr>
          <w:p>
            <w:pPr>
              <w:spacing w:line="300" w:lineRule="exact"/>
              <w:jc w:val="center"/>
              <w:rPr>
                <w:rFonts w:ascii="宋体" w:hAnsi="宋体" w:cs="宋体"/>
                <w:color w:val="auto"/>
                <w:szCs w:val="21"/>
              </w:rPr>
            </w:pPr>
            <w:r>
              <w:rPr>
                <w:rFonts w:hint="eastAsia"/>
                <w:color w:val="auto"/>
                <w:szCs w:val="21"/>
              </w:rPr>
              <w:t>脱脂槽残渣</w:t>
            </w:r>
          </w:p>
        </w:tc>
        <w:tc>
          <w:tcPr>
            <w:tcW w:w="1260"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2"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593" w:type="dxa"/>
            <w:vAlign w:val="center"/>
          </w:tcPr>
          <w:p>
            <w:pPr>
              <w:spacing w:line="240" w:lineRule="exact"/>
              <w:jc w:val="center"/>
              <w:rPr>
                <w:color w:val="auto"/>
                <w:kern w:val="1"/>
                <w:szCs w:val="21"/>
              </w:rPr>
            </w:pPr>
            <w:r>
              <w:rPr>
                <w:rFonts w:hint="eastAsia"/>
                <w:color w:val="auto"/>
                <w:kern w:val="1"/>
                <w:szCs w:val="21"/>
              </w:rPr>
              <w:t>（0.05）</w:t>
            </w:r>
          </w:p>
        </w:tc>
        <w:tc>
          <w:tcPr>
            <w:tcW w:w="1593" w:type="dxa"/>
            <w:vAlign w:val="center"/>
          </w:tcPr>
          <w:p>
            <w:pPr>
              <w:pStyle w:val="35"/>
              <w:spacing w:line="280" w:lineRule="exact"/>
              <w:jc w:val="center"/>
              <w:rPr>
                <w:b w:val="0"/>
                <w:color w:val="auto"/>
                <w:kern w:val="0"/>
                <w:sz w:val="21"/>
                <w:szCs w:val="21"/>
              </w:rPr>
            </w:pPr>
            <w:r>
              <w:rPr>
                <w:b w:val="0"/>
                <w:color w:val="auto"/>
                <w:kern w:val="0"/>
                <w:sz w:val="21"/>
                <w:szCs w:val="21"/>
              </w:rPr>
              <w:t>/</w:t>
            </w:r>
          </w:p>
        </w:tc>
        <w:tc>
          <w:tcPr>
            <w:tcW w:w="1834" w:type="dxa"/>
            <w:vAlign w:val="center"/>
          </w:tcPr>
          <w:p>
            <w:pPr>
              <w:spacing w:line="240" w:lineRule="exact"/>
              <w:jc w:val="center"/>
              <w:rPr>
                <w:color w:val="auto"/>
                <w:kern w:val="1"/>
                <w:szCs w:val="21"/>
              </w:rPr>
            </w:pPr>
            <w:r>
              <w:rPr>
                <w:rFonts w:hint="eastAsia"/>
                <w:color w:val="auto"/>
                <w:kern w:val="1"/>
                <w:szCs w:val="21"/>
              </w:rPr>
              <w:t>（0.05）</w:t>
            </w:r>
          </w:p>
        </w:tc>
        <w:tc>
          <w:tcPr>
            <w:tcW w:w="1352" w:type="dxa"/>
            <w:vAlign w:val="center"/>
          </w:tcPr>
          <w:p>
            <w:pPr>
              <w:spacing w:line="240" w:lineRule="exact"/>
              <w:jc w:val="center"/>
              <w:rPr>
                <w:color w:val="auto"/>
                <w:kern w:val="1"/>
                <w:szCs w:val="21"/>
              </w:rPr>
            </w:pPr>
            <w:r>
              <w:rPr>
                <w:rFonts w:hint="eastAsia"/>
                <w:color w:val="auto"/>
                <w:kern w:val="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jc w:val="left"/>
              <w:rPr>
                <w:rFonts w:ascii="宋体" w:hAnsi="宋体" w:cs="宋体"/>
                <w:color w:val="auto"/>
                <w:sz w:val="24"/>
                <w:szCs w:val="24"/>
              </w:rPr>
            </w:pPr>
            <w:r>
              <w:rPr>
                <w:rFonts w:hint="eastAsia" w:ascii="宋体" w:hAnsi="宋体" w:cs="宋体"/>
                <w:color w:val="auto"/>
                <w:sz w:val="24"/>
                <w:szCs w:val="24"/>
              </w:rPr>
              <w:t>注：（）中内容表示不外排</w:t>
            </w:r>
          </w:p>
        </w:tc>
      </w:tr>
    </w:tbl>
    <w:p>
      <w:pPr>
        <w:pStyle w:val="24"/>
        <w:rPr>
          <w:rFonts w:ascii="黑体" w:hAnsi="黑体" w:eastAsia="黑体" w:cs="黑体"/>
          <w:color w:val="auto"/>
          <w:sz w:val="32"/>
          <w:szCs w:val="32"/>
        </w:rPr>
      </w:pPr>
    </w:p>
    <w:p/>
    <w:sectPr>
      <w:pgSz w:w="16838" w:h="11906" w:orient="landscape"/>
      <w:pgMar w:top="1701" w:right="1304" w:bottom="1701" w:left="1418" w:header="851" w:footer="953" w:gutter="0"/>
      <w:pgBorders>
        <w:top w:val="none" w:sz="0" w:space="0"/>
        <w:left w:val="none" w:sz="0" w:space="0"/>
        <w:bottom w:val="none" w:sz="0" w:space="0"/>
        <w:right w:val="none" w:sz="0" w:space="0"/>
      </w:pgBorders>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FZXiaoBiaoSong-B05">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BoldMT">
    <w:altName w:val="Nimbus Roman No9 L"/>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46</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5IKs0swEAAFIDAAAOAAAAAAAAAAEAIAAAADQ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48</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46LJoswEAAFIDAAAOAAAAAAAAAAEAIAAAADQ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1FFA"/>
    <w:multiLevelType w:val="singleLevel"/>
    <w:tmpl w:val="92181FFA"/>
    <w:lvl w:ilvl="0" w:tentative="0">
      <w:start w:val="7"/>
      <w:numFmt w:val="chineseCounting"/>
      <w:suff w:val="nothing"/>
      <w:lvlText w:val="%1、"/>
      <w:lvlJc w:val="left"/>
      <w:pPr>
        <w:ind w:left="494"/>
      </w:pPr>
      <w:rPr>
        <w:rFonts w:hint="eastAsia"/>
      </w:rPr>
    </w:lvl>
  </w:abstractNum>
  <w:abstractNum w:abstractNumId="1">
    <w:nsid w:val="CAF4F97A"/>
    <w:multiLevelType w:val="singleLevel"/>
    <w:tmpl w:val="CAF4F97A"/>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2">
    <w:nsid w:val="D79E6726"/>
    <w:multiLevelType w:val="singleLevel"/>
    <w:tmpl w:val="D79E6726"/>
    <w:lvl w:ilvl="0" w:tentative="0">
      <w:start w:val="2"/>
      <w:numFmt w:val="decimal"/>
      <w:suff w:val="nothing"/>
      <w:lvlText w:val="（%1）"/>
      <w:lvlJc w:val="left"/>
      <w:pPr>
        <w:ind w:left="-62"/>
      </w:pPr>
    </w:lvl>
  </w:abstractNum>
  <w:abstractNum w:abstractNumId="3">
    <w:nsid w:val="E447E0AB"/>
    <w:multiLevelType w:val="singleLevel"/>
    <w:tmpl w:val="E447E0AB"/>
    <w:lvl w:ilvl="0" w:tentative="0">
      <w:start w:val="3"/>
      <w:numFmt w:val="decimal"/>
      <w:suff w:val="nothing"/>
      <w:lvlText w:val="（%1）"/>
      <w:lvlJc w:val="left"/>
    </w:lvl>
  </w:abstractNum>
  <w:abstractNum w:abstractNumId="4">
    <w:nsid w:val="F5E9F06F"/>
    <w:multiLevelType w:val="singleLevel"/>
    <w:tmpl w:val="F5E9F06F"/>
    <w:lvl w:ilvl="0" w:tentative="0">
      <w:start w:val="2"/>
      <w:numFmt w:val="chineseCounting"/>
      <w:suff w:val="nothing"/>
      <w:lvlText w:val="%1、"/>
      <w:lvlJc w:val="left"/>
      <w:rPr>
        <w:rFonts w:hint="eastAsia"/>
      </w:rPr>
    </w:lvl>
  </w:abstractNum>
  <w:abstractNum w:abstractNumId="5">
    <w:nsid w:val="7BE59341"/>
    <w:multiLevelType w:val="singleLevel"/>
    <w:tmpl w:val="7BE59341"/>
    <w:lvl w:ilvl="0" w:tentative="0">
      <w:start w:val="1"/>
      <w:numFmt w:val="decimal"/>
      <w:suff w:val="nothing"/>
      <w:lvlText w:val="（%1）"/>
      <w:lvlJc w:val="left"/>
      <w:pPr>
        <w:ind w:left="-62"/>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jE5ODJlNTdiYzU1OWRhNjcwZWNjZTRkMTU3MmUifQ=="/>
  </w:docVars>
  <w:rsids>
    <w:rsidRoot w:val="43A00F02"/>
    <w:rsid w:val="000E1A48"/>
    <w:rsid w:val="003D09CB"/>
    <w:rsid w:val="004250DF"/>
    <w:rsid w:val="00547B3A"/>
    <w:rsid w:val="00686568"/>
    <w:rsid w:val="00820DF7"/>
    <w:rsid w:val="00956C43"/>
    <w:rsid w:val="009B6085"/>
    <w:rsid w:val="00A9296B"/>
    <w:rsid w:val="00AA5CC3"/>
    <w:rsid w:val="00B52517"/>
    <w:rsid w:val="00DB7538"/>
    <w:rsid w:val="00E17344"/>
    <w:rsid w:val="00E47382"/>
    <w:rsid w:val="00E86D22"/>
    <w:rsid w:val="00F7452A"/>
    <w:rsid w:val="00FF060D"/>
    <w:rsid w:val="0117027C"/>
    <w:rsid w:val="0BB33C7D"/>
    <w:rsid w:val="0D8361CF"/>
    <w:rsid w:val="0DDF5A18"/>
    <w:rsid w:val="133B4788"/>
    <w:rsid w:val="175956CC"/>
    <w:rsid w:val="18D42594"/>
    <w:rsid w:val="1E2A1B6F"/>
    <w:rsid w:val="1FF241DB"/>
    <w:rsid w:val="22D95C56"/>
    <w:rsid w:val="24D91943"/>
    <w:rsid w:val="29816D9C"/>
    <w:rsid w:val="33EA7980"/>
    <w:rsid w:val="37EE10E6"/>
    <w:rsid w:val="3E2249CE"/>
    <w:rsid w:val="43A00F02"/>
    <w:rsid w:val="47502CD6"/>
    <w:rsid w:val="4CBF5D45"/>
    <w:rsid w:val="4F5C3CF7"/>
    <w:rsid w:val="501C6CBB"/>
    <w:rsid w:val="52EE3E49"/>
    <w:rsid w:val="534D6DD8"/>
    <w:rsid w:val="53E6355D"/>
    <w:rsid w:val="54137033"/>
    <w:rsid w:val="54E3467C"/>
    <w:rsid w:val="55026922"/>
    <w:rsid w:val="599873A4"/>
    <w:rsid w:val="5F9E149B"/>
    <w:rsid w:val="640D6BEF"/>
    <w:rsid w:val="64A46AD8"/>
    <w:rsid w:val="651B73D1"/>
    <w:rsid w:val="6BE413C0"/>
    <w:rsid w:val="6D4C451B"/>
    <w:rsid w:val="707859D9"/>
    <w:rsid w:val="724810BC"/>
    <w:rsid w:val="EBEFB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8460"/>
      </w:tabs>
      <w:spacing w:line="400" w:lineRule="exact"/>
      <w:ind w:left="210"/>
      <w:jc w:val="left"/>
    </w:pPr>
    <w:rPr>
      <w:smallCaps/>
      <w:sz w:val="28"/>
    </w:rPr>
  </w:style>
  <w:style w:type="paragraph" w:styleId="5">
    <w:name w:val="Normal Indent"/>
    <w:basedOn w:val="1"/>
    <w:next w:val="4"/>
    <w:qFormat/>
    <w:uiPriority w:val="0"/>
    <w:pPr>
      <w:ind w:firstLine="420"/>
    </w:pPr>
    <w:rPr>
      <w:rFonts w:ascii="Arial" w:hAnsi="Arial"/>
      <w:sz w:val="24"/>
    </w:rPr>
  </w:style>
  <w:style w:type="paragraph" w:styleId="6">
    <w:name w:val="annotation text"/>
    <w:basedOn w:val="1"/>
    <w:link w:val="40"/>
    <w:semiHidden/>
    <w:qFormat/>
    <w:uiPriority w:val="0"/>
    <w:pPr>
      <w:jc w:val="left"/>
    </w:pPr>
  </w:style>
  <w:style w:type="paragraph" w:styleId="7">
    <w:name w:val="Body Text"/>
    <w:basedOn w:val="1"/>
    <w:next w:val="8"/>
    <w:qFormat/>
    <w:uiPriority w:val="0"/>
    <w:rPr>
      <w:rFonts w:eastAsia="黑体"/>
      <w:sz w:val="28"/>
    </w:rPr>
  </w:style>
  <w:style w:type="paragraph" w:styleId="8">
    <w:name w:val="List Bullet 5"/>
    <w:basedOn w:val="1"/>
    <w:qFormat/>
    <w:uiPriority w:val="0"/>
    <w:pPr>
      <w:numPr>
        <w:ilvl w:val="0"/>
        <w:numId w:val="1"/>
      </w:numPr>
    </w:pPr>
  </w:style>
  <w:style w:type="paragraph" w:styleId="9">
    <w:name w:val="Body Text Indent"/>
    <w:basedOn w:val="1"/>
    <w:next w:val="10"/>
    <w:qFormat/>
    <w:uiPriority w:val="0"/>
    <w:pPr>
      <w:ind w:firstLine="585"/>
    </w:pPr>
    <w:rPr>
      <w:sz w:val="28"/>
    </w:rPr>
  </w:style>
  <w:style w:type="paragraph" w:styleId="10">
    <w:name w:val="header"/>
    <w:basedOn w:val="1"/>
    <w:next w:val="11"/>
    <w:qFormat/>
    <w:uiPriority w:val="0"/>
    <w:pPr>
      <w:tabs>
        <w:tab w:val="center" w:pos="4153"/>
        <w:tab w:val="right" w:pos="8306"/>
      </w:tabs>
      <w:snapToGrid w:val="0"/>
      <w:jc w:val="center"/>
    </w:pPr>
    <w:rPr>
      <w:sz w:val="18"/>
      <w:szCs w:val="18"/>
    </w:rPr>
  </w:style>
  <w:style w:type="paragraph" w:customStyle="1" w:styleId="11">
    <w:name w:val="样式5"/>
    <w:basedOn w:val="12"/>
    <w:qFormat/>
    <w:uiPriority w:val="0"/>
    <w:pPr>
      <w:spacing w:beforeLines="20" w:afterLines="20" w:line="480" w:lineRule="exact"/>
      <w:ind w:firstLine="523" w:firstLineChars="218"/>
    </w:pPr>
    <w:rPr>
      <w:i/>
      <w:iCs/>
      <w:szCs w:val="20"/>
    </w:rPr>
  </w:style>
  <w:style w:type="paragraph" w:customStyle="1" w:styleId="12">
    <w:name w:val="正文1"/>
    <w:basedOn w:val="1"/>
    <w:qFormat/>
    <w:uiPriority w:val="0"/>
    <w:pPr>
      <w:snapToGrid w:val="0"/>
      <w:spacing w:beforeLines="10" w:line="440" w:lineRule="atLeast"/>
      <w:ind w:firstLine="567"/>
    </w:pPr>
    <w:rPr>
      <w:sz w:val="24"/>
      <w:szCs w:val="24"/>
    </w:rPr>
  </w:style>
  <w:style w:type="paragraph" w:styleId="13">
    <w:name w:val="Plain Text"/>
    <w:basedOn w:val="1"/>
    <w:qFormat/>
    <w:uiPriority w:val="0"/>
    <w:pPr>
      <w:spacing w:line="480" w:lineRule="exact"/>
    </w:pPr>
    <w:rPr>
      <w:rFonts w:ascii="宋体" w:hAnsi="Courier New" w:cs="Courier New"/>
      <w:sz w:val="28"/>
      <w:szCs w:val="21"/>
    </w:rPr>
  </w:style>
  <w:style w:type="paragraph" w:styleId="14">
    <w:name w:val="Date"/>
    <w:basedOn w:val="1"/>
    <w:next w:val="1"/>
    <w:qFormat/>
    <w:uiPriority w:val="0"/>
    <w:rPr>
      <w:sz w:val="2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10"/>
    <w:pPr>
      <w:spacing w:line="360" w:lineRule="exact"/>
      <w:jc w:val="center"/>
    </w:pPr>
    <w:rPr>
      <w:bCs/>
      <w:kern w:val="0"/>
      <w:sz w:val="20"/>
      <w:szCs w:val="32"/>
    </w:rPr>
  </w:style>
  <w:style w:type="paragraph" w:styleId="18">
    <w:name w:val="annotation subject"/>
    <w:basedOn w:val="6"/>
    <w:next w:val="6"/>
    <w:link w:val="41"/>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semiHidden/>
    <w:qFormat/>
    <w:uiPriority w:val="0"/>
    <w:rPr>
      <w:sz w:val="21"/>
      <w:szCs w:val="21"/>
    </w:rPr>
  </w:style>
  <w:style w:type="paragraph" w:customStyle="1" w:styleId="24">
    <w:name w:val="Default"/>
    <w:basedOn w:val="25"/>
    <w:next w:val="26"/>
    <w:qFormat/>
    <w:uiPriority w:val="0"/>
    <w:rPr>
      <w:rFonts w:ascii="Times New Roman"/>
      <w:color w:val="000000"/>
      <w:sz w:val="24"/>
      <w:szCs w:val="22"/>
    </w:rPr>
  </w:style>
  <w:style w:type="paragraph" w:customStyle="1" w:styleId="25">
    <w:name w:val="纯文本1"/>
    <w:basedOn w:val="1"/>
    <w:qFormat/>
    <w:uiPriority w:val="99"/>
    <w:pPr>
      <w:autoSpaceDE w:val="0"/>
      <w:autoSpaceDN w:val="0"/>
      <w:adjustRightInd w:val="0"/>
      <w:textAlignment w:val="baseline"/>
    </w:pPr>
    <w:rPr>
      <w:rFonts w:ascii="宋体"/>
    </w:rPr>
  </w:style>
  <w:style w:type="paragraph" w:customStyle="1" w:styleId="26">
    <w:name w:val="index 51"/>
    <w:basedOn w:val="1"/>
    <w:next w:val="1"/>
    <w:qFormat/>
    <w:uiPriority w:val="0"/>
    <w:pPr>
      <w:ind w:left="1680"/>
    </w:pPr>
    <w:rPr>
      <w:rFonts w:ascii="Calibri" w:hAnsi="Calibri"/>
    </w:rPr>
  </w:style>
  <w:style w:type="paragraph" w:customStyle="1" w:styleId="27">
    <w:name w:val="2"/>
    <w:basedOn w:val="1"/>
    <w:next w:val="1"/>
    <w:qFormat/>
    <w:uiPriority w:val="0"/>
    <w:pPr>
      <w:snapToGrid w:val="0"/>
      <w:spacing w:line="360" w:lineRule="auto"/>
      <w:ind w:firstLine="529" w:firstLineChars="200"/>
    </w:pPr>
    <w:rPr>
      <w:szCs w:val="24"/>
    </w:rPr>
  </w:style>
  <w:style w:type="paragraph" w:customStyle="1" w:styleId="28">
    <w:name w:val="Table Paragraph"/>
    <w:basedOn w:val="1"/>
    <w:qFormat/>
    <w:uiPriority w:val="1"/>
    <w:pPr>
      <w:jc w:val="center"/>
    </w:pPr>
    <w:rPr>
      <w:rFonts w:ascii="宋体" w:hAnsi="宋体" w:cs="宋体"/>
      <w:lang w:val="zh-CN" w:bidi="zh-CN"/>
    </w:rPr>
  </w:style>
  <w:style w:type="paragraph" w:styleId="29">
    <w:name w:val="List Paragraph"/>
    <w:basedOn w:val="1"/>
    <w:qFormat/>
    <w:uiPriority w:val="99"/>
    <w:pPr>
      <w:ind w:firstLine="420" w:firstLineChars="200"/>
    </w:pPr>
  </w:style>
  <w:style w:type="paragraph" w:customStyle="1" w:styleId="30">
    <w:name w:val="表格内容"/>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31">
    <w:name w:val="样式 正文文本 + 首行缩进:  2 字符"/>
    <w:basedOn w:val="7"/>
    <w:qFormat/>
    <w:uiPriority w:val="0"/>
    <w:pPr>
      <w:ind w:firstLine="420"/>
    </w:pPr>
    <w:rPr>
      <w:sz w:val="32"/>
    </w:rPr>
  </w:style>
  <w:style w:type="paragraph" w:customStyle="1" w:styleId="32">
    <w:name w:val="文"/>
    <w:basedOn w:val="1"/>
    <w:qFormat/>
    <w:uiPriority w:val="0"/>
    <w:pPr>
      <w:spacing w:line="360" w:lineRule="auto"/>
      <w:ind w:firstLine="480" w:firstLineChars="200"/>
    </w:pPr>
    <w:rPr>
      <w:sz w:val="24"/>
      <w:szCs w:val="24"/>
    </w:rPr>
  </w:style>
  <w:style w:type="paragraph" w:customStyle="1" w:styleId="33">
    <w:name w:val="图表"/>
    <w:basedOn w:val="1"/>
    <w:qFormat/>
    <w:uiPriority w:val="0"/>
    <w:pPr>
      <w:jc w:val="center"/>
    </w:pPr>
    <w:rPr>
      <w:rFonts w:eastAsia="黑体"/>
      <w:sz w:val="24"/>
    </w:rPr>
  </w:style>
  <w:style w:type="paragraph" w:customStyle="1" w:styleId="34">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5">
    <w:name w:val="标题111"/>
    <w:basedOn w:val="1"/>
    <w:qFormat/>
    <w:uiPriority w:val="0"/>
    <w:pPr>
      <w:spacing w:line="480" w:lineRule="exact"/>
    </w:pPr>
    <w:rPr>
      <w:b/>
      <w:sz w:val="24"/>
      <w:szCs w:val="24"/>
    </w:rPr>
  </w:style>
  <w:style w:type="paragraph" w:customStyle="1" w:styleId="36">
    <w:name w:val="表"/>
    <w:basedOn w:val="1"/>
    <w:qFormat/>
    <w:uiPriority w:val="0"/>
    <w:pPr>
      <w:snapToGrid w:val="0"/>
      <w:jc w:val="center"/>
    </w:pPr>
    <w:rPr>
      <w:spacing w:val="2"/>
    </w:rPr>
  </w:style>
  <w:style w:type="paragraph" w:customStyle="1" w:styleId="37">
    <w:name w:val="样式 样式 样式 四号 左侧:  1.53 厘米 + 首行缩进:  2 字符 + 居中 左侧:  2 字符 首行缩进:  2..."/>
    <w:basedOn w:val="38"/>
    <w:qFormat/>
    <w:uiPriority w:val="0"/>
    <w:pPr>
      <w:spacing w:line="360" w:lineRule="auto"/>
      <w:jc w:val="center"/>
    </w:pPr>
  </w:style>
  <w:style w:type="paragraph" w:customStyle="1" w:styleId="38">
    <w:name w:val="样式 样式 四号 左侧:  1.53 厘米 + 首行缩进:  2 字符"/>
    <w:basedOn w:val="39"/>
    <w:qFormat/>
    <w:uiPriority w:val="0"/>
    <w:pPr>
      <w:ind w:left="200" w:leftChars="200"/>
    </w:pPr>
    <w:rPr>
      <w:szCs w:val="20"/>
    </w:rPr>
  </w:style>
  <w:style w:type="paragraph" w:customStyle="1" w:styleId="39">
    <w:name w:val="样式 四号 左侧:  1.53 厘米"/>
    <w:basedOn w:val="1"/>
    <w:qFormat/>
    <w:uiPriority w:val="0"/>
    <w:rPr>
      <w:w w:val="90"/>
      <w:sz w:val="28"/>
      <w:szCs w:val="28"/>
    </w:rPr>
  </w:style>
  <w:style w:type="character" w:customStyle="1" w:styleId="40">
    <w:name w:val="批注文字 字符"/>
    <w:basedOn w:val="21"/>
    <w:link w:val="6"/>
    <w:semiHidden/>
    <w:qFormat/>
    <w:uiPriority w:val="0"/>
    <w:rPr>
      <w:rFonts w:ascii="Times New Roman" w:hAnsi="Times New Roman" w:eastAsia="宋体" w:cs="Times New Roman"/>
      <w:kern w:val="2"/>
      <w:sz w:val="21"/>
    </w:rPr>
  </w:style>
  <w:style w:type="character" w:customStyle="1" w:styleId="41">
    <w:name w:val="批注主题 字符"/>
    <w:basedOn w:val="40"/>
    <w:link w:val="18"/>
    <w:qFormat/>
    <w:uiPriority w:val="0"/>
    <w:rPr>
      <w:rFonts w:ascii="Times New Roman" w:hAnsi="Times New Roman" w:eastAsia="宋体" w:cs="Times New Roman"/>
      <w:b/>
      <w:bCs/>
      <w:kern w:val="2"/>
      <w:sz w:val="21"/>
    </w:rPr>
  </w:style>
  <w:style w:type="paragraph" w:customStyle="1" w:styleId="42">
    <w:name w:val="Normal Indent1"/>
    <w:basedOn w:val="1"/>
    <w:next w:val="1"/>
    <w:qFormat/>
    <w:uiPriority w:val="0"/>
    <w:pPr>
      <w:adjustRightInd w:val="0"/>
      <w:snapToGrid w:val="0"/>
      <w:spacing w:line="460" w:lineRule="atLeast"/>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48502</Words>
  <Characters>55491</Characters>
  <Lines>412</Lines>
  <Paragraphs>116</Paragraphs>
  <TotalTime>0</TotalTime>
  <ScaleCrop>false</ScaleCrop>
  <LinksUpToDate>false</LinksUpToDate>
  <CharactersWithSpaces>55791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2022-08-22T16:40:00Z</dcterms:created>
  <dc:creator>李亮山水</dc:creator>
  <cp:lastModifiedBy>wxak</cp:lastModifiedBy>
  <cp:lastPrinted>2023-05-22T16:16:00Z</cp:lastPrinted>
  <dcterms:modified xsi:type="dcterms:W3CDTF">2024-09-12T10:49:09Z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0A2E5C086890498D8B0B73FE1B0D9946_13</vt:lpwstr>
  </property>
</Properties>
</file>