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一、魏县司法局本级收支预算</w:t>
      </w:r>
      <w:r>
        <w:tab/>
      </w:r>
      <w:r>
        <w:fldChar w:fldCharType="begin"/>
      </w:r>
      <w:r>
        <w:instrText xml:space="preserve">PAGEREF _Toc_4_4_0000000019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315魏县司法局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1218.20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1044.33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1218.20</w:t>
            </w:r>
          </w:p>
        </w:tc>
        <w:tc>
          <w:tcPr>
            <w:tcW w:w="4535" w:type="dxa"/>
            <w:vAlign w:val="center"/>
          </w:tcPr>
          <w:p>
            <w:pPr>
              <w:pStyle w:val="14"/>
            </w:pPr>
            <w:r>
              <w:t>本年支出合计</w:t>
            </w:r>
          </w:p>
        </w:tc>
        <w:tc>
          <w:tcPr>
            <w:tcW w:w="2126" w:type="dxa"/>
            <w:vAlign w:val="center"/>
          </w:tcPr>
          <w:p>
            <w:pPr>
              <w:pStyle w:val="15"/>
            </w:pPr>
            <w:r>
              <w:t>1218.20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1218.20</w:t>
            </w:r>
          </w:p>
        </w:tc>
        <w:tc>
          <w:tcPr>
            <w:tcW w:w="4535" w:type="dxa"/>
            <w:vAlign w:val="center"/>
          </w:tcPr>
          <w:p>
            <w:pPr>
              <w:pStyle w:val="14"/>
            </w:pPr>
            <w:r>
              <w:t>支出总计</w:t>
            </w:r>
          </w:p>
        </w:tc>
        <w:tc>
          <w:tcPr>
            <w:tcW w:w="2126" w:type="dxa"/>
            <w:vAlign w:val="center"/>
          </w:tcPr>
          <w:p>
            <w:pPr>
              <w:pStyle w:val="15"/>
            </w:pPr>
            <w:r>
              <w:t>1218.20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315魏县司法局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1218.20</w:t>
            </w:r>
          </w:p>
        </w:tc>
        <w:tc>
          <w:tcPr>
            <w:tcW w:w="1134" w:type="dxa"/>
            <w:vAlign w:val="center"/>
          </w:tcPr>
          <w:p>
            <w:pPr>
              <w:pStyle w:val="15"/>
            </w:pPr>
            <w:r>
              <w:t>1218.20</w:t>
            </w:r>
          </w:p>
        </w:tc>
        <w:tc>
          <w:tcPr>
            <w:tcW w:w="1134" w:type="dxa"/>
            <w:vAlign w:val="center"/>
          </w:tcPr>
          <w:p>
            <w:pPr>
              <w:pStyle w:val="15"/>
            </w:pPr>
            <w:r>
              <w:t>1218.20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1044.33</w:t>
            </w:r>
          </w:p>
        </w:tc>
        <w:tc>
          <w:tcPr>
            <w:tcW w:w="1134" w:type="dxa"/>
            <w:vAlign w:val="center"/>
          </w:tcPr>
          <w:p>
            <w:pPr>
              <w:pStyle w:val="11"/>
            </w:pPr>
            <w:r>
              <w:t>1044.33</w:t>
            </w:r>
          </w:p>
        </w:tc>
        <w:tc>
          <w:tcPr>
            <w:tcW w:w="1134" w:type="dxa"/>
            <w:vAlign w:val="center"/>
          </w:tcPr>
          <w:p>
            <w:pPr>
              <w:pStyle w:val="11"/>
            </w:pPr>
            <w:r>
              <w:t>1044.33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1044.33</w:t>
            </w:r>
          </w:p>
        </w:tc>
        <w:tc>
          <w:tcPr>
            <w:tcW w:w="1134" w:type="dxa"/>
            <w:vAlign w:val="center"/>
          </w:tcPr>
          <w:p>
            <w:pPr>
              <w:pStyle w:val="11"/>
            </w:pPr>
            <w:r>
              <w:t>1044.33</w:t>
            </w:r>
          </w:p>
        </w:tc>
        <w:tc>
          <w:tcPr>
            <w:tcW w:w="1134" w:type="dxa"/>
            <w:vAlign w:val="center"/>
          </w:tcPr>
          <w:p>
            <w:pPr>
              <w:pStyle w:val="11"/>
            </w:pPr>
            <w:r>
              <w:t>1044.33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t>849.21</w:t>
            </w:r>
          </w:p>
        </w:tc>
        <w:tc>
          <w:tcPr>
            <w:tcW w:w="1134" w:type="dxa"/>
            <w:vAlign w:val="center"/>
          </w:tcPr>
          <w:p>
            <w:pPr>
              <w:pStyle w:val="11"/>
            </w:pPr>
            <w:r>
              <w:t>849.21</w:t>
            </w:r>
          </w:p>
        </w:tc>
        <w:tc>
          <w:tcPr>
            <w:tcW w:w="1134" w:type="dxa"/>
            <w:vAlign w:val="center"/>
          </w:tcPr>
          <w:p>
            <w:pPr>
              <w:pStyle w:val="11"/>
            </w:pPr>
            <w:r>
              <w:t>849.21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2040604</w:t>
            </w:r>
          </w:p>
        </w:tc>
        <w:tc>
          <w:tcPr>
            <w:tcW w:w="1559" w:type="dxa"/>
            <w:vAlign w:val="center"/>
          </w:tcPr>
          <w:p>
            <w:pPr>
              <w:pStyle w:val="12"/>
            </w:pPr>
            <w:r>
              <w:t>基层司法业务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2040605</w:t>
            </w:r>
          </w:p>
        </w:tc>
        <w:tc>
          <w:tcPr>
            <w:tcW w:w="1559" w:type="dxa"/>
            <w:vAlign w:val="center"/>
          </w:tcPr>
          <w:p>
            <w:pPr>
              <w:pStyle w:val="12"/>
            </w:pPr>
            <w:r>
              <w:t>普法宣传</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2040607</w:t>
            </w:r>
          </w:p>
        </w:tc>
        <w:tc>
          <w:tcPr>
            <w:tcW w:w="1559" w:type="dxa"/>
            <w:vAlign w:val="center"/>
          </w:tcPr>
          <w:p>
            <w:pPr>
              <w:pStyle w:val="12"/>
            </w:pPr>
            <w:r>
              <w:t>公共法律服务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2040610</w:t>
            </w:r>
          </w:p>
        </w:tc>
        <w:tc>
          <w:tcPr>
            <w:tcW w:w="1559" w:type="dxa"/>
            <w:vAlign w:val="center"/>
          </w:tcPr>
          <w:p>
            <w:pPr>
              <w:pStyle w:val="12"/>
            </w:pPr>
            <w:r>
              <w:t>社区矫正</w:t>
            </w:r>
          </w:p>
        </w:tc>
        <w:tc>
          <w:tcPr>
            <w:tcW w:w="1134" w:type="dxa"/>
            <w:vAlign w:val="center"/>
          </w:tcPr>
          <w:p>
            <w:pPr>
              <w:pStyle w:val="11"/>
            </w:pPr>
            <w:r>
              <w:t>28.12</w:t>
            </w:r>
          </w:p>
        </w:tc>
        <w:tc>
          <w:tcPr>
            <w:tcW w:w="1134" w:type="dxa"/>
            <w:vAlign w:val="center"/>
          </w:tcPr>
          <w:p>
            <w:pPr>
              <w:pStyle w:val="11"/>
            </w:pPr>
            <w:r>
              <w:t>28.12</w:t>
            </w:r>
          </w:p>
        </w:tc>
        <w:tc>
          <w:tcPr>
            <w:tcW w:w="1134" w:type="dxa"/>
            <w:vAlign w:val="center"/>
          </w:tcPr>
          <w:p>
            <w:pPr>
              <w:pStyle w:val="11"/>
            </w:pPr>
            <w:r>
              <w:t>28.12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2040612</w:t>
            </w:r>
          </w:p>
        </w:tc>
        <w:tc>
          <w:tcPr>
            <w:tcW w:w="1559" w:type="dxa"/>
            <w:vAlign w:val="center"/>
          </w:tcPr>
          <w:p>
            <w:pPr>
              <w:pStyle w:val="12"/>
            </w:pPr>
            <w:r>
              <w:t>法治建设</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2040699</w:t>
            </w:r>
          </w:p>
        </w:tc>
        <w:tc>
          <w:tcPr>
            <w:tcW w:w="1559" w:type="dxa"/>
            <w:vAlign w:val="center"/>
          </w:tcPr>
          <w:p>
            <w:pPr>
              <w:pStyle w:val="12"/>
            </w:pPr>
            <w:r>
              <w:t>其他司法支出</w:t>
            </w:r>
          </w:p>
        </w:tc>
        <w:tc>
          <w:tcPr>
            <w:tcW w:w="1134" w:type="dxa"/>
            <w:vAlign w:val="center"/>
          </w:tcPr>
          <w:p>
            <w:pPr>
              <w:pStyle w:val="11"/>
            </w:pPr>
            <w:r>
              <w:t>115.00</w:t>
            </w:r>
          </w:p>
        </w:tc>
        <w:tc>
          <w:tcPr>
            <w:tcW w:w="1134" w:type="dxa"/>
            <w:vAlign w:val="center"/>
          </w:tcPr>
          <w:p>
            <w:pPr>
              <w:pStyle w:val="11"/>
            </w:pPr>
            <w:r>
              <w:t>115.00</w:t>
            </w:r>
          </w:p>
        </w:tc>
        <w:tc>
          <w:tcPr>
            <w:tcW w:w="1134" w:type="dxa"/>
            <w:vAlign w:val="center"/>
          </w:tcPr>
          <w:p>
            <w:pPr>
              <w:pStyle w:val="11"/>
            </w:pPr>
            <w:r>
              <w:t>115.00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134.53</w:t>
            </w:r>
          </w:p>
        </w:tc>
        <w:tc>
          <w:tcPr>
            <w:tcW w:w="1134" w:type="dxa"/>
            <w:vAlign w:val="center"/>
          </w:tcPr>
          <w:p>
            <w:pPr>
              <w:pStyle w:val="11"/>
            </w:pPr>
            <w:r>
              <w:t>134.53</w:t>
            </w:r>
          </w:p>
        </w:tc>
        <w:tc>
          <w:tcPr>
            <w:tcW w:w="1134" w:type="dxa"/>
            <w:vAlign w:val="center"/>
          </w:tcPr>
          <w:p>
            <w:pPr>
              <w:pStyle w:val="11"/>
            </w:pPr>
            <w:r>
              <w:t>134.53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134.53</w:t>
            </w:r>
          </w:p>
        </w:tc>
        <w:tc>
          <w:tcPr>
            <w:tcW w:w="1134" w:type="dxa"/>
            <w:vAlign w:val="center"/>
          </w:tcPr>
          <w:p>
            <w:pPr>
              <w:pStyle w:val="11"/>
            </w:pPr>
            <w:r>
              <w:t>134.53</w:t>
            </w:r>
          </w:p>
        </w:tc>
        <w:tc>
          <w:tcPr>
            <w:tcW w:w="1134" w:type="dxa"/>
            <w:vAlign w:val="center"/>
          </w:tcPr>
          <w:p>
            <w:pPr>
              <w:pStyle w:val="11"/>
            </w:pPr>
            <w:r>
              <w:t>134.53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26.73</w:t>
            </w:r>
          </w:p>
        </w:tc>
        <w:tc>
          <w:tcPr>
            <w:tcW w:w="1134" w:type="dxa"/>
            <w:vAlign w:val="center"/>
          </w:tcPr>
          <w:p>
            <w:pPr>
              <w:pStyle w:val="11"/>
            </w:pPr>
            <w:r>
              <w:t>26.73</w:t>
            </w:r>
          </w:p>
        </w:tc>
        <w:tc>
          <w:tcPr>
            <w:tcW w:w="1134" w:type="dxa"/>
            <w:vAlign w:val="center"/>
          </w:tcPr>
          <w:p>
            <w:pPr>
              <w:pStyle w:val="11"/>
            </w:pPr>
            <w:r>
              <w:t>26.73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71.86</w:t>
            </w:r>
          </w:p>
        </w:tc>
        <w:tc>
          <w:tcPr>
            <w:tcW w:w="1134" w:type="dxa"/>
            <w:vAlign w:val="center"/>
          </w:tcPr>
          <w:p>
            <w:pPr>
              <w:pStyle w:val="11"/>
            </w:pPr>
            <w:r>
              <w:t>71.86</w:t>
            </w:r>
          </w:p>
        </w:tc>
        <w:tc>
          <w:tcPr>
            <w:tcW w:w="1134" w:type="dxa"/>
            <w:vAlign w:val="center"/>
          </w:tcPr>
          <w:p>
            <w:pPr>
              <w:pStyle w:val="11"/>
            </w:pPr>
            <w:r>
              <w:t>71.86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35.93</w:t>
            </w:r>
          </w:p>
        </w:tc>
        <w:tc>
          <w:tcPr>
            <w:tcW w:w="1134" w:type="dxa"/>
            <w:vAlign w:val="center"/>
          </w:tcPr>
          <w:p>
            <w:pPr>
              <w:pStyle w:val="11"/>
            </w:pPr>
            <w:r>
              <w:t>35.93</w:t>
            </w:r>
          </w:p>
        </w:tc>
        <w:tc>
          <w:tcPr>
            <w:tcW w:w="1134" w:type="dxa"/>
            <w:vAlign w:val="center"/>
          </w:tcPr>
          <w:p>
            <w:pPr>
              <w:pStyle w:val="11"/>
            </w:pPr>
            <w:r>
              <w:t>35.93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39.35</w:t>
            </w:r>
          </w:p>
        </w:tc>
        <w:tc>
          <w:tcPr>
            <w:tcW w:w="1134" w:type="dxa"/>
            <w:vAlign w:val="center"/>
          </w:tcPr>
          <w:p>
            <w:pPr>
              <w:pStyle w:val="11"/>
            </w:pPr>
            <w:r>
              <w:t>39.35</w:t>
            </w:r>
          </w:p>
        </w:tc>
        <w:tc>
          <w:tcPr>
            <w:tcW w:w="1134" w:type="dxa"/>
            <w:vAlign w:val="center"/>
          </w:tcPr>
          <w:p>
            <w:pPr>
              <w:pStyle w:val="11"/>
            </w:pPr>
            <w:r>
              <w:t>39.35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39.35</w:t>
            </w:r>
          </w:p>
        </w:tc>
        <w:tc>
          <w:tcPr>
            <w:tcW w:w="1134" w:type="dxa"/>
            <w:vAlign w:val="center"/>
          </w:tcPr>
          <w:p>
            <w:pPr>
              <w:pStyle w:val="11"/>
            </w:pPr>
            <w:r>
              <w:t>39.35</w:t>
            </w:r>
          </w:p>
        </w:tc>
        <w:tc>
          <w:tcPr>
            <w:tcW w:w="1134" w:type="dxa"/>
            <w:vAlign w:val="center"/>
          </w:tcPr>
          <w:p>
            <w:pPr>
              <w:pStyle w:val="11"/>
            </w:pPr>
            <w:r>
              <w:t>39.35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39.35</w:t>
            </w:r>
          </w:p>
        </w:tc>
        <w:tc>
          <w:tcPr>
            <w:tcW w:w="1134" w:type="dxa"/>
            <w:vAlign w:val="center"/>
          </w:tcPr>
          <w:p>
            <w:pPr>
              <w:pStyle w:val="11"/>
            </w:pPr>
            <w:r>
              <w:t>39.35</w:t>
            </w:r>
          </w:p>
        </w:tc>
        <w:tc>
          <w:tcPr>
            <w:tcW w:w="1134" w:type="dxa"/>
            <w:vAlign w:val="center"/>
          </w:tcPr>
          <w:p>
            <w:pPr>
              <w:pStyle w:val="11"/>
            </w:pPr>
            <w:r>
              <w:t>39.35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315魏县司法局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1218.20</w:t>
            </w:r>
          </w:p>
        </w:tc>
        <w:tc>
          <w:tcPr>
            <w:tcW w:w="1361" w:type="dxa"/>
            <w:vAlign w:val="center"/>
          </w:tcPr>
          <w:p>
            <w:pPr>
              <w:pStyle w:val="15"/>
            </w:pPr>
            <w:r>
              <w:t>1023.08</w:t>
            </w:r>
          </w:p>
        </w:tc>
        <w:tc>
          <w:tcPr>
            <w:tcW w:w="1361" w:type="dxa"/>
            <w:vAlign w:val="center"/>
          </w:tcPr>
          <w:p>
            <w:pPr>
              <w:pStyle w:val="15"/>
            </w:pPr>
            <w:r>
              <w:t>195.12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1044.33</w:t>
            </w:r>
          </w:p>
        </w:tc>
        <w:tc>
          <w:tcPr>
            <w:tcW w:w="1361" w:type="dxa"/>
            <w:vAlign w:val="center"/>
          </w:tcPr>
          <w:p>
            <w:pPr>
              <w:pStyle w:val="11"/>
            </w:pPr>
            <w:r>
              <w:t>849.21</w:t>
            </w:r>
          </w:p>
        </w:tc>
        <w:tc>
          <w:tcPr>
            <w:tcW w:w="1361" w:type="dxa"/>
            <w:vAlign w:val="center"/>
          </w:tcPr>
          <w:p>
            <w:pPr>
              <w:pStyle w:val="11"/>
            </w:pPr>
            <w:r>
              <w:t>195.12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1044.33</w:t>
            </w:r>
          </w:p>
        </w:tc>
        <w:tc>
          <w:tcPr>
            <w:tcW w:w="1361" w:type="dxa"/>
            <w:vAlign w:val="center"/>
          </w:tcPr>
          <w:p>
            <w:pPr>
              <w:pStyle w:val="11"/>
            </w:pPr>
            <w:r>
              <w:t>849.21</w:t>
            </w:r>
          </w:p>
        </w:tc>
        <w:tc>
          <w:tcPr>
            <w:tcW w:w="1361" w:type="dxa"/>
            <w:vAlign w:val="center"/>
          </w:tcPr>
          <w:p>
            <w:pPr>
              <w:pStyle w:val="11"/>
            </w:pPr>
            <w:r>
              <w:t>195.12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1"/>
            </w:pPr>
            <w:r>
              <w:t>849.21</w:t>
            </w:r>
          </w:p>
        </w:tc>
        <w:tc>
          <w:tcPr>
            <w:tcW w:w="1361" w:type="dxa"/>
            <w:vAlign w:val="center"/>
          </w:tcPr>
          <w:p>
            <w:pPr>
              <w:pStyle w:val="11"/>
            </w:pPr>
            <w:r>
              <w:t>849.21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2040604</w:t>
            </w:r>
          </w:p>
        </w:tc>
        <w:tc>
          <w:tcPr>
            <w:tcW w:w="4535" w:type="dxa"/>
            <w:vAlign w:val="center"/>
          </w:tcPr>
          <w:p>
            <w:pPr>
              <w:pStyle w:val="12"/>
            </w:pPr>
            <w:r>
              <w:t>基层司法业务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2040605</w:t>
            </w:r>
          </w:p>
        </w:tc>
        <w:tc>
          <w:tcPr>
            <w:tcW w:w="4535" w:type="dxa"/>
            <w:vAlign w:val="center"/>
          </w:tcPr>
          <w:p>
            <w:pPr>
              <w:pStyle w:val="12"/>
            </w:pPr>
            <w:r>
              <w:t>普法宣传</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2040607</w:t>
            </w:r>
          </w:p>
        </w:tc>
        <w:tc>
          <w:tcPr>
            <w:tcW w:w="4535" w:type="dxa"/>
            <w:vAlign w:val="center"/>
          </w:tcPr>
          <w:p>
            <w:pPr>
              <w:pStyle w:val="12"/>
            </w:pPr>
            <w:r>
              <w:t>公共法律服务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2040610</w:t>
            </w:r>
          </w:p>
        </w:tc>
        <w:tc>
          <w:tcPr>
            <w:tcW w:w="4535" w:type="dxa"/>
            <w:vAlign w:val="center"/>
          </w:tcPr>
          <w:p>
            <w:pPr>
              <w:pStyle w:val="12"/>
            </w:pPr>
            <w:r>
              <w:t>社区矫正</w:t>
            </w:r>
          </w:p>
        </w:tc>
        <w:tc>
          <w:tcPr>
            <w:tcW w:w="1361" w:type="dxa"/>
            <w:vAlign w:val="center"/>
          </w:tcPr>
          <w:p>
            <w:pPr>
              <w:pStyle w:val="11"/>
            </w:pPr>
            <w:r>
              <w:t>28.12</w:t>
            </w:r>
          </w:p>
        </w:tc>
        <w:tc>
          <w:tcPr>
            <w:tcW w:w="1361" w:type="dxa"/>
            <w:vAlign w:val="center"/>
          </w:tcPr>
          <w:p>
            <w:pPr>
              <w:pStyle w:val="11"/>
            </w:pPr>
          </w:p>
        </w:tc>
        <w:tc>
          <w:tcPr>
            <w:tcW w:w="1361" w:type="dxa"/>
            <w:vAlign w:val="center"/>
          </w:tcPr>
          <w:p>
            <w:pPr>
              <w:pStyle w:val="11"/>
            </w:pPr>
            <w:r>
              <w:t>28.12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2040612</w:t>
            </w:r>
          </w:p>
        </w:tc>
        <w:tc>
          <w:tcPr>
            <w:tcW w:w="4535" w:type="dxa"/>
            <w:vAlign w:val="center"/>
          </w:tcPr>
          <w:p>
            <w:pPr>
              <w:pStyle w:val="12"/>
            </w:pPr>
            <w:r>
              <w:t>法治建设</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2040699</w:t>
            </w:r>
          </w:p>
        </w:tc>
        <w:tc>
          <w:tcPr>
            <w:tcW w:w="4535" w:type="dxa"/>
            <w:vAlign w:val="center"/>
          </w:tcPr>
          <w:p>
            <w:pPr>
              <w:pStyle w:val="12"/>
            </w:pPr>
            <w:r>
              <w:t>其他司法支出</w:t>
            </w:r>
          </w:p>
        </w:tc>
        <w:tc>
          <w:tcPr>
            <w:tcW w:w="1361" w:type="dxa"/>
            <w:vAlign w:val="center"/>
          </w:tcPr>
          <w:p>
            <w:pPr>
              <w:pStyle w:val="11"/>
            </w:pPr>
            <w:r>
              <w:t>115.00</w:t>
            </w:r>
          </w:p>
        </w:tc>
        <w:tc>
          <w:tcPr>
            <w:tcW w:w="1361" w:type="dxa"/>
            <w:vAlign w:val="center"/>
          </w:tcPr>
          <w:p>
            <w:pPr>
              <w:pStyle w:val="11"/>
            </w:pPr>
          </w:p>
        </w:tc>
        <w:tc>
          <w:tcPr>
            <w:tcW w:w="1361" w:type="dxa"/>
            <w:vAlign w:val="center"/>
          </w:tcPr>
          <w:p>
            <w:pPr>
              <w:pStyle w:val="11"/>
            </w:pPr>
            <w:r>
              <w:t>115.00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134.53</w:t>
            </w:r>
          </w:p>
        </w:tc>
        <w:tc>
          <w:tcPr>
            <w:tcW w:w="1361" w:type="dxa"/>
            <w:vAlign w:val="center"/>
          </w:tcPr>
          <w:p>
            <w:pPr>
              <w:pStyle w:val="11"/>
            </w:pPr>
            <w:r>
              <w:t>134.53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134.53</w:t>
            </w:r>
          </w:p>
        </w:tc>
        <w:tc>
          <w:tcPr>
            <w:tcW w:w="1361" w:type="dxa"/>
            <w:vAlign w:val="center"/>
          </w:tcPr>
          <w:p>
            <w:pPr>
              <w:pStyle w:val="11"/>
            </w:pPr>
            <w:r>
              <w:t>134.53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26.73</w:t>
            </w:r>
          </w:p>
        </w:tc>
        <w:tc>
          <w:tcPr>
            <w:tcW w:w="1361" w:type="dxa"/>
            <w:vAlign w:val="center"/>
          </w:tcPr>
          <w:p>
            <w:pPr>
              <w:pStyle w:val="11"/>
            </w:pPr>
            <w:r>
              <w:t>26.73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71.86</w:t>
            </w:r>
          </w:p>
        </w:tc>
        <w:tc>
          <w:tcPr>
            <w:tcW w:w="1361" w:type="dxa"/>
            <w:vAlign w:val="center"/>
          </w:tcPr>
          <w:p>
            <w:pPr>
              <w:pStyle w:val="11"/>
            </w:pPr>
            <w:r>
              <w:t>71.86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35.93</w:t>
            </w:r>
          </w:p>
        </w:tc>
        <w:tc>
          <w:tcPr>
            <w:tcW w:w="1361" w:type="dxa"/>
            <w:vAlign w:val="center"/>
          </w:tcPr>
          <w:p>
            <w:pPr>
              <w:pStyle w:val="11"/>
            </w:pPr>
            <w:r>
              <w:t>35.93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39.35</w:t>
            </w:r>
          </w:p>
        </w:tc>
        <w:tc>
          <w:tcPr>
            <w:tcW w:w="1361" w:type="dxa"/>
            <w:vAlign w:val="center"/>
          </w:tcPr>
          <w:p>
            <w:pPr>
              <w:pStyle w:val="11"/>
            </w:pPr>
            <w:r>
              <w:t>39.35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39.35</w:t>
            </w:r>
          </w:p>
        </w:tc>
        <w:tc>
          <w:tcPr>
            <w:tcW w:w="1361" w:type="dxa"/>
            <w:vAlign w:val="center"/>
          </w:tcPr>
          <w:p>
            <w:pPr>
              <w:pStyle w:val="11"/>
            </w:pPr>
            <w:r>
              <w:t>39.35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39.35</w:t>
            </w:r>
          </w:p>
        </w:tc>
        <w:tc>
          <w:tcPr>
            <w:tcW w:w="1361" w:type="dxa"/>
            <w:vAlign w:val="center"/>
          </w:tcPr>
          <w:p>
            <w:pPr>
              <w:pStyle w:val="11"/>
            </w:pPr>
            <w:r>
              <w:t>39.35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315魏县司法局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1218.20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1044.33</w:t>
            </w:r>
          </w:p>
        </w:tc>
        <w:tc>
          <w:tcPr>
            <w:tcW w:w="1474" w:type="dxa"/>
            <w:vAlign w:val="center"/>
          </w:tcPr>
          <w:p>
            <w:pPr>
              <w:pStyle w:val="11"/>
            </w:pPr>
            <w:r>
              <w:t>1044.33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134.53</w:t>
            </w:r>
          </w:p>
        </w:tc>
        <w:tc>
          <w:tcPr>
            <w:tcW w:w="1474" w:type="dxa"/>
            <w:vAlign w:val="center"/>
          </w:tcPr>
          <w:p>
            <w:pPr>
              <w:pStyle w:val="11"/>
            </w:pPr>
            <w:r>
              <w:t>134.53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39.35</w:t>
            </w:r>
          </w:p>
        </w:tc>
        <w:tc>
          <w:tcPr>
            <w:tcW w:w="1474" w:type="dxa"/>
            <w:vAlign w:val="center"/>
          </w:tcPr>
          <w:p>
            <w:pPr>
              <w:pStyle w:val="11"/>
            </w:pPr>
            <w:r>
              <w:t>39.35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1218.20</w:t>
            </w:r>
          </w:p>
        </w:tc>
        <w:tc>
          <w:tcPr>
            <w:tcW w:w="3402" w:type="dxa"/>
            <w:vAlign w:val="center"/>
          </w:tcPr>
          <w:p>
            <w:pPr>
              <w:pStyle w:val="14"/>
            </w:pPr>
            <w:r>
              <w:t>本年支出合计</w:t>
            </w:r>
          </w:p>
        </w:tc>
        <w:tc>
          <w:tcPr>
            <w:tcW w:w="1474" w:type="dxa"/>
            <w:vAlign w:val="center"/>
          </w:tcPr>
          <w:p>
            <w:pPr>
              <w:pStyle w:val="15"/>
            </w:pPr>
            <w:r>
              <w:t>1218.20</w:t>
            </w:r>
          </w:p>
        </w:tc>
        <w:tc>
          <w:tcPr>
            <w:tcW w:w="1474" w:type="dxa"/>
            <w:vAlign w:val="center"/>
          </w:tcPr>
          <w:p>
            <w:pPr>
              <w:pStyle w:val="15"/>
            </w:pPr>
            <w:r>
              <w:t>1218.20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1218.20</w:t>
            </w:r>
          </w:p>
        </w:tc>
        <w:tc>
          <w:tcPr>
            <w:tcW w:w="3402" w:type="dxa"/>
            <w:vAlign w:val="center"/>
          </w:tcPr>
          <w:p>
            <w:pPr>
              <w:pStyle w:val="14"/>
            </w:pPr>
            <w:r>
              <w:t>支出总计</w:t>
            </w:r>
          </w:p>
        </w:tc>
        <w:tc>
          <w:tcPr>
            <w:tcW w:w="1474" w:type="dxa"/>
            <w:vAlign w:val="center"/>
          </w:tcPr>
          <w:p>
            <w:pPr>
              <w:pStyle w:val="15"/>
            </w:pPr>
            <w:r>
              <w:t>1218.20</w:t>
            </w:r>
          </w:p>
        </w:tc>
        <w:tc>
          <w:tcPr>
            <w:tcW w:w="1474" w:type="dxa"/>
            <w:vAlign w:val="center"/>
          </w:tcPr>
          <w:p>
            <w:pPr>
              <w:pStyle w:val="15"/>
            </w:pPr>
            <w:r>
              <w:t>1218.20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315魏县司法局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1218.20</w:t>
            </w:r>
          </w:p>
        </w:tc>
        <w:tc>
          <w:tcPr>
            <w:tcW w:w="2551" w:type="dxa"/>
            <w:vAlign w:val="center"/>
          </w:tcPr>
          <w:p>
            <w:pPr>
              <w:pStyle w:val="15"/>
            </w:pPr>
            <w:r>
              <w:t>1023.08</w:t>
            </w:r>
          </w:p>
        </w:tc>
        <w:tc>
          <w:tcPr>
            <w:tcW w:w="2551" w:type="dxa"/>
            <w:vAlign w:val="center"/>
          </w:tcPr>
          <w:p>
            <w:pPr>
              <w:pStyle w:val="15"/>
            </w:pPr>
            <w:r>
              <w:t>195.12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1044.33</w:t>
            </w:r>
          </w:p>
        </w:tc>
        <w:tc>
          <w:tcPr>
            <w:tcW w:w="2551" w:type="dxa"/>
            <w:vAlign w:val="center"/>
          </w:tcPr>
          <w:p>
            <w:pPr>
              <w:pStyle w:val="11"/>
            </w:pPr>
            <w:r>
              <w:t>849.21</w:t>
            </w:r>
          </w:p>
        </w:tc>
        <w:tc>
          <w:tcPr>
            <w:tcW w:w="2551" w:type="dxa"/>
            <w:vAlign w:val="center"/>
          </w:tcPr>
          <w:p>
            <w:pPr>
              <w:pStyle w:val="11"/>
            </w:pPr>
            <w:r>
              <w:t>195.12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1044.33</w:t>
            </w:r>
          </w:p>
        </w:tc>
        <w:tc>
          <w:tcPr>
            <w:tcW w:w="2551" w:type="dxa"/>
            <w:vAlign w:val="center"/>
          </w:tcPr>
          <w:p>
            <w:pPr>
              <w:pStyle w:val="11"/>
            </w:pPr>
            <w:r>
              <w:t>849.21</w:t>
            </w:r>
          </w:p>
        </w:tc>
        <w:tc>
          <w:tcPr>
            <w:tcW w:w="2551" w:type="dxa"/>
            <w:vAlign w:val="center"/>
          </w:tcPr>
          <w:p>
            <w:pPr>
              <w:pStyle w:val="11"/>
            </w:pPr>
            <w:r>
              <w:t>195.12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t>849.21</w:t>
            </w:r>
          </w:p>
        </w:tc>
        <w:tc>
          <w:tcPr>
            <w:tcW w:w="2551" w:type="dxa"/>
            <w:vAlign w:val="center"/>
          </w:tcPr>
          <w:p>
            <w:pPr>
              <w:pStyle w:val="11"/>
            </w:pPr>
            <w:r>
              <w:t>849.21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2040604</w:t>
            </w:r>
          </w:p>
        </w:tc>
        <w:tc>
          <w:tcPr>
            <w:tcW w:w="4535" w:type="dxa"/>
            <w:vAlign w:val="center"/>
          </w:tcPr>
          <w:p>
            <w:pPr>
              <w:pStyle w:val="12"/>
            </w:pPr>
            <w:r>
              <w:t>基层司法业务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2040605</w:t>
            </w:r>
          </w:p>
        </w:tc>
        <w:tc>
          <w:tcPr>
            <w:tcW w:w="4535" w:type="dxa"/>
            <w:vAlign w:val="center"/>
          </w:tcPr>
          <w:p>
            <w:pPr>
              <w:pStyle w:val="12"/>
            </w:pPr>
            <w:r>
              <w:t>普法宣传</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2040607</w:t>
            </w:r>
          </w:p>
        </w:tc>
        <w:tc>
          <w:tcPr>
            <w:tcW w:w="4535" w:type="dxa"/>
            <w:vAlign w:val="center"/>
          </w:tcPr>
          <w:p>
            <w:pPr>
              <w:pStyle w:val="12"/>
            </w:pPr>
            <w:r>
              <w:t>公共法律服务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2040610</w:t>
            </w:r>
          </w:p>
        </w:tc>
        <w:tc>
          <w:tcPr>
            <w:tcW w:w="4535" w:type="dxa"/>
            <w:vAlign w:val="center"/>
          </w:tcPr>
          <w:p>
            <w:pPr>
              <w:pStyle w:val="12"/>
            </w:pPr>
            <w:r>
              <w:t>社区矫正</w:t>
            </w:r>
          </w:p>
        </w:tc>
        <w:tc>
          <w:tcPr>
            <w:tcW w:w="2551" w:type="dxa"/>
            <w:vAlign w:val="center"/>
          </w:tcPr>
          <w:p>
            <w:pPr>
              <w:pStyle w:val="11"/>
            </w:pPr>
            <w:r>
              <w:t>28.12</w:t>
            </w:r>
          </w:p>
        </w:tc>
        <w:tc>
          <w:tcPr>
            <w:tcW w:w="2551" w:type="dxa"/>
            <w:vAlign w:val="center"/>
          </w:tcPr>
          <w:p>
            <w:pPr>
              <w:pStyle w:val="11"/>
            </w:pPr>
          </w:p>
        </w:tc>
        <w:tc>
          <w:tcPr>
            <w:tcW w:w="2551" w:type="dxa"/>
            <w:vAlign w:val="center"/>
          </w:tcPr>
          <w:p>
            <w:pPr>
              <w:pStyle w:val="11"/>
            </w:pPr>
            <w:r>
              <w:t>28.12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2040612</w:t>
            </w:r>
          </w:p>
        </w:tc>
        <w:tc>
          <w:tcPr>
            <w:tcW w:w="4535" w:type="dxa"/>
            <w:vAlign w:val="center"/>
          </w:tcPr>
          <w:p>
            <w:pPr>
              <w:pStyle w:val="12"/>
            </w:pPr>
            <w:r>
              <w:t>法治建设</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2040699</w:t>
            </w:r>
          </w:p>
        </w:tc>
        <w:tc>
          <w:tcPr>
            <w:tcW w:w="4535" w:type="dxa"/>
            <w:vAlign w:val="center"/>
          </w:tcPr>
          <w:p>
            <w:pPr>
              <w:pStyle w:val="12"/>
            </w:pPr>
            <w:r>
              <w:t>其他司法支出</w:t>
            </w:r>
          </w:p>
        </w:tc>
        <w:tc>
          <w:tcPr>
            <w:tcW w:w="2551" w:type="dxa"/>
            <w:vAlign w:val="center"/>
          </w:tcPr>
          <w:p>
            <w:pPr>
              <w:pStyle w:val="11"/>
            </w:pPr>
            <w:r>
              <w:t>115.00</w:t>
            </w:r>
          </w:p>
        </w:tc>
        <w:tc>
          <w:tcPr>
            <w:tcW w:w="2551" w:type="dxa"/>
            <w:vAlign w:val="center"/>
          </w:tcPr>
          <w:p>
            <w:pPr>
              <w:pStyle w:val="11"/>
            </w:pPr>
          </w:p>
        </w:tc>
        <w:tc>
          <w:tcPr>
            <w:tcW w:w="2551" w:type="dxa"/>
            <w:vAlign w:val="center"/>
          </w:tcPr>
          <w:p>
            <w:pPr>
              <w:pStyle w:val="11"/>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134.53</w:t>
            </w:r>
          </w:p>
        </w:tc>
        <w:tc>
          <w:tcPr>
            <w:tcW w:w="2551" w:type="dxa"/>
            <w:vAlign w:val="center"/>
          </w:tcPr>
          <w:p>
            <w:pPr>
              <w:pStyle w:val="11"/>
            </w:pPr>
            <w:r>
              <w:t>134.53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134.53</w:t>
            </w:r>
          </w:p>
        </w:tc>
        <w:tc>
          <w:tcPr>
            <w:tcW w:w="2551" w:type="dxa"/>
            <w:vAlign w:val="center"/>
          </w:tcPr>
          <w:p>
            <w:pPr>
              <w:pStyle w:val="11"/>
            </w:pPr>
            <w:r>
              <w:t>134.53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26.73</w:t>
            </w:r>
          </w:p>
        </w:tc>
        <w:tc>
          <w:tcPr>
            <w:tcW w:w="2551" w:type="dxa"/>
            <w:vAlign w:val="center"/>
          </w:tcPr>
          <w:p>
            <w:pPr>
              <w:pStyle w:val="11"/>
            </w:pPr>
            <w:r>
              <w:t>26.73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71.86</w:t>
            </w:r>
          </w:p>
        </w:tc>
        <w:tc>
          <w:tcPr>
            <w:tcW w:w="2551" w:type="dxa"/>
            <w:vAlign w:val="center"/>
          </w:tcPr>
          <w:p>
            <w:pPr>
              <w:pStyle w:val="11"/>
            </w:pPr>
            <w:r>
              <w:t>71.86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35.93</w:t>
            </w:r>
          </w:p>
        </w:tc>
        <w:tc>
          <w:tcPr>
            <w:tcW w:w="2551" w:type="dxa"/>
            <w:vAlign w:val="center"/>
          </w:tcPr>
          <w:p>
            <w:pPr>
              <w:pStyle w:val="11"/>
            </w:pPr>
            <w:r>
              <w:t>35.93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39.35</w:t>
            </w:r>
          </w:p>
        </w:tc>
        <w:tc>
          <w:tcPr>
            <w:tcW w:w="2551" w:type="dxa"/>
            <w:vAlign w:val="center"/>
          </w:tcPr>
          <w:p>
            <w:pPr>
              <w:pStyle w:val="11"/>
            </w:pPr>
            <w:r>
              <w:t>39.35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39.35</w:t>
            </w:r>
          </w:p>
        </w:tc>
        <w:tc>
          <w:tcPr>
            <w:tcW w:w="2551" w:type="dxa"/>
            <w:vAlign w:val="center"/>
          </w:tcPr>
          <w:p>
            <w:pPr>
              <w:pStyle w:val="11"/>
            </w:pPr>
            <w:r>
              <w:t>39.35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39.35</w:t>
            </w:r>
          </w:p>
        </w:tc>
        <w:tc>
          <w:tcPr>
            <w:tcW w:w="2551" w:type="dxa"/>
            <w:vAlign w:val="center"/>
          </w:tcPr>
          <w:p>
            <w:pPr>
              <w:pStyle w:val="11"/>
            </w:pPr>
            <w:r>
              <w:t>39.35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315魏县司法局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1023.08</w:t>
            </w:r>
          </w:p>
        </w:tc>
        <w:tc>
          <w:tcPr>
            <w:tcW w:w="2551" w:type="dxa"/>
            <w:vAlign w:val="center"/>
          </w:tcPr>
          <w:p>
            <w:pPr>
              <w:pStyle w:val="15"/>
            </w:pPr>
            <w:r>
              <w:t>849.04</w:t>
            </w:r>
          </w:p>
        </w:tc>
        <w:tc>
          <w:tcPr>
            <w:tcW w:w="2551" w:type="dxa"/>
            <w:vAlign w:val="center"/>
          </w:tcPr>
          <w:p>
            <w:pPr>
              <w:pStyle w:val="15"/>
            </w:pPr>
            <w:r>
              <w:t>174.04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819.86</w:t>
            </w:r>
          </w:p>
        </w:tc>
        <w:tc>
          <w:tcPr>
            <w:tcW w:w="2551" w:type="dxa"/>
            <w:vAlign w:val="center"/>
          </w:tcPr>
          <w:p>
            <w:pPr>
              <w:pStyle w:val="11"/>
            </w:pPr>
            <w:r>
              <w:t>819.86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499.84</w:t>
            </w:r>
          </w:p>
        </w:tc>
        <w:tc>
          <w:tcPr>
            <w:tcW w:w="2551" w:type="dxa"/>
            <w:vAlign w:val="center"/>
          </w:tcPr>
          <w:p>
            <w:pPr>
              <w:pStyle w:val="11"/>
            </w:pPr>
            <w:r>
              <w:t>499.84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148.45</w:t>
            </w:r>
          </w:p>
        </w:tc>
        <w:tc>
          <w:tcPr>
            <w:tcW w:w="2551" w:type="dxa"/>
            <w:vAlign w:val="center"/>
          </w:tcPr>
          <w:p>
            <w:pPr>
              <w:pStyle w:val="11"/>
            </w:pPr>
            <w:r>
              <w:t>148.45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24.43</w:t>
            </w:r>
          </w:p>
        </w:tc>
        <w:tc>
          <w:tcPr>
            <w:tcW w:w="2551" w:type="dxa"/>
            <w:vAlign w:val="center"/>
          </w:tcPr>
          <w:p>
            <w:pPr>
              <w:pStyle w:val="11"/>
            </w:pPr>
            <w:r>
              <w:t>24.43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71.86</w:t>
            </w:r>
          </w:p>
        </w:tc>
        <w:tc>
          <w:tcPr>
            <w:tcW w:w="2551" w:type="dxa"/>
            <w:vAlign w:val="center"/>
          </w:tcPr>
          <w:p>
            <w:pPr>
              <w:pStyle w:val="11"/>
            </w:pPr>
            <w:r>
              <w:t>71.86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35.93</w:t>
            </w:r>
          </w:p>
        </w:tc>
        <w:tc>
          <w:tcPr>
            <w:tcW w:w="2551" w:type="dxa"/>
            <w:vAlign w:val="center"/>
          </w:tcPr>
          <w:p>
            <w:pPr>
              <w:pStyle w:val="11"/>
            </w:pPr>
            <w:r>
              <w:t>35.93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39.35</w:t>
            </w:r>
          </w:p>
        </w:tc>
        <w:tc>
          <w:tcPr>
            <w:tcW w:w="2551" w:type="dxa"/>
            <w:vAlign w:val="center"/>
          </w:tcPr>
          <w:p>
            <w:pPr>
              <w:pStyle w:val="11"/>
            </w:pPr>
            <w:r>
              <w:t>39.35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174.04</w:t>
            </w:r>
          </w:p>
        </w:tc>
        <w:tc>
          <w:tcPr>
            <w:tcW w:w="2551" w:type="dxa"/>
            <w:vAlign w:val="center"/>
          </w:tcPr>
          <w:p>
            <w:pPr>
              <w:pStyle w:val="11"/>
            </w:pPr>
          </w:p>
        </w:tc>
        <w:tc>
          <w:tcPr>
            <w:tcW w:w="2551" w:type="dxa"/>
            <w:vAlign w:val="center"/>
          </w:tcPr>
          <w:p>
            <w:pPr>
              <w:pStyle w:val="11"/>
            </w:pPr>
            <w:r>
              <w:t>174.04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66.00</w:t>
            </w:r>
          </w:p>
        </w:tc>
        <w:tc>
          <w:tcPr>
            <w:tcW w:w="2551" w:type="dxa"/>
            <w:vAlign w:val="center"/>
          </w:tcPr>
          <w:p>
            <w:pPr>
              <w:pStyle w:val="11"/>
            </w:pPr>
          </w:p>
        </w:tc>
        <w:tc>
          <w:tcPr>
            <w:tcW w:w="2551"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38.04</w:t>
            </w:r>
          </w:p>
        </w:tc>
        <w:tc>
          <w:tcPr>
            <w:tcW w:w="2551" w:type="dxa"/>
            <w:vAlign w:val="center"/>
          </w:tcPr>
          <w:p>
            <w:pPr>
              <w:pStyle w:val="11"/>
            </w:pPr>
          </w:p>
        </w:tc>
        <w:tc>
          <w:tcPr>
            <w:tcW w:w="2551" w:type="dxa"/>
            <w:vAlign w:val="center"/>
          </w:tcPr>
          <w:p>
            <w:pPr>
              <w:pStyle w:val="11"/>
            </w:pPr>
            <w:r>
              <w:t>38.04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29.19</w:t>
            </w:r>
          </w:p>
        </w:tc>
        <w:tc>
          <w:tcPr>
            <w:tcW w:w="2551" w:type="dxa"/>
            <w:vAlign w:val="center"/>
          </w:tcPr>
          <w:p>
            <w:pPr>
              <w:pStyle w:val="11"/>
            </w:pPr>
            <w:r>
              <w:t>29.19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26.73</w:t>
            </w:r>
          </w:p>
        </w:tc>
        <w:tc>
          <w:tcPr>
            <w:tcW w:w="2551" w:type="dxa"/>
            <w:vAlign w:val="center"/>
          </w:tcPr>
          <w:p>
            <w:pPr>
              <w:pStyle w:val="11"/>
            </w:pPr>
            <w:r>
              <w:t>26.73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2.46</w:t>
            </w:r>
          </w:p>
        </w:tc>
        <w:tc>
          <w:tcPr>
            <w:tcW w:w="2551" w:type="dxa"/>
            <w:vAlign w:val="center"/>
          </w:tcPr>
          <w:p>
            <w:pPr>
              <w:pStyle w:val="11"/>
            </w:pPr>
            <w:r>
              <w:t>2.46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315魏县司法局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315魏县司法局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315魏县司法局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魏县司法局2023年部门预算信息公开情况说明</w:t>
      </w:r>
    </w:p>
    <w:p>
      <w:pPr>
        <w:jc w:val="center"/>
      </w:pPr>
      <w:r>
        <w:rPr>
          <w:rFonts w:ascii="方正小标宋_GBK" w:hAnsi="方正小标宋_GBK" w:eastAsia="方正小标宋_GBK" w:cs="方正小标宋_GBK"/>
          <w:color w:val="000000"/>
          <w:sz w:val="44"/>
        </w:rPr>
        <w:t>魏县司法局2023年部门预算信息公开情况说明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按照《预算法》、《地方预决算公开操作规程》和《关于进一步推进预算公开工作的实施意见》规定，现将魏县司法局2023年部门预算公开如下：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（一)承担全面依法治县重大</w:t>
      </w:r>
      <w:r>
        <w:rPr>
          <w:rFonts w:hint="eastAsia"/>
          <w:lang w:eastAsia="zh-CN"/>
        </w:rPr>
        <w:t>问题</w:t>
      </w:r>
      <w:r>
        <w:t>的政策研究;组织协调有关方面提出全面依法治县中长期规划建议，负责有关重大决策部署督察工作。</w:t>
      </w:r>
    </w:p>
    <w:p>
      <w:pPr>
        <w:pStyle w:val="17"/>
      </w:pPr>
      <w:r>
        <w:t>(二)负责县政府法律库的管理工作，为县政府科学决策、依法行政提供法律依据并提供法律咨询和服务;承担规范性文件审</w:t>
      </w:r>
      <w:r>
        <w:rPr>
          <w:rFonts w:hint="eastAsia"/>
          <w:lang w:eastAsia="zh-CN"/>
        </w:rPr>
        <w:t>查</w:t>
      </w:r>
      <w:r>
        <w:t>、清理工作的职责;负责对县政府政策措施、规范性文件和合同协议的合法性审核工作;负责县政府各部门政府规范性文件的备案审查工作。</w:t>
      </w:r>
    </w:p>
    <w:p>
      <w:pPr>
        <w:pStyle w:val="17"/>
      </w:pPr>
      <w:r>
        <w:t>(三)承担统筹推进魏县法治政府建设的责任。指导、监督县政府各部门、各乡镇(街道办)政府依法行政工作;负责综合协调行政执法，承担推进行政执法体制改革有关工作，推进严格规范公正文明执法。</w:t>
      </w:r>
    </w:p>
    <w:p>
      <w:pPr>
        <w:pStyle w:val="17"/>
      </w:pPr>
      <w:r>
        <w:t>(四)围绕县政府依法行政工作进行调研，为领导科学决策和正确指导工作提供有参考价值的信息、资料、建议;负责县政府依法行政考核工作。</w:t>
      </w:r>
    </w:p>
    <w:p>
      <w:pPr>
        <w:pStyle w:val="17"/>
      </w:pPr>
      <w:r>
        <w:t>(五)依法承办行政复议案件;受县政府委托，代理行政诉讼案件的应诉;受县政府委托，代理由市政府审理的行政复议裁决案件;指导、监督全县行政复议和行政应诉工作;负责县政府法律顾问的管理、组织、联络等工作。</w:t>
      </w:r>
    </w:p>
    <w:p>
      <w:pPr>
        <w:pStyle w:val="17"/>
      </w:pPr>
      <w:r>
        <w:t>(六)贯彻落实国家司法行政工作方针政策;编制全县司法行政工作中长期和年度工作重点，并监督实施。</w:t>
      </w:r>
    </w:p>
    <w:p>
      <w:pPr>
        <w:pStyle w:val="17"/>
      </w:pPr>
      <w:r>
        <w:t>(七)承担统筹规划全县法治社会建设的责任;负责拟订全县法治宣传教育规划，组织实施普法宣传工作;推动全县人民参与和促进法治建设;指导县依法治理和法治创建工作。</w:t>
      </w:r>
    </w:p>
    <w:p>
      <w:pPr>
        <w:pStyle w:val="17"/>
      </w:pPr>
      <w:r>
        <w:t>(八)负责制定全县公共法律服务体系建设规划并指导实施，统筹县域法律服务资源;负责全县律师、公证、法律援助司法鉴定、仲裁和基层法律服务管理工作。</w:t>
      </w:r>
    </w:p>
    <w:p>
      <w:pPr>
        <w:pStyle w:val="17"/>
      </w:pPr>
      <w:r>
        <w:t>(九)管理指导全县人民调解工作、基层司法所工作;负责全县人民陪审员、人民监督员选任管理工作。</w:t>
      </w:r>
    </w:p>
    <w:p>
      <w:pPr>
        <w:pStyle w:val="17"/>
      </w:pPr>
      <w:r>
        <w:t>(十)管理全县司法行政机关计划财务、服装、车辆等物资装备保障工作。</w:t>
      </w:r>
    </w:p>
    <w:p>
      <w:pPr>
        <w:pStyle w:val="17"/>
      </w:pPr>
      <w:r>
        <w:t>(十ー)指导全县司法行政系统队伍建设和思想政治工作，按规定管理局机关及下属单位人事工作;负责本系统政务督察工作。</w:t>
      </w:r>
    </w:p>
    <w:p>
      <w:pPr>
        <w:pStyle w:val="17"/>
      </w:pPr>
      <w:r>
        <w:t>(十ニ)负责全县社区矫正工作，组织指导对刑释、解教人员的安置帮教工作。</w:t>
      </w:r>
    </w:p>
    <w:p>
      <w:pPr>
        <w:pStyle w:val="17"/>
      </w:pPr>
      <w:r>
        <w:t>(十三)负责聘请县政府常年法律顾间，组织律师参与县领导信访接待工作。</w:t>
      </w:r>
    </w:p>
    <w:p>
      <w:pPr>
        <w:pStyle w:val="17"/>
      </w:pPr>
      <w:r>
        <w:t>(十四)承办县委、县政府交办的其他工作。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魏县司法局本级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部门预算的编制实行综合预算管理，即全部收入和支出都反映在预算中。魏县司法局机关及所属事业单位的收支包含在部门预算中。</w:t>
      </w:r>
    </w:p>
    <w:p>
      <w:pPr>
        <w:pStyle w:val="18"/>
      </w:pPr>
      <w:r>
        <w:t>1、收入说明：2023年收入预算共计1059.21万元，全部为财政拨款收入。</w:t>
      </w:r>
    </w:p>
    <w:p>
      <w:pPr>
        <w:pStyle w:val="18"/>
      </w:pPr>
      <w:r>
        <w:t>2、支出说明：2023年支出预算共计1059.21万元，其中人员经费支出预算700.15万元，日常公用经费支出预算162.8万元，项目支出196.28万元。</w:t>
      </w:r>
    </w:p>
    <w:p>
      <w:pPr>
        <w:pStyle w:val="18"/>
      </w:pPr>
      <w:r>
        <w:t>3、比上年增减情况：经过对比测算，2023年财政拨款预算比2022年增加0万元，主要是：人员经费增加0万元(人员经费增加的主要因素为工资上调)、日常公用经费增加0万元、项目经费减少0万元。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2023年，我部门运行经费共计安排</w:t>
      </w:r>
      <w:r>
        <w:rPr>
          <w:rFonts w:hint="eastAsia" w:eastAsiaTheme="minorEastAsia"/>
          <w:lang w:eastAsia="zh-CN"/>
        </w:rPr>
        <w:t>174.04</w:t>
      </w:r>
      <w: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20万元，其中因公出国（境）费0万元；公务用车购置及运维费20万元（其中：公务用车购置费为0万元，公务用车运行维护费20万元)；公务接待费0万元。与2022年相比无增减。</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坚持以习近平新时代中国特色社会主义思想为指导，深入贯彻党的十九大和十九届二中、三中、四中、五中、六中全会精神，全面落实党中央和省市县委、省市县政府决策部署。充分发挥县委全面依法治省委员会办公室职责作用，全面推进法治政府建设，科学编制计划。加快整合公共法律服务资源，全面推动律师、公证、仲裁、司法鉴定、普法宣传、人民调解、行政复议、法律援助等工作，人民群众合法权益得到切实维护。严格执法监督检查、合法性审查，扎实推进严格公正文明执法，年度培训本级行政执法人员1800人次以上，行政执法公信力不断增强。加强司法教育培训，培育优秀人才。着力提升司法行政系统信息化建设水平。</w:t>
      </w:r>
    </w:p>
    <w:p>
      <w:pPr>
        <w:spacing w:line="500" w:lineRule="exact"/>
        <w:ind w:firstLine="560"/>
      </w:pPr>
      <w:r>
        <w:rPr>
          <w:rFonts w:eastAsia="方正仿宋_GBK"/>
          <w:color w:val="000000"/>
          <w:sz w:val="28"/>
        </w:rPr>
        <w:t>（二）分项绩效目标</w:t>
      </w:r>
    </w:p>
    <w:p>
      <w:pPr>
        <w:pStyle w:val="22"/>
      </w:pPr>
      <w:r>
        <w:t>1.全面依法治县水平进一步提升;</w:t>
      </w:r>
    </w:p>
    <w:p>
      <w:pPr>
        <w:pStyle w:val="22"/>
      </w:pPr>
      <w:r>
        <w:t>2.政府法制制度建设深入推进;</w:t>
      </w:r>
    </w:p>
    <w:p>
      <w:pPr>
        <w:pStyle w:val="22"/>
      </w:pPr>
      <w:r>
        <w:t>3.组织推进依法行政水平整体提升;</w:t>
      </w:r>
    </w:p>
    <w:p>
      <w:pPr>
        <w:pStyle w:val="22"/>
      </w:pPr>
      <w:r>
        <w:t>4.普法依法治理水平进一步提高;</w:t>
      </w:r>
    </w:p>
    <w:p>
      <w:pPr>
        <w:pStyle w:val="22"/>
      </w:pPr>
      <w:r>
        <w:t>5.司法行政管理能力进一步提升;</w:t>
      </w:r>
    </w:p>
    <w:p>
      <w:pPr>
        <w:pStyle w:val="22"/>
      </w:pPr>
      <w:r>
        <w:t>6.司法政务管理水平进一步提高.</w:t>
      </w:r>
    </w:p>
    <w:p>
      <w:pPr>
        <w:spacing w:line="500" w:lineRule="exact"/>
        <w:ind w:firstLine="560"/>
      </w:pPr>
      <w:r>
        <w:rPr>
          <w:rFonts w:eastAsia="方正仿宋_GBK"/>
          <w:color w:val="000000"/>
          <w:sz w:val="28"/>
        </w:rPr>
        <w:t>（三）工作保障措施</w:t>
      </w:r>
    </w:p>
    <w:p>
      <w:pPr>
        <w:pStyle w:val="23"/>
      </w:pPr>
      <w:r>
        <w:t>1.加强组织领导。全面贯彻落实《中共河北省委 河北省人民政府关于全面实施预算绩效管理的实施意见》（冀发〔2018〕54号）等文件要求，持续加强组织领导，进一步优化统筹协调、分工协作、密切配合、合力推进的工作机制，不断健全完善制度体系，确保全年预算绩效目标的有效实现。</w:t>
      </w:r>
    </w:p>
    <w:p>
      <w:pPr>
        <w:pStyle w:val="23"/>
      </w:pPr>
      <w:r>
        <w:t>2.完善制度建设。结合我局部门职责和工作特点，进一步梳理完善各类制度。从事前评估、目标管理、运行监控、绩效评价、结果应用等各个环节入手，完善预算绩效管理制度。从单位和业务两个层面,进一步完善内部控制制度，确保财政资金安全有效。</w:t>
      </w:r>
    </w:p>
    <w:p>
      <w:pPr>
        <w:pStyle w:val="23"/>
      </w:pPr>
      <w:r>
        <w:t>3.狠抓责任落实。牢固树立“花钱必问效，无效必问责”的观念，按照“谁花钱、谁负责”的原则，明确各所属事业单位和各业务部门的预算绩效管理主体责任，在绩效预算管理领导小组的领导下，严格落实制度，切实夯实责任，确保绩效预算管理责任的有效落实。</w:t>
      </w:r>
    </w:p>
    <w:p>
      <w:pPr>
        <w:pStyle w:val="23"/>
      </w:pPr>
      <w:r>
        <w:t>4.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pStyle w:val="23"/>
      </w:pPr>
      <w:r>
        <w:t>5.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pStyle w:val="23"/>
      </w:pPr>
      <w:r>
        <w:t>6.强化宣传引导。组织开展预算绩效管理业务培训，提高相关人员业务素质和工作能力。积极宣传预算绩效管理的要求、成效和经验，为我县司法行政系统全面实施预算绩效管理营造良好的舆论氛围。</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560"/>
      </w:pPr>
      <w:r>
        <w:rPr>
          <w:rFonts w:hint="eastAsia" w:ascii="方正仿宋_GBK" w:hAnsi="方正仿宋_GBK" w:eastAsia="宋体" w:cs="方正仿宋_GBK"/>
          <w:b/>
          <w:color w:val="000000"/>
          <w:sz w:val="28"/>
          <w:lang w:eastAsia="zh-CN"/>
        </w:rPr>
        <w:t>1</w:t>
      </w:r>
      <w:r>
        <w:rPr>
          <w:rFonts w:ascii="方正仿宋_GBK" w:hAnsi="方正仿宋_GBK" w:eastAsia="方正仿宋_GBK" w:cs="方正仿宋_GBK"/>
          <w:b/>
          <w:color w:val="000000"/>
          <w:sz w:val="28"/>
        </w:rPr>
        <w:t>、冀财政法（2022）55号提前下达2023年中央政法转移支付资金绩效目标表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1.保障司法行政工作业务开展，指导、监督、管理全县法律援助，指导、监督基层司法所建设、人民调解、社区矫正、基层法律服务和帮教安置工作等。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w:t>
            </w:r>
          </w:p>
        </w:tc>
        <w:tc>
          <w:tcPr>
            <w:tcW w:w="2835" w:type="dxa"/>
            <w:vAlign w:val="center"/>
          </w:tcPr>
          <w:p>
            <w:pPr>
              <w:pStyle w:val="12"/>
            </w:pPr>
            <w:r>
              <w:t>办理人民调解案件数</w:t>
            </w:r>
          </w:p>
        </w:tc>
        <w:tc>
          <w:tcPr>
            <w:tcW w:w="2551" w:type="dxa"/>
            <w:vAlign w:val="center"/>
          </w:tcPr>
          <w:p>
            <w:pPr>
              <w:pStyle w:val="12"/>
            </w:pPr>
            <w:r>
              <w:t>≥500件</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矛盾纠纷调处率(%)</w:t>
            </w:r>
          </w:p>
        </w:tc>
        <w:tc>
          <w:tcPr>
            <w:tcW w:w="2835" w:type="dxa"/>
            <w:vAlign w:val="center"/>
          </w:tcPr>
          <w:p>
            <w:pPr>
              <w:pStyle w:val="12"/>
            </w:pPr>
            <w:r>
              <w:t>矛盾纠纷调处率(%)</w:t>
            </w:r>
          </w:p>
        </w:tc>
        <w:tc>
          <w:tcPr>
            <w:tcW w:w="2551" w:type="dxa"/>
            <w:vAlign w:val="center"/>
          </w:tcPr>
          <w:p>
            <w:pPr>
              <w:pStyle w:val="12"/>
            </w:pPr>
            <w:r>
              <w:t>≥95%</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办案补贴支付及时性</w:t>
            </w:r>
          </w:p>
        </w:tc>
        <w:tc>
          <w:tcPr>
            <w:tcW w:w="2835" w:type="dxa"/>
            <w:vAlign w:val="center"/>
          </w:tcPr>
          <w:p>
            <w:pPr>
              <w:pStyle w:val="12"/>
            </w:pPr>
            <w:r>
              <w:t>按照规定，及时支付办案各项工作经费，支付率</w:t>
            </w:r>
          </w:p>
        </w:tc>
        <w:tc>
          <w:tcPr>
            <w:tcW w:w="2551" w:type="dxa"/>
            <w:vAlign w:val="center"/>
          </w:tcPr>
          <w:p>
            <w:pPr>
              <w:pStyle w:val="12"/>
            </w:pPr>
            <w:r>
              <w:t>100%</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司法行政工作开展的 成本</w:t>
            </w:r>
          </w:p>
        </w:tc>
        <w:tc>
          <w:tcPr>
            <w:tcW w:w="2835" w:type="dxa"/>
            <w:vAlign w:val="center"/>
          </w:tcPr>
          <w:p>
            <w:pPr>
              <w:pStyle w:val="12"/>
            </w:pPr>
            <w:r>
              <w:t>开展司法行政工作的支出</w:t>
            </w:r>
          </w:p>
        </w:tc>
        <w:tc>
          <w:tcPr>
            <w:tcW w:w="2551" w:type="dxa"/>
            <w:vAlign w:val="center"/>
          </w:tcPr>
          <w:p>
            <w:pPr>
              <w:pStyle w:val="12"/>
            </w:pPr>
            <w:r>
              <w:t>74万</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提供法律咨询数量（件）</w:t>
            </w:r>
          </w:p>
        </w:tc>
        <w:tc>
          <w:tcPr>
            <w:tcW w:w="2835" w:type="dxa"/>
            <w:vAlign w:val="center"/>
          </w:tcPr>
          <w:p>
            <w:pPr>
              <w:pStyle w:val="12"/>
            </w:pPr>
            <w:r>
              <w:t>提供法律咨询数量（件）</w:t>
            </w:r>
          </w:p>
        </w:tc>
        <w:tc>
          <w:tcPr>
            <w:tcW w:w="2551" w:type="dxa"/>
            <w:vAlign w:val="center"/>
          </w:tcPr>
          <w:p>
            <w:pPr>
              <w:pStyle w:val="12"/>
            </w:pPr>
            <w:r>
              <w:t>≥1000件</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法治建设持续推进，司法权威得到维护</w:t>
            </w:r>
          </w:p>
        </w:tc>
        <w:tc>
          <w:tcPr>
            <w:tcW w:w="2835" w:type="dxa"/>
            <w:vAlign w:val="center"/>
          </w:tcPr>
          <w:p>
            <w:pPr>
              <w:pStyle w:val="12"/>
            </w:pPr>
            <w:r>
              <w:t>法治建设持续推进，司法权威得到维护</w:t>
            </w:r>
          </w:p>
        </w:tc>
        <w:tc>
          <w:tcPr>
            <w:tcW w:w="2551" w:type="dxa"/>
            <w:vAlign w:val="center"/>
          </w:tcPr>
          <w:p>
            <w:pPr>
              <w:pStyle w:val="12"/>
            </w:pPr>
            <w:r>
              <w:t>法治建设持续推进</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法律服务对象满意度</w:t>
            </w:r>
          </w:p>
        </w:tc>
        <w:tc>
          <w:tcPr>
            <w:tcW w:w="2551" w:type="dxa"/>
            <w:vAlign w:val="center"/>
          </w:tcPr>
          <w:p>
            <w:pPr>
              <w:pStyle w:val="12"/>
            </w:pPr>
            <w:r>
              <w:t>≥95%</w:t>
            </w:r>
          </w:p>
        </w:tc>
        <w:tc>
          <w:tcPr>
            <w:tcW w:w="2268" w:type="dxa"/>
            <w:vAlign w:val="center"/>
          </w:tcPr>
          <w:p>
            <w:pPr>
              <w:pStyle w:val="12"/>
            </w:pPr>
            <w:r>
              <w:t>冀财政法（2022）55号提前下达中央政法转移支付</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宋体" w:cs="方正仿宋_GBK"/>
          <w:b/>
          <w:color w:val="000000"/>
          <w:sz w:val="28"/>
          <w:lang w:eastAsia="zh-CN"/>
        </w:rPr>
        <w:t>2</w:t>
      </w:r>
      <w:r>
        <w:rPr>
          <w:rFonts w:ascii="方正仿宋_GBK" w:hAnsi="方正仿宋_GBK" w:eastAsia="方正仿宋_GBK" w:cs="方正仿宋_GBK"/>
          <w:b/>
          <w:color w:val="000000"/>
          <w:sz w:val="28"/>
        </w:rPr>
        <w:t>、冀财政法（2022）56号提前下达2023年公检法司转移支付经费绩效目标表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1.保障司法行政工作业务开展，指导、监督、管理全县法律援助，指导、监督基层司法所建设、人民调解、社区矫正、基层法律服务和帮教安置工作等。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w:t>
            </w:r>
            <w:r>
              <w:tab/>
            </w:r>
          </w:p>
        </w:tc>
        <w:tc>
          <w:tcPr>
            <w:tcW w:w="2835" w:type="dxa"/>
            <w:vAlign w:val="center"/>
          </w:tcPr>
          <w:p>
            <w:pPr>
              <w:pStyle w:val="12"/>
            </w:pPr>
            <w:r>
              <w:t>办理人民调解案件数</w:t>
            </w:r>
          </w:p>
        </w:tc>
        <w:tc>
          <w:tcPr>
            <w:tcW w:w="2551" w:type="dxa"/>
            <w:vAlign w:val="center"/>
          </w:tcPr>
          <w:p>
            <w:pPr>
              <w:pStyle w:val="12"/>
            </w:pPr>
            <w:r>
              <w:t>≥500件</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矛盾纠纷调处率(%)</w:t>
            </w:r>
          </w:p>
        </w:tc>
        <w:tc>
          <w:tcPr>
            <w:tcW w:w="2835" w:type="dxa"/>
            <w:vAlign w:val="center"/>
          </w:tcPr>
          <w:p>
            <w:pPr>
              <w:pStyle w:val="12"/>
            </w:pPr>
            <w:r>
              <w:t>矛盾纠纷调处率(%)</w:t>
            </w:r>
          </w:p>
        </w:tc>
        <w:tc>
          <w:tcPr>
            <w:tcW w:w="2551" w:type="dxa"/>
            <w:vAlign w:val="center"/>
          </w:tcPr>
          <w:p>
            <w:pPr>
              <w:pStyle w:val="12"/>
            </w:pPr>
            <w:r>
              <w:t>≥95%</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办案补贴支付及时性</w:t>
            </w:r>
          </w:p>
        </w:tc>
        <w:tc>
          <w:tcPr>
            <w:tcW w:w="2835" w:type="dxa"/>
            <w:vAlign w:val="center"/>
          </w:tcPr>
          <w:p>
            <w:pPr>
              <w:pStyle w:val="12"/>
            </w:pPr>
            <w:r>
              <w:t>按照规定，及时支付办案各项工作经费，支付率</w:t>
            </w:r>
          </w:p>
        </w:tc>
        <w:tc>
          <w:tcPr>
            <w:tcW w:w="2551" w:type="dxa"/>
            <w:vAlign w:val="center"/>
          </w:tcPr>
          <w:p>
            <w:pPr>
              <w:pStyle w:val="12"/>
            </w:pPr>
            <w:r>
              <w:t>100%</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司法行政工作开展的 成本</w:t>
            </w:r>
          </w:p>
        </w:tc>
        <w:tc>
          <w:tcPr>
            <w:tcW w:w="2835" w:type="dxa"/>
            <w:vAlign w:val="center"/>
          </w:tcPr>
          <w:p>
            <w:pPr>
              <w:pStyle w:val="12"/>
            </w:pPr>
            <w:r>
              <w:t>开展司法行政工作的支出</w:t>
            </w:r>
          </w:p>
        </w:tc>
        <w:tc>
          <w:tcPr>
            <w:tcW w:w="2551" w:type="dxa"/>
            <w:vAlign w:val="center"/>
          </w:tcPr>
          <w:p>
            <w:pPr>
              <w:pStyle w:val="12"/>
            </w:pPr>
            <w:r>
              <w:t>33万</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提供法律咨询数量（件）</w:t>
            </w:r>
          </w:p>
        </w:tc>
        <w:tc>
          <w:tcPr>
            <w:tcW w:w="2835" w:type="dxa"/>
            <w:vAlign w:val="center"/>
          </w:tcPr>
          <w:p>
            <w:pPr>
              <w:pStyle w:val="12"/>
            </w:pPr>
            <w:r>
              <w:t>提供法律咨询数量（件）</w:t>
            </w:r>
          </w:p>
        </w:tc>
        <w:tc>
          <w:tcPr>
            <w:tcW w:w="2551" w:type="dxa"/>
            <w:vAlign w:val="center"/>
          </w:tcPr>
          <w:p>
            <w:pPr>
              <w:pStyle w:val="12"/>
            </w:pPr>
            <w:r>
              <w:t>≥1000件</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长期适用性</w:t>
            </w:r>
          </w:p>
        </w:tc>
        <w:tc>
          <w:tcPr>
            <w:tcW w:w="2835" w:type="dxa"/>
            <w:vAlign w:val="center"/>
          </w:tcPr>
          <w:p>
            <w:pPr>
              <w:pStyle w:val="12"/>
            </w:pPr>
            <w:r>
              <w:t>法治建设持续推进，司法权威得到维护</w:t>
            </w:r>
          </w:p>
        </w:tc>
        <w:tc>
          <w:tcPr>
            <w:tcW w:w="2551" w:type="dxa"/>
            <w:vAlign w:val="center"/>
          </w:tcPr>
          <w:p>
            <w:pPr>
              <w:pStyle w:val="12"/>
            </w:pPr>
            <w:r>
              <w:t>法治建设持续推进</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法律服务对象满意度</w:t>
            </w:r>
          </w:p>
        </w:tc>
        <w:tc>
          <w:tcPr>
            <w:tcW w:w="2551" w:type="dxa"/>
            <w:vAlign w:val="center"/>
          </w:tcPr>
          <w:p>
            <w:pPr>
              <w:pStyle w:val="12"/>
            </w:pPr>
            <w:r>
              <w:t>≥95%</w:t>
            </w:r>
          </w:p>
        </w:tc>
        <w:tc>
          <w:tcPr>
            <w:tcW w:w="2268" w:type="dxa"/>
            <w:vAlign w:val="center"/>
          </w:tcPr>
          <w:p>
            <w:pPr>
              <w:pStyle w:val="12"/>
            </w:pPr>
            <w:r>
              <w:t>冀财政法（2022）56号提前下达公检法司转移支付</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宋体" w:cs="方正仿宋_GBK"/>
          <w:b/>
          <w:color w:val="000000"/>
          <w:sz w:val="28"/>
          <w:lang w:eastAsia="zh-CN"/>
        </w:rPr>
        <w:t>3</w:t>
      </w:r>
      <w:r>
        <w:rPr>
          <w:rFonts w:ascii="方正仿宋_GBK" w:hAnsi="方正仿宋_GBK" w:eastAsia="方正仿宋_GBK" w:cs="方正仿宋_GBK"/>
          <w:b/>
          <w:color w:val="000000"/>
          <w:sz w:val="28"/>
        </w:rPr>
        <w:t>、冀财政法（2022）57号提前下达2023年社区矫正专项经费绩效目标表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1.进一步提高教育矫正质量，做细审前调查工作、加强业务培训，加强组织集中教育、社区服务等活动，全年预计办理社区矫正案件200件。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社区矫正人数</w:t>
            </w:r>
          </w:p>
        </w:tc>
        <w:tc>
          <w:tcPr>
            <w:tcW w:w="2835" w:type="dxa"/>
            <w:vAlign w:val="center"/>
          </w:tcPr>
          <w:p>
            <w:pPr>
              <w:pStyle w:val="12"/>
            </w:pPr>
            <w:r>
              <w:t>实际接受社区矫正人数</w:t>
            </w:r>
          </w:p>
        </w:tc>
        <w:tc>
          <w:tcPr>
            <w:tcW w:w="2551" w:type="dxa"/>
            <w:vAlign w:val="center"/>
          </w:tcPr>
          <w:p>
            <w:pPr>
              <w:pStyle w:val="12"/>
            </w:pPr>
            <w:r>
              <w:t>≥300人</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社区矫正执法人员学习时间达标率</w:t>
            </w:r>
          </w:p>
        </w:tc>
        <w:tc>
          <w:tcPr>
            <w:tcW w:w="2835" w:type="dxa"/>
            <w:vAlign w:val="center"/>
          </w:tcPr>
          <w:p>
            <w:pPr>
              <w:pStyle w:val="12"/>
            </w:pPr>
            <w:r>
              <w:t>社区矫正执法人员学习时间达标率</w:t>
            </w:r>
          </w:p>
        </w:tc>
        <w:tc>
          <w:tcPr>
            <w:tcW w:w="2551" w:type="dxa"/>
            <w:vAlign w:val="center"/>
          </w:tcPr>
          <w:p>
            <w:pPr>
              <w:pStyle w:val="12"/>
            </w:pPr>
            <w:r>
              <w:t>100%</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完成调查评估的平均 期限</w:t>
            </w:r>
          </w:p>
        </w:tc>
        <w:tc>
          <w:tcPr>
            <w:tcW w:w="2835" w:type="dxa"/>
            <w:vAlign w:val="center"/>
          </w:tcPr>
          <w:p>
            <w:pPr>
              <w:pStyle w:val="12"/>
            </w:pPr>
            <w:r>
              <w:t>自收到调查评估委托函及所附 材料之日起完成调查评估的平 均期限</w:t>
            </w:r>
          </w:p>
        </w:tc>
        <w:tc>
          <w:tcPr>
            <w:tcW w:w="2551" w:type="dxa"/>
            <w:vAlign w:val="center"/>
          </w:tcPr>
          <w:p>
            <w:pPr>
              <w:pStyle w:val="12"/>
            </w:pPr>
            <w:r>
              <w:t>≤7天</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社区矫正工作开展的 成本</w:t>
            </w:r>
          </w:p>
        </w:tc>
        <w:tc>
          <w:tcPr>
            <w:tcW w:w="2835" w:type="dxa"/>
            <w:vAlign w:val="center"/>
          </w:tcPr>
          <w:p>
            <w:pPr>
              <w:pStyle w:val="12"/>
            </w:pPr>
            <w:r>
              <w:t>开展社区矫正工作的支出</w:t>
            </w:r>
          </w:p>
        </w:tc>
        <w:tc>
          <w:tcPr>
            <w:tcW w:w="2551" w:type="dxa"/>
            <w:vAlign w:val="center"/>
          </w:tcPr>
          <w:p>
            <w:pPr>
              <w:pStyle w:val="12"/>
            </w:pPr>
            <w:r>
              <w:t>8.12万元</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社区矫正对象再犯罪 率</w:t>
            </w:r>
          </w:p>
        </w:tc>
        <w:tc>
          <w:tcPr>
            <w:tcW w:w="2835" w:type="dxa"/>
            <w:vAlign w:val="center"/>
          </w:tcPr>
          <w:p>
            <w:pPr>
              <w:pStyle w:val="12"/>
            </w:pPr>
            <w:r>
              <w:t>本年度社区矫正对象再犯罪人 数与列管人数之比</w:t>
            </w:r>
          </w:p>
        </w:tc>
        <w:tc>
          <w:tcPr>
            <w:tcW w:w="2551" w:type="dxa"/>
            <w:vAlign w:val="center"/>
          </w:tcPr>
          <w:p>
            <w:pPr>
              <w:pStyle w:val="12"/>
            </w:pPr>
            <w:r>
              <w:t>≤0.2%</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提高教育矫正质量</w:t>
            </w:r>
          </w:p>
        </w:tc>
        <w:tc>
          <w:tcPr>
            <w:tcW w:w="2835" w:type="dxa"/>
            <w:vAlign w:val="center"/>
          </w:tcPr>
          <w:p>
            <w:pPr>
              <w:pStyle w:val="12"/>
            </w:pPr>
            <w:r>
              <w:t>进一步提高教育矫正质量，预防和减少社区矫正对象脱管、漏管和重新犯罪。</w:t>
            </w:r>
          </w:p>
        </w:tc>
        <w:tc>
          <w:tcPr>
            <w:tcW w:w="2551" w:type="dxa"/>
            <w:vAlign w:val="center"/>
          </w:tcPr>
          <w:p>
            <w:pPr>
              <w:pStyle w:val="12"/>
            </w:pPr>
            <w:r>
              <w:t>持续提升矫 正质量</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《中华人民共和国社区矫正法》</w:t>
            </w:r>
          </w:p>
        </w:tc>
      </w:tr>
    </w:tbl>
    <w:p>
      <w:pPr>
        <w:sectPr>
          <w:pgSz w:w="16840" w:h="11900" w:orient="landscape"/>
          <w:pgMar w:top="1361" w:right="1020" w:bottom="1134" w:left="1020" w:header="720" w:footer="720" w:gutter="0"/>
          <w:cols w:space="720" w:num="1"/>
        </w:sect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rPr>
          <w:rFonts w:hint="eastAsia" w:ascii="方正楷体_GBK" w:hAnsi="方正楷体_GBK" w:cs="方正楷体_GBK" w:eastAsiaTheme="minorEastAsia"/>
          <w:b/>
          <w:color w:val="000000"/>
          <w:sz w:val="32"/>
          <w:lang w:eastAsia="zh-CN"/>
        </w:rPr>
      </w:pPr>
    </w:p>
    <w:p>
      <w:pPr>
        <w:ind w:firstLine="640"/>
        <w:rPr>
          <w:rFonts w:eastAsiaTheme="minorEastAsia"/>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1、法律援助经费表绩效目标表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1.受理法律援助案件至少40件，降低信访率。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法律援助案件受理数（件)</w:t>
            </w:r>
          </w:p>
        </w:tc>
        <w:tc>
          <w:tcPr>
            <w:tcW w:w="2835" w:type="dxa"/>
            <w:vAlign w:val="center"/>
          </w:tcPr>
          <w:p>
            <w:pPr>
              <w:pStyle w:val="12"/>
            </w:pPr>
            <w:r>
              <w:t>法律援助案件受理数（件)</w:t>
            </w:r>
          </w:p>
        </w:tc>
        <w:tc>
          <w:tcPr>
            <w:tcW w:w="2551" w:type="dxa"/>
            <w:vAlign w:val="center"/>
          </w:tcPr>
          <w:p>
            <w:pPr>
              <w:pStyle w:val="12"/>
            </w:pPr>
            <w:r>
              <w:t>≥40件</w:t>
            </w:r>
          </w:p>
        </w:tc>
        <w:tc>
          <w:tcPr>
            <w:tcW w:w="2268" w:type="dxa"/>
            <w:vAlign w:val="center"/>
          </w:tcPr>
          <w:p>
            <w:pPr>
              <w:pStyle w:val="12"/>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法律援助案件质量等级优良率</w:t>
            </w:r>
          </w:p>
        </w:tc>
        <w:tc>
          <w:tcPr>
            <w:tcW w:w="2835" w:type="dxa"/>
            <w:vAlign w:val="center"/>
          </w:tcPr>
          <w:p>
            <w:pPr>
              <w:pStyle w:val="12"/>
            </w:pPr>
            <w:r>
              <w:t>法律援助案件质量等级优良率</w:t>
            </w:r>
          </w:p>
        </w:tc>
        <w:tc>
          <w:tcPr>
            <w:tcW w:w="2551" w:type="dxa"/>
            <w:vAlign w:val="center"/>
          </w:tcPr>
          <w:p>
            <w:pPr>
              <w:pStyle w:val="12"/>
            </w:pPr>
            <w:r>
              <w:t>≥95%</w:t>
            </w:r>
          </w:p>
        </w:tc>
        <w:tc>
          <w:tcPr>
            <w:tcW w:w="2268" w:type="dxa"/>
            <w:vAlign w:val="center"/>
          </w:tcPr>
          <w:p>
            <w:pPr>
              <w:pStyle w:val="12"/>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法律援助案件受理、 指派的期限</w:t>
            </w:r>
          </w:p>
        </w:tc>
        <w:tc>
          <w:tcPr>
            <w:tcW w:w="2835" w:type="dxa"/>
            <w:vAlign w:val="center"/>
          </w:tcPr>
          <w:p>
            <w:pPr>
              <w:pStyle w:val="12"/>
            </w:pPr>
            <w:r>
              <w:t>按照法定时限办理法律援助案件完成率</w:t>
            </w:r>
          </w:p>
        </w:tc>
        <w:tc>
          <w:tcPr>
            <w:tcW w:w="2551" w:type="dxa"/>
            <w:vAlign w:val="center"/>
          </w:tcPr>
          <w:p>
            <w:pPr>
              <w:pStyle w:val="12"/>
            </w:pPr>
            <w:r>
              <w:t>100%</w:t>
            </w:r>
          </w:p>
        </w:tc>
        <w:tc>
          <w:tcPr>
            <w:tcW w:w="2268" w:type="dxa"/>
            <w:vAlign w:val="center"/>
          </w:tcPr>
          <w:p>
            <w:pPr>
              <w:pStyle w:val="12"/>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法律援助工作开展的 成本</w:t>
            </w:r>
          </w:p>
        </w:tc>
        <w:tc>
          <w:tcPr>
            <w:tcW w:w="2835" w:type="dxa"/>
            <w:vAlign w:val="center"/>
          </w:tcPr>
          <w:p>
            <w:pPr>
              <w:pStyle w:val="12"/>
            </w:pPr>
            <w:r>
              <w:t>开展法律援助工作的支出</w:t>
            </w:r>
          </w:p>
        </w:tc>
        <w:tc>
          <w:tcPr>
            <w:tcW w:w="2551" w:type="dxa"/>
            <w:vAlign w:val="center"/>
          </w:tcPr>
          <w:p>
            <w:pPr>
              <w:pStyle w:val="12"/>
            </w:pPr>
            <w:r>
              <w:t>2万元</w:t>
            </w:r>
          </w:p>
        </w:tc>
        <w:tc>
          <w:tcPr>
            <w:tcW w:w="2268" w:type="dxa"/>
            <w:vAlign w:val="center"/>
          </w:tcPr>
          <w:p>
            <w:pPr>
              <w:pStyle w:val="12"/>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法律援助受益人数</w:t>
            </w:r>
          </w:p>
        </w:tc>
        <w:tc>
          <w:tcPr>
            <w:tcW w:w="2835" w:type="dxa"/>
            <w:vAlign w:val="center"/>
          </w:tcPr>
          <w:p>
            <w:pPr>
              <w:pStyle w:val="12"/>
            </w:pPr>
            <w:r>
              <w:t>符合法律援助条件的人 群，做到应援尽援</w:t>
            </w:r>
          </w:p>
        </w:tc>
        <w:tc>
          <w:tcPr>
            <w:tcW w:w="2551" w:type="dxa"/>
            <w:vAlign w:val="center"/>
          </w:tcPr>
          <w:p>
            <w:pPr>
              <w:pStyle w:val="12"/>
            </w:pPr>
            <w:r>
              <w:t>100%</w:t>
            </w:r>
          </w:p>
        </w:tc>
        <w:tc>
          <w:tcPr>
            <w:tcW w:w="2268" w:type="dxa"/>
            <w:vAlign w:val="center"/>
          </w:tcPr>
          <w:p>
            <w:pPr>
              <w:pStyle w:val="12"/>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提高法律援助质量</w:t>
            </w:r>
          </w:p>
        </w:tc>
        <w:tc>
          <w:tcPr>
            <w:tcW w:w="2835" w:type="dxa"/>
            <w:vAlign w:val="center"/>
          </w:tcPr>
          <w:p>
            <w:pPr>
              <w:pStyle w:val="12"/>
            </w:pPr>
            <w:r>
              <w:t>提高法律援助质量和覆盖率，加快法治政府建设</w:t>
            </w:r>
          </w:p>
        </w:tc>
        <w:tc>
          <w:tcPr>
            <w:tcW w:w="2551" w:type="dxa"/>
            <w:vAlign w:val="center"/>
          </w:tcPr>
          <w:p>
            <w:pPr>
              <w:pStyle w:val="12"/>
            </w:pPr>
            <w:r>
              <w:t>持续提升援助质量</w:t>
            </w:r>
          </w:p>
        </w:tc>
        <w:tc>
          <w:tcPr>
            <w:tcW w:w="2268" w:type="dxa"/>
            <w:vAlign w:val="center"/>
          </w:tcPr>
          <w:p>
            <w:pPr>
              <w:pStyle w:val="12"/>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法律援助及救助服务满意度</w:t>
            </w:r>
          </w:p>
        </w:tc>
        <w:tc>
          <w:tcPr>
            <w:tcW w:w="2835" w:type="dxa"/>
            <w:vAlign w:val="center"/>
          </w:tcPr>
          <w:p>
            <w:pPr>
              <w:pStyle w:val="12"/>
            </w:pPr>
            <w:r>
              <w:t>法律援助及救助服务满意度</w:t>
            </w:r>
          </w:p>
        </w:tc>
        <w:tc>
          <w:tcPr>
            <w:tcW w:w="2551" w:type="dxa"/>
            <w:vAlign w:val="center"/>
          </w:tcPr>
          <w:p>
            <w:pPr>
              <w:pStyle w:val="12"/>
            </w:pPr>
            <w:r>
              <w:t>≥95%</w:t>
            </w:r>
          </w:p>
        </w:tc>
        <w:tc>
          <w:tcPr>
            <w:tcW w:w="2268" w:type="dxa"/>
            <w:vAlign w:val="center"/>
          </w:tcPr>
          <w:p>
            <w:pPr>
              <w:pStyle w:val="12"/>
            </w:pPr>
            <w:r>
              <w:t>《中华人民共和国法律援助法》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2、法治建设经费（原政府法制办经费）绩效目标表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1.积极参加行政应诉案件，提高行政应诉案件胜诉率;提高行政执法人员法律素质.对全县执法人员1800人培训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执法人员参加培训人次</w:t>
            </w:r>
          </w:p>
        </w:tc>
        <w:tc>
          <w:tcPr>
            <w:tcW w:w="2835" w:type="dxa"/>
            <w:vAlign w:val="center"/>
          </w:tcPr>
          <w:p>
            <w:pPr>
              <w:pStyle w:val="12"/>
            </w:pPr>
            <w:r>
              <w:t>执法人员参加培训人次</w:t>
            </w:r>
          </w:p>
        </w:tc>
        <w:tc>
          <w:tcPr>
            <w:tcW w:w="2551" w:type="dxa"/>
            <w:vAlign w:val="center"/>
          </w:tcPr>
          <w:p>
            <w:pPr>
              <w:pStyle w:val="12"/>
            </w:pPr>
            <w:r>
              <w:t>≥1800人次</w:t>
            </w:r>
          </w:p>
        </w:tc>
        <w:tc>
          <w:tcPr>
            <w:tcW w:w="2268" w:type="dxa"/>
            <w:vAlign w:val="center"/>
          </w:tcPr>
          <w:p>
            <w:pPr>
              <w:pStyle w:val="12"/>
            </w:pPr>
            <w:r>
              <w:t>《河北省行政执法和行政执法监督规定》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行政应诉胜诉率</w:t>
            </w:r>
          </w:p>
        </w:tc>
        <w:tc>
          <w:tcPr>
            <w:tcW w:w="2835" w:type="dxa"/>
            <w:vAlign w:val="center"/>
          </w:tcPr>
          <w:p>
            <w:pPr>
              <w:pStyle w:val="12"/>
            </w:pPr>
            <w:r>
              <w:t>行政应诉胜诉案件占全年应诉案件的比例</w:t>
            </w:r>
          </w:p>
        </w:tc>
        <w:tc>
          <w:tcPr>
            <w:tcW w:w="2551" w:type="dxa"/>
            <w:vAlign w:val="center"/>
          </w:tcPr>
          <w:p>
            <w:pPr>
              <w:pStyle w:val="12"/>
            </w:pPr>
            <w:r>
              <w:t>≥95%</w:t>
            </w:r>
          </w:p>
        </w:tc>
        <w:tc>
          <w:tcPr>
            <w:tcW w:w="2268" w:type="dxa"/>
            <w:vAlign w:val="center"/>
          </w:tcPr>
          <w:p>
            <w:pPr>
              <w:pStyle w:val="12"/>
            </w:pPr>
            <w:r>
              <w:t>《中华人民共和国行政复议法》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行政复议案件结案率</w:t>
            </w:r>
          </w:p>
        </w:tc>
        <w:tc>
          <w:tcPr>
            <w:tcW w:w="2835" w:type="dxa"/>
            <w:vAlign w:val="center"/>
          </w:tcPr>
          <w:p>
            <w:pPr>
              <w:pStyle w:val="12"/>
            </w:pPr>
            <w:r>
              <w:t>行政复议案件在法定期限内的结案率</w:t>
            </w:r>
          </w:p>
        </w:tc>
        <w:tc>
          <w:tcPr>
            <w:tcW w:w="2551" w:type="dxa"/>
            <w:vAlign w:val="center"/>
          </w:tcPr>
          <w:p>
            <w:pPr>
              <w:pStyle w:val="12"/>
            </w:pPr>
            <w:r>
              <w:t>100%</w:t>
            </w:r>
          </w:p>
        </w:tc>
        <w:tc>
          <w:tcPr>
            <w:tcW w:w="2268" w:type="dxa"/>
            <w:vAlign w:val="center"/>
          </w:tcPr>
          <w:p>
            <w:pPr>
              <w:pStyle w:val="12"/>
            </w:pPr>
            <w:r>
              <w:t>《中华人民共和国行政复议法》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法治建设工作开展的成本</w:t>
            </w:r>
          </w:p>
        </w:tc>
        <w:tc>
          <w:tcPr>
            <w:tcW w:w="2835" w:type="dxa"/>
            <w:vAlign w:val="center"/>
          </w:tcPr>
          <w:p>
            <w:pPr>
              <w:pStyle w:val="12"/>
            </w:pPr>
            <w:r>
              <w:t>开展法治建设工作的支出</w:t>
            </w:r>
          </w:p>
        </w:tc>
        <w:tc>
          <w:tcPr>
            <w:tcW w:w="2551" w:type="dxa"/>
            <w:vAlign w:val="center"/>
          </w:tcPr>
          <w:p>
            <w:pPr>
              <w:pStyle w:val="12"/>
            </w:pPr>
            <w:r>
              <w:t>20万元</w:t>
            </w:r>
          </w:p>
        </w:tc>
        <w:tc>
          <w:tcPr>
            <w:tcW w:w="2268" w:type="dxa"/>
            <w:vAlign w:val="center"/>
          </w:tcPr>
          <w:p>
            <w:pPr>
              <w:pStyle w:val="12"/>
            </w:pPr>
            <w:r>
              <w:t>《中华人民共和国行政复议法》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通过实施全县执法人员的执法业务培训考试，增强全县执法人员的执法能力，更好的服务于社会</w:t>
            </w:r>
          </w:p>
        </w:tc>
        <w:tc>
          <w:tcPr>
            <w:tcW w:w="2551" w:type="dxa"/>
            <w:vAlign w:val="center"/>
          </w:tcPr>
          <w:p>
            <w:pPr>
              <w:pStyle w:val="12"/>
            </w:pPr>
            <w:r>
              <w:t>增强全县执法人员的执法能力</w:t>
            </w:r>
          </w:p>
        </w:tc>
        <w:tc>
          <w:tcPr>
            <w:tcW w:w="2268" w:type="dxa"/>
            <w:vAlign w:val="center"/>
          </w:tcPr>
          <w:p>
            <w:pPr>
              <w:pStyle w:val="12"/>
            </w:pPr>
            <w:r>
              <w:t>《河北省行政执法和行政执法监督规定》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长期适用性</w:t>
            </w:r>
          </w:p>
        </w:tc>
        <w:tc>
          <w:tcPr>
            <w:tcW w:w="2835" w:type="dxa"/>
            <w:vAlign w:val="center"/>
          </w:tcPr>
          <w:p>
            <w:pPr>
              <w:pStyle w:val="12"/>
            </w:pPr>
            <w:r>
              <w:t>推进法治建设，使我国法律体系更加完备，法治实施体系更加高效、法治监督体系更加严密</w:t>
            </w:r>
          </w:p>
        </w:tc>
        <w:tc>
          <w:tcPr>
            <w:tcW w:w="2551" w:type="dxa"/>
            <w:vAlign w:val="center"/>
          </w:tcPr>
          <w:p>
            <w:pPr>
              <w:pStyle w:val="12"/>
            </w:pPr>
            <w:r>
              <w:t>持续推进法治建设</w:t>
            </w:r>
          </w:p>
        </w:tc>
        <w:tc>
          <w:tcPr>
            <w:tcW w:w="2268" w:type="dxa"/>
            <w:vAlign w:val="center"/>
          </w:tcPr>
          <w:p>
            <w:pPr>
              <w:pStyle w:val="12"/>
            </w:pPr>
            <w:r>
              <w:t>《中华人民共和国行政复议法》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《中华人民共和国行政复议法》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3、冀财政法（2022）55号提前下达2023年中央政法转移支付资金绩效目标表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1.保障司法行政工作业务开展，指导、监督、管理全县法律援助，指导、监督基层司法所建设、人民调解、社区矫正、基层法律服务和帮教安置工作等。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w:t>
            </w:r>
          </w:p>
        </w:tc>
        <w:tc>
          <w:tcPr>
            <w:tcW w:w="2835" w:type="dxa"/>
            <w:vAlign w:val="center"/>
          </w:tcPr>
          <w:p>
            <w:pPr>
              <w:pStyle w:val="12"/>
            </w:pPr>
            <w:r>
              <w:t>办理人民调解案件数</w:t>
            </w:r>
          </w:p>
        </w:tc>
        <w:tc>
          <w:tcPr>
            <w:tcW w:w="2551" w:type="dxa"/>
            <w:vAlign w:val="center"/>
          </w:tcPr>
          <w:p>
            <w:pPr>
              <w:pStyle w:val="12"/>
            </w:pPr>
            <w:r>
              <w:t>≥500件</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矛盾纠纷调处率(%)</w:t>
            </w:r>
          </w:p>
        </w:tc>
        <w:tc>
          <w:tcPr>
            <w:tcW w:w="2835" w:type="dxa"/>
            <w:vAlign w:val="center"/>
          </w:tcPr>
          <w:p>
            <w:pPr>
              <w:pStyle w:val="12"/>
            </w:pPr>
            <w:r>
              <w:t>矛盾纠纷调处率(%)</w:t>
            </w:r>
          </w:p>
        </w:tc>
        <w:tc>
          <w:tcPr>
            <w:tcW w:w="2551" w:type="dxa"/>
            <w:vAlign w:val="center"/>
          </w:tcPr>
          <w:p>
            <w:pPr>
              <w:pStyle w:val="12"/>
            </w:pPr>
            <w:r>
              <w:t>≥95%</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办案补贴支付及时性</w:t>
            </w:r>
          </w:p>
        </w:tc>
        <w:tc>
          <w:tcPr>
            <w:tcW w:w="2835" w:type="dxa"/>
            <w:vAlign w:val="center"/>
          </w:tcPr>
          <w:p>
            <w:pPr>
              <w:pStyle w:val="12"/>
            </w:pPr>
            <w:r>
              <w:t>按照规定，及时支付办案各项工作经费，支付率</w:t>
            </w:r>
          </w:p>
        </w:tc>
        <w:tc>
          <w:tcPr>
            <w:tcW w:w="2551" w:type="dxa"/>
            <w:vAlign w:val="center"/>
          </w:tcPr>
          <w:p>
            <w:pPr>
              <w:pStyle w:val="12"/>
            </w:pPr>
            <w:r>
              <w:t>100%</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司法行政工作开展的 成本</w:t>
            </w:r>
          </w:p>
        </w:tc>
        <w:tc>
          <w:tcPr>
            <w:tcW w:w="2835" w:type="dxa"/>
            <w:vAlign w:val="center"/>
          </w:tcPr>
          <w:p>
            <w:pPr>
              <w:pStyle w:val="12"/>
            </w:pPr>
            <w:r>
              <w:t>开展司法行政工作的支出</w:t>
            </w:r>
          </w:p>
        </w:tc>
        <w:tc>
          <w:tcPr>
            <w:tcW w:w="2551" w:type="dxa"/>
            <w:vAlign w:val="center"/>
          </w:tcPr>
          <w:p>
            <w:pPr>
              <w:pStyle w:val="12"/>
            </w:pPr>
            <w:r>
              <w:t>74万</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提供法律咨询数量（件）</w:t>
            </w:r>
          </w:p>
        </w:tc>
        <w:tc>
          <w:tcPr>
            <w:tcW w:w="2835" w:type="dxa"/>
            <w:vAlign w:val="center"/>
          </w:tcPr>
          <w:p>
            <w:pPr>
              <w:pStyle w:val="12"/>
            </w:pPr>
            <w:r>
              <w:t>提供法律咨询数量（件）</w:t>
            </w:r>
          </w:p>
        </w:tc>
        <w:tc>
          <w:tcPr>
            <w:tcW w:w="2551" w:type="dxa"/>
            <w:vAlign w:val="center"/>
          </w:tcPr>
          <w:p>
            <w:pPr>
              <w:pStyle w:val="12"/>
            </w:pPr>
            <w:r>
              <w:t>≥1000件</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法治建设持续推进，司法权威得到维护</w:t>
            </w:r>
          </w:p>
        </w:tc>
        <w:tc>
          <w:tcPr>
            <w:tcW w:w="2835" w:type="dxa"/>
            <w:vAlign w:val="center"/>
          </w:tcPr>
          <w:p>
            <w:pPr>
              <w:pStyle w:val="12"/>
            </w:pPr>
            <w:r>
              <w:t>法治建设持续推进，司法权威得到维护</w:t>
            </w:r>
          </w:p>
        </w:tc>
        <w:tc>
          <w:tcPr>
            <w:tcW w:w="2551" w:type="dxa"/>
            <w:vAlign w:val="center"/>
          </w:tcPr>
          <w:p>
            <w:pPr>
              <w:pStyle w:val="12"/>
            </w:pPr>
            <w:r>
              <w:t>法治建设持续推进</w:t>
            </w:r>
          </w:p>
        </w:tc>
        <w:tc>
          <w:tcPr>
            <w:tcW w:w="2268" w:type="dxa"/>
            <w:vAlign w:val="center"/>
          </w:tcPr>
          <w:p>
            <w:pPr>
              <w:pStyle w:val="12"/>
            </w:pPr>
            <w:r>
              <w:t>冀财政法（2022）55号提前下达中央政法转移支付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法律服务对象满意度</w:t>
            </w:r>
          </w:p>
        </w:tc>
        <w:tc>
          <w:tcPr>
            <w:tcW w:w="2551" w:type="dxa"/>
            <w:vAlign w:val="center"/>
          </w:tcPr>
          <w:p>
            <w:pPr>
              <w:pStyle w:val="12"/>
            </w:pPr>
            <w:r>
              <w:t>≥95%</w:t>
            </w:r>
          </w:p>
        </w:tc>
        <w:tc>
          <w:tcPr>
            <w:tcW w:w="2268" w:type="dxa"/>
            <w:vAlign w:val="center"/>
          </w:tcPr>
          <w:p>
            <w:pPr>
              <w:pStyle w:val="12"/>
            </w:pPr>
            <w:r>
              <w:t>冀财政法（2022）55号提前下达中央政法转移支付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4、冀财政法（2022）56号提前下达2023年公检法司转移支付经费绩效目标表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1.保障司法行政工作业务开展，指导、监督、管理全县法律援助，指导、监督基层司法所建设、人民调解、社区矫正、基层法律服务和帮教安置工作等。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w:t>
            </w:r>
            <w:r>
              <w:tab/>
            </w:r>
          </w:p>
        </w:tc>
        <w:tc>
          <w:tcPr>
            <w:tcW w:w="2835" w:type="dxa"/>
            <w:vAlign w:val="center"/>
          </w:tcPr>
          <w:p>
            <w:pPr>
              <w:pStyle w:val="12"/>
            </w:pPr>
            <w:r>
              <w:t>办理人民调解案件数</w:t>
            </w:r>
          </w:p>
        </w:tc>
        <w:tc>
          <w:tcPr>
            <w:tcW w:w="2551" w:type="dxa"/>
            <w:vAlign w:val="center"/>
          </w:tcPr>
          <w:p>
            <w:pPr>
              <w:pStyle w:val="12"/>
            </w:pPr>
            <w:r>
              <w:t>≥500件</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矛盾纠纷调处率(%)</w:t>
            </w:r>
          </w:p>
        </w:tc>
        <w:tc>
          <w:tcPr>
            <w:tcW w:w="2835" w:type="dxa"/>
            <w:vAlign w:val="center"/>
          </w:tcPr>
          <w:p>
            <w:pPr>
              <w:pStyle w:val="12"/>
            </w:pPr>
            <w:r>
              <w:t>矛盾纠纷调处率(%)</w:t>
            </w:r>
          </w:p>
        </w:tc>
        <w:tc>
          <w:tcPr>
            <w:tcW w:w="2551" w:type="dxa"/>
            <w:vAlign w:val="center"/>
          </w:tcPr>
          <w:p>
            <w:pPr>
              <w:pStyle w:val="12"/>
            </w:pPr>
            <w:r>
              <w:t>≥95%</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办案补贴支付及时性</w:t>
            </w:r>
          </w:p>
        </w:tc>
        <w:tc>
          <w:tcPr>
            <w:tcW w:w="2835" w:type="dxa"/>
            <w:vAlign w:val="center"/>
          </w:tcPr>
          <w:p>
            <w:pPr>
              <w:pStyle w:val="12"/>
            </w:pPr>
            <w:r>
              <w:t>按照规定，及时支付办案各项工作经费，支付率</w:t>
            </w:r>
          </w:p>
        </w:tc>
        <w:tc>
          <w:tcPr>
            <w:tcW w:w="2551" w:type="dxa"/>
            <w:vAlign w:val="center"/>
          </w:tcPr>
          <w:p>
            <w:pPr>
              <w:pStyle w:val="12"/>
            </w:pPr>
            <w:r>
              <w:t>100%</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司法行政工作开展的 成本</w:t>
            </w:r>
          </w:p>
        </w:tc>
        <w:tc>
          <w:tcPr>
            <w:tcW w:w="2835" w:type="dxa"/>
            <w:vAlign w:val="center"/>
          </w:tcPr>
          <w:p>
            <w:pPr>
              <w:pStyle w:val="12"/>
            </w:pPr>
            <w:r>
              <w:t>开展司法行政工作的支出</w:t>
            </w:r>
          </w:p>
        </w:tc>
        <w:tc>
          <w:tcPr>
            <w:tcW w:w="2551" w:type="dxa"/>
            <w:vAlign w:val="center"/>
          </w:tcPr>
          <w:p>
            <w:pPr>
              <w:pStyle w:val="12"/>
            </w:pPr>
            <w:r>
              <w:t>33万</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提供法律咨询数量（件）</w:t>
            </w:r>
          </w:p>
        </w:tc>
        <w:tc>
          <w:tcPr>
            <w:tcW w:w="2835" w:type="dxa"/>
            <w:vAlign w:val="center"/>
          </w:tcPr>
          <w:p>
            <w:pPr>
              <w:pStyle w:val="12"/>
            </w:pPr>
            <w:r>
              <w:t>提供法律咨询数量（件）</w:t>
            </w:r>
          </w:p>
        </w:tc>
        <w:tc>
          <w:tcPr>
            <w:tcW w:w="2551" w:type="dxa"/>
            <w:vAlign w:val="center"/>
          </w:tcPr>
          <w:p>
            <w:pPr>
              <w:pStyle w:val="12"/>
            </w:pPr>
            <w:r>
              <w:t>≥1000件</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长期适用性</w:t>
            </w:r>
          </w:p>
        </w:tc>
        <w:tc>
          <w:tcPr>
            <w:tcW w:w="2835" w:type="dxa"/>
            <w:vAlign w:val="center"/>
          </w:tcPr>
          <w:p>
            <w:pPr>
              <w:pStyle w:val="12"/>
            </w:pPr>
            <w:r>
              <w:t>法治建设持续推进，司法权威得到维护</w:t>
            </w:r>
          </w:p>
        </w:tc>
        <w:tc>
          <w:tcPr>
            <w:tcW w:w="2551" w:type="dxa"/>
            <w:vAlign w:val="center"/>
          </w:tcPr>
          <w:p>
            <w:pPr>
              <w:pStyle w:val="12"/>
            </w:pPr>
            <w:r>
              <w:t>法治建设持续推进</w:t>
            </w:r>
          </w:p>
        </w:tc>
        <w:tc>
          <w:tcPr>
            <w:tcW w:w="2268" w:type="dxa"/>
            <w:vAlign w:val="center"/>
          </w:tcPr>
          <w:p>
            <w:pPr>
              <w:pStyle w:val="12"/>
            </w:pPr>
            <w:r>
              <w:t>冀财政法（2022）56号提前下达公检法司转移支付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法律服务对象满意度</w:t>
            </w:r>
          </w:p>
        </w:tc>
        <w:tc>
          <w:tcPr>
            <w:tcW w:w="2551" w:type="dxa"/>
            <w:vAlign w:val="center"/>
          </w:tcPr>
          <w:p>
            <w:pPr>
              <w:pStyle w:val="12"/>
            </w:pPr>
            <w:r>
              <w:t>≥95%</w:t>
            </w:r>
          </w:p>
        </w:tc>
        <w:tc>
          <w:tcPr>
            <w:tcW w:w="2268" w:type="dxa"/>
            <w:vAlign w:val="center"/>
          </w:tcPr>
          <w:p>
            <w:pPr>
              <w:pStyle w:val="12"/>
            </w:pPr>
            <w:r>
              <w:t>冀财政法（2022）56号提前下达公检法司转移支付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5、冀财政法（2022）57号提前下达2023年社区矫正专项经费绩效目标表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1.进一步提高教育矫正质量，做细审前调查工作、加强业务培训，加强组织集中教育、社区服务等活动，全年预计办理社区矫正案件200件。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社区矫正人数</w:t>
            </w:r>
          </w:p>
        </w:tc>
        <w:tc>
          <w:tcPr>
            <w:tcW w:w="2835" w:type="dxa"/>
            <w:vAlign w:val="center"/>
          </w:tcPr>
          <w:p>
            <w:pPr>
              <w:pStyle w:val="12"/>
            </w:pPr>
            <w:r>
              <w:t>实际接受社区矫正人数</w:t>
            </w:r>
          </w:p>
        </w:tc>
        <w:tc>
          <w:tcPr>
            <w:tcW w:w="2551" w:type="dxa"/>
            <w:vAlign w:val="center"/>
          </w:tcPr>
          <w:p>
            <w:pPr>
              <w:pStyle w:val="12"/>
            </w:pPr>
            <w:r>
              <w:t>≥300人</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社区矫正执法人员学习时间达标率</w:t>
            </w:r>
          </w:p>
        </w:tc>
        <w:tc>
          <w:tcPr>
            <w:tcW w:w="2835" w:type="dxa"/>
            <w:vAlign w:val="center"/>
          </w:tcPr>
          <w:p>
            <w:pPr>
              <w:pStyle w:val="12"/>
            </w:pPr>
            <w:r>
              <w:t>社区矫正执法人员学习时间达标率</w:t>
            </w:r>
          </w:p>
        </w:tc>
        <w:tc>
          <w:tcPr>
            <w:tcW w:w="2551" w:type="dxa"/>
            <w:vAlign w:val="center"/>
          </w:tcPr>
          <w:p>
            <w:pPr>
              <w:pStyle w:val="12"/>
            </w:pPr>
            <w:r>
              <w:t>100%</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完成调查评估的平均 期限</w:t>
            </w:r>
          </w:p>
        </w:tc>
        <w:tc>
          <w:tcPr>
            <w:tcW w:w="2835" w:type="dxa"/>
            <w:vAlign w:val="center"/>
          </w:tcPr>
          <w:p>
            <w:pPr>
              <w:pStyle w:val="12"/>
            </w:pPr>
            <w:r>
              <w:t>自收到调查评估委托函及所附 材料之日起完成调查评估的平 均期限</w:t>
            </w:r>
          </w:p>
        </w:tc>
        <w:tc>
          <w:tcPr>
            <w:tcW w:w="2551" w:type="dxa"/>
            <w:vAlign w:val="center"/>
          </w:tcPr>
          <w:p>
            <w:pPr>
              <w:pStyle w:val="12"/>
            </w:pPr>
            <w:r>
              <w:t>≤7天</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社区矫正工作开展的 成本</w:t>
            </w:r>
          </w:p>
        </w:tc>
        <w:tc>
          <w:tcPr>
            <w:tcW w:w="2835" w:type="dxa"/>
            <w:vAlign w:val="center"/>
          </w:tcPr>
          <w:p>
            <w:pPr>
              <w:pStyle w:val="12"/>
            </w:pPr>
            <w:r>
              <w:t>开展社区矫正工作的支出</w:t>
            </w:r>
          </w:p>
        </w:tc>
        <w:tc>
          <w:tcPr>
            <w:tcW w:w="2551" w:type="dxa"/>
            <w:vAlign w:val="center"/>
          </w:tcPr>
          <w:p>
            <w:pPr>
              <w:pStyle w:val="12"/>
            </w:pPr>
            <w:r>
              <w:t>8.12万元</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社区矫正对象再犯罪 率</w:t>
            </w:r>
          </w:p>
        </w:tc>
        <w:tc>
          <w:tcPr>
            <w:tcW w:w="2835" w:type="dxa"/>
            <w:vAlign w:val="center"/>
          </w:tcPr>
          <w:p>
            <w:pPr>
              <w:pStyle w:val="12"/>
            </w:pPr>
            <w:r>
              <w:t>本年度社区矫正对象再犯罪人 数与列管人数之比</w:t>
            </w:r>
          </w:p>
        </w:tc>
        <w:tc>
          <w:tcPr>
            <w:tcW w:w="2551" w:type="dxa"/>
            <w:vAlign w:val="center"/>
          </w:tcPr>
          <w:p>
            <w:pPr>
              <w:pStyle w:val="12"/>
            </w:pPr>
            <w:r>
              <w:t>≤0.2%</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提高教育矫正质量</w:t>
            </w:r>
          </w:p>
        </w:tc>
        <w:tc>
          <w:tcPr>
            <w:tcW w:w="2835" w:type="dxa"/>
            <w:vAlign w:val="center"/>
          </w:tcPr>
          <w:p>
            <w:pPr>
              <w:pStyle w:val="12"/>
            </w:pPr>
            <w:r>
              <w:t>进一步提高教育矫正质量，预防和减少社区矫正对象脱管、漏管和重新犯罪。</w:t>
            </w:r>
          </w:p>
        </w:tc>
        <w:tc>
          <w:tcPr>
            <w:tcW w:w="2551" w:type="dxa"/>
            <w:vAlign w:val="center"/>
          </w:tcPr>
          <w:p>
            <w:pPr>
              <w:pStyle w:val="12"/>
            </w:pPr>
            <w:r>
              <w:t>持续提升矫 正质量</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《中华人民共和国社区矫正法》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6、普法宣传经费绩效目标表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1.提高全县人民法律意识和法律素质，全面落实依法治国基本方略。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普法宣传次数</w:t>
            </w:r>
          </w:p>
        </w:tc>
        <w:tc>
          <w:tcPr>
            <w:tcW w:w="2835" w:type="dxa"/>
            <w:vAlign w:val="center"/>
          </w:tcPr>
          <w:p>
            <w:pPr>
              <w:pStyle w:val="12"/>
            </w:pPr>
            <w:r>
              <w:t>普法宣传（场）次数</w:t>
            </w:r>
          </w:p>
        </w:tc>
        <w:tc>
          <w:tcPr>
            <w:tcW w:w="2551" w:type="dxa"/>
            <w:vAlign w:val="center"/>
          </w:tcPr>
          <w:p>
            <w:pPr>
              <w:pStyle w:val="12"/>
            </w:pPr>
            <w:r>
              <w:t>≥15场</w:t>
            </w:r>
          </w:p>
        </w:tc>
        <w:tc>
          <w:tcPr>
            <w:tcW w:w="2268" w:type="dxa"/>
            <w:vAlign w:val="center"/>
          </w:tcPr>
          <w:p>
            <w:pPr>
              <w:pStyle w:val="12"/>
            </w:pPr>
            <w:r>
              <w:t>《魏县法制宣传教育领导小组关于在公民开展法治宣传教育的第八个五年规划（2021-2025年》的通知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宣传、活动区域覆盖率</w:t>
            </w:r>
          </w:p>
        </w:tc>
        <w:tc>
          <w:tcPr>
            <w:tcW w:w="2835" w:type="dxa"/>
            <w:vAlign w:val="center"/>
          </w:tcPr>
          <w:p>
            <w:pPr>
              <w:pStyle w:val="12"/>
            </w:pPr>
            <w:r>
              <w:t>普法宣传、活动覆盖全县区域</w:t>
            </w:r>
          </w:p>
        </w:tc>
        <w:tc>
          <w:tcPr>
            <w:tcW w:w="2551" w:type="dxa"/>
            <w:vAlign w:val="center"/>
          </w:tcPr>
          <w:p>
            <w:pPr>
              <w:pStyle w:val="12"/>
            </w:pPr>
            <w:r>
              <w:t>≥95%</w:t>
            </w:r>
          </w:p>
        </w:tc>
        <w:tc>
          <w:tcPr>
            <w:tcW w:w="2268" w:type="dxa"/>
            <w:vAlign w:val="center"/>
          </w:tcPr>
          <w:p>
            <w:pPr>
              <w:pStyle w:val="12"/>
            </w:pPr>
            <w:r>
              <w:t>《魏县法制宣传教育领导小组关于在公民开展法治宣传教育的第八个五年规划（2021-2025年》的通知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实施进度</w:t>
            </w:r>
          </w:p>
        </w:tc>
        <w:tc>
          <w:tcPr>
            <w:tcW w:w="2835" w:type="dxa"/>
            <w:vAlign w:val="center"/>
          </w:tcPr>
          <w:p>
            <w:pPr>
              <w:pStyle w:val="12"/>
            </w:pPr>
            <w:r>
              <w:t>组织开展15场以上宣传活动，开展法治宣传工作，推动法治宣传事业发展和法治政府建设。</w:t>
            </w:r>
          </w:p>
        </w:tc>
        <w:tc>
          <w:tcPr>
            <w:tcW w:w="2551" w:type="dxa"/>
            <w:vAlign w:val="center"/>
          </w:tcPr>
          <w:p>
            <w:pPr>
              <w:pStyle w:val="12"/>
            </w:pPr>
            <w:r>
              <w:t>各项普法活动开展及时</w:t>
            </w:r>
          </w:p>
        </w:tc>
        <w:tc>
          <w:tcPr>
            <w:tcW w:w="2268" w:type="dxa"/>
            <w:vAlign w:val="center"/>
          </w:tcPr>
          <w:p>
            <w:pPr>
              <w:pStyle w:val="12"/>
            </w:pPr>
            <w:r>
              <w:t>《魏县法制宣传教育领导小组关于在公民开展法治宣传教育的第八个五年规划（2021-2025年》的通知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普法宣传工作开展的成 本</w:t>
            </w:r>
          </w:p>
        </w:tc>
        <w:tc>
          <w:tcPr>
            <w:tcW w:w="2835" w:type="dxa"/>
            <w:vAlign w:val="center"/>
          </w:tcPr>
          <w:p>
            <w:pPr>
              <w:pStyle w:val="12"/>
            </w:pPr>
            <w:r>
              <w:t>普法宣传工作开展的支出</w:t>
            </w:r>
          </w:p>
        </w:tc>
        <w:tc>
          <w:tcPr>
            <w:tcW w:w="2551" w:type="dxa"/>
            <w:vAlign w:val="center"/>
          </w:tcPr>
          <w:p>
            <w:pPr>
              <w:pStyle w:val="12"/>
            </w:pPr>
            <w:r>
              <w:t>8万元</w:t>
            </w:r>
          </w:p>
        </w:tc>
        <w:tc>
          <w:tcPr>
            <w:tcW w:w="2268" w:type="dxa"/>
            <w:vAlign w:val="center"/>
          </w:tcPr>
          <w:p>
            <w:pPr>
              <w:pStyle w:val="12"/>
            </w:pPr>
            <w:r>
              <w:t>《魏县法制宣传教育领导小组关于在公民开展法治宣传教育的第八个五年规划（2021-2025年》的通知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推进法治政府建设</w:t>
            </w:r>
          </w:p>
        </w:tc>
        <w:tc>
          <w:tcPr>
            <w:tcW w:w="2835" w:type="dxa"/>
            <w:vAlign w:val="center"/>
          </w:tcPr>
          <w:p>
            <w:pPr>
              <w:pStyle w:val="12"/>
            </w:pPr>
            <w:r>
              <w:t>全面推进法治政府建设</w:t>
            </w:r>
          </w:p>
        </w:tc>
        <w:tc>
          <w:tcPr>
            <w:tcW w:w="2551" w:type="dxa"/>
            <w:vAlign w:val="center"/>
          </w:tcPr>
          <w:p>
            <w:pPr>
              <w:pStyle w:val="12"/>
            </w:pPr>
            <w:r>
              <w:t>加快推进中国法治化进程</w:t>
            </w:r>
          </w:p>
        </w:tc>
        <w:tc>
          <w:tcPr>
            <w:tcW w:w="2268" w:type="dxa"/>
            <w:vAlign w:val="center"/>
          </w:tcPr>
          <w:p>
            <w:pPr>
              <w:pStyle w:val="12"/>
            </w:pPr>
            <w:r>
              <w:t>《魏县法制宣传教育领导小组关于在公民开展法治宣传教育的第八个五年规划（2021-2025年》的通知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对法治宣传事业的发展 的推动作用</w:t>
            </w:r>
          </w:p>
        </w:tc>
        <w:tc>
          <w:tcPr>
            <w:tcW w:w="2835" w:type="dxa"/>
            <w:vAlign w:val="center"/>
          </w:tcPr>
          <w:p>
            <w:pPr>
              <w:pStyle w:val="12"/>
            </w:pPr>
            <w:r>
              <w:t>对法治宣传事业的发展 的推动作用</w:t>
            </w:r>
          </w:p>
        </w:tc>
        <w:tc>
          <w:tcPr>
            <w:tcW w:w="2551" w:type="dxa"/>
            <w:vAlign w:val="center"/>
          </w:tcPr>
          <w:p>
            <w:pPr>
              <w:pStyle w:val="12"/>
            </w:pPr>
            <w:r>
              <w:t>持续推进法治化进程</w:t>
            </w:r>
          </w:p>
        </w:tc>
        <w:tc>
          <w:tcPr>
            <w:tcW w:w="2268" w:type="dxa"/>
            <w:vAlign w:val="center"/>
          </w:tcPr>
          <w:p>
            <w:pPr>
              <w:pStyle w:val="12"/>
            </w:pPr>
            <w:r>
              <w:t>《魏县法制宣传教育领导小组关于在公民开展法治宣传教育的第八个五年规划（2021-2025年》的通知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普法宣传对象满意度(%)</w:t>
            </w:r>
          </w:p>
        </w:tc>
        <w:tc>
          <w:tcPr>
            <w:tcW w:w="2835" w:type="dxa"/>
            <w:vAlign w:val="center"/>
          </w:tcPr>
          <w:p>
            <w:pPr>
              <w:pStyle w:val="12"/>
            </w:pPr>
            <w:r>
              <w:t>普法宣传对象满意度(%)</w:t>
            </w:r>
          </w:p>
        </w:tc>
        <w:tc>
          <w:tcPr>
            <w:tcW w:w="2551" w:type="dxa"/>
            <w:vAlign w:val="center"/>
          </w:tcPr>
          <w:p>
            <w:pPr>
              <w:pStyle w:val="12"/>
            </w:pPr>
            <w:r>
              <w:t>≥95%</w:t>
            </w:r>
          </w:p>
        </w:tc>
        <w:tc>
          <w:tcPr>
            <w:tcW w:w="2268" w:type="dxa"/>
            <w:vAlign w:val="center"/>
          </w:tcPr>
          <w:p>
            <w:pPr>
              <w:pStyle w:val="12"/>
            </w:pPr>
            <w:r>
              <w:t>《魏县法制宣传教育领导小组关于在公民开展法治宣传教育的第八个五年规划（2021-2025年》的通知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7、人民调解经费绩效目标表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1.调动人民调解的工作积极性，提高人民调解员工作水平，及时有效地化解矛盾纠纷，维护社会稳定发挥重大作用；全年预计办理人民调解案件500件。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w:t>
            </w:r>
          </w:p>
        </w:tc>
        <w:tc>
          <w:tcPr>
            <w:tcW w:w="2835" w:type="dxa"/>
            <w:vAlign w:val="center"/>
          </w:tcPr>
          <w:p>
            <w:pPr>
              <w:pStyle w:val="12"/>
            </w:pPr>
            <w:r>
              <w:t>人民调解案件调解数量</w:t>
            </w:r>
          </w:p>
        </w:tc>
        <w:tc>
          <w:tcPr>
            <w:tcW w:w="2551" w:type="dxa"/>
            <w:vAlign w:val="center"/>
          </w:tcPr>
          <w:p>
            <w:pPr>
              <w:pStyle w:val="12"/>
            </w:pPr>
            <w:r>
              <w:t>≥500件</w:t>
            </w:r>
          </w:p>
        </w:tc>
        <w:tc>
          <w:tcPr>
            <w:tcW w:w="2268" w:type="dxa"/>
            <w:vAlign w:val="center"/>
          </w:tcPr>
          <w:p>
            <w:pPr>
              <w:pStyle w:val="12"/>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补贴资金发放准确率</w:t>
            </w:r>
          </w:p>
        </w:tc>
        <w:tc>
          <w:tcPr>
            <w:tcW w:w="2835" w:type="dxa"/>
            <w:vAlign w:val="center"/>
          </w:tcPr>
          <w:p>
            <w:pPr>
              <w:pStyle w:val="12"/>
            </w:pPr>
            <w:r>
              <w:t>“以案定补”补贴准确及时发放给人民调解员</w:t>
            </w:r>
          </w:p>
        </w:tc>
        <w:tc>
          <w:tcPr>
            <w:tcW w:w="2551" w:type="dxa"/>
            <w:vAlign w:val="center"/>
          </w:tcPr>
          <w:p>
            <w:pPr>
              <w:pStyle w:val="12"/>
            </w:pPr>
            <w:r>
              <w:t>100%</w:t>
            </w:r>
          </w:p>
        </w:tc>
        <w:tc>
          <w:tcPr>
            <w:tcW w:w="2268" w:type="dxa"/>
            <w:vAlign w:val="center"/>
          </w:tcPr>
          <w:p>
            <w:pPr>
              <w:pStyle w:val="12"/>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矛盾纠纷及时化解率</w:t>
            </w:r>
          </w:p>
        </w:tc>
        <w:tc>
          <w:tcPr>
            <w:tcW w:w="2835" w:type="dxa"/>
            <w:vAlign w:val="center"/>
          </w:tcPr>
          <w:p>
            <w:pPr>
              <w:pStyle w:val="12"/>
            </w:pPr>
            <w:r>
              <w:t>矛盾纠纷案件化解率占矛盾纠纷案件的比例</w:t>
            </w:r>
          </w:p>
        </w:tc>
        <w:tc>
          <w:tcPr>
            <w:tcW w:w="2551" w:type="dxa"/>
            <w:vAlign w:val="center"/>
          </w:tcPr>
          <w:p>
            <w:pPr>
              <w:pStyle w:val="12"/>
            </w:pPr>
            <w:r>
              <w:t>≥95%</w:t>
            </w:r>
          </w:p>
        </w:tc>
        <w:tc>
          <w:tcPr>
            <w:tcW w:w="2268" w:type="dxa"/>
            <w:vAlign w:val="center"/>
          </w:tcPr>
          <w:p>
            <w:pPr>
              <w:pStyle w:val="12"/>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人民调解工作成本</w:t>
            </w:r>
          </w:p>
        </w:tc>
        <w:tc>
          <w:tcPr>
            <w:tcW w:w="2835" w:type="dxa"/>
            <w:vAlign w:val="center"/>
          </w:tcPr>
          <w:p>
            <w:pPr>
              <w:pStyle w:val="12"/>
            </w:pPr>
            <w:r>
              <w:t>开展人民调解工作的支出</w:t>
            </w:r>
          </w:p>
        </w:tc>
        <w:tc>
          <w:tcPr>
            <w:tcW w:w="2551" w:type="dxa"/>
            <w:vAlign w:val="center"/>
          </w:tcPr>
          <w:p>
            <w:pPr>
              <w:pStyle w:val="12"/>
            </w:pPr>
            <w:r>
              <w:t>20万元</w:t>
            </w:r>
          </w:p>
        </w:tc>
        <w:tc>
          <w:tcPr>
            <w:tcW w:w="2268" w:type="dxa"/>
            <w:vAlign w:val="center"/>
          </w:tcPr>
          <w:p>
            <w:pPr>
              <w:pStyle w:val="12"/>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提升公共法律服务水平</w:t>
            </w:r>
          </w:p>
        </w:tc>
        <w:tc>
          <w:tcPr>
            <w:tcW w:w="2835" w:type="dxa"/>
            <w:vAlign w:val="center"/>
          </w:tcPr>
          <w:p>
            <w:pPr>
              <w:pStyle w:val="12"/>
            </w:pPr>
            <w:r>
              <w:t>人民调解员工作水平提升，及 时化解矛盾纠纷</w:t>
            </w:r>
          </w:p>
        </w:tc>
        <w:tc>
          <w:tcPr>
            <w:tcW w:w="2551" w:type="dxa"/>
            <w:vAlign w:val="center"/>
          </w:tcPr>
          <w:p>
            <w:pPr>
              <w:pStyle w:val="12"/>
            </w:pPr>
            <w:r>
              <w:t>持续提升工 作水平</w:t>
            </w:r>
          </w:p>
        </w:tc>
        <w:tc>
          <w:tcPr>
            <w:tcW w:w="2268" w:type="dxa"/>
            <w:vAlign w:val="center"/>
          </w:tcPr>
          <w:p>
            <w:pPr>
              <w:pStyle w:val="12"/>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人民调解工作持续高效 推进</w:t>
            </w:r>
          </w:p>
        </w:tc>
        <w:tc>
          <w:tcPr>
            <w:tcW w:w="2835" w:type="dxa"/>
            <w:vAlign w:val="center"/>
          </w:tcPr>
          <w:p>
            <w:pPr>
              <w:pStyle w:val="12"/>
            </w:pPr>
            <w:r>
              <w:t>人民调解员工作水平不断提 升，更好地维护了社会的和谐 稳定</w:t>
            </w:r>
          </w:p>
        </w:tc>
        <w:tc>
          <w:tcPr>
            <w:tcW w:w="2551" w:type="dxa"/>
            <w:vAlign w:val="center"/>
          </w:tcPr>
          <w:p>
            <w:pPr>
              <w:pStyle w:val="12"/>
            </w:pPr>
            <w:r>
              <w:t>持续提升影 响力</w:t>
            </w:r>
          </w:p>
        </w:tc>
        <w:tc>
          <w:tcPr>
            <w:tcW w:w="2268" w:type="dxa"/>
            <w:vAlign w:val="center"/>
          </w:tcPr>
          <w:p>
            <w:pPr>
              <w:pStyle w:val="12"/>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改革发【2016】2号文《关于创新和加强“大民调”工作的实施意见》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8、社区矫正经费绩效目标表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1.进一步提高教育矫正质量，做细审前调查工作、加强业务培训，加强组织集中教育、社区服务等活动，全年预计办理社区矫正案件200件。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社区矫正人数(人）</w:t>
            </w:r>
          </w:p>
        </w:tc>
        <w:tc>
          <w:tcPr>
            <w:tcW w:w="2835" w:type="dxa"/>
            <w:vAlign w:val="center"/>
          </w:tcPr>
          <w:p>
            <w:pPr>
              <w:pStyle w:val="12"/>
            </w:pPr>
            <w:r>
              <w:t>实际接受社区矫正人数</w:t>
            </w:r>
          </w:p>
        </w:tc>
        <w:tc>
          <w:tcPr>
            <w:tcW w:w="2551" w:type="dxa"/>
            <w:vAlign w:val="center"/>
          </w:tcPr>
          <w:p>
            <w:pPr>
              <w:pStyle w:val="12"/>
            </w:pPr>
            <w:r>
              <w:t>≥300人</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社区矫正执法人员学习时间达标率</w:t>
            </w:r>
          </w:p>
        </w:tc>
        <w:tc>
          <w:tcPr>
            <w:tcW w:w="2835" w:type="dxa"/>
            <w:vAlign w:val="center"/>
          </w:tcPr>
          <w:p>
            <w:pPr>
              <w:pStyle w:val="12"/>
            </w:pPr>
            <w:r>
              <w:t>社区矫正执法人员学习时间达标率</w:t>
            </w:r>
          </w:p>
        </w:tc>
        <w:tc>
          <w:tcPr>
            <w:tcW w:w="2551" w:type="dxa"/>
            <w:vAlign w:val="center"/>
          </w:tcPr>
          <w:p>
            <w:pPr>
              <w:pStyle w:val="12"/>
            </w:pPr>
            <w:r>
              <w:t>100%</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完成调查评估的平均 期限</w:t>
            </w:r>
          </w:p>
        </w:tc>
        <w:tc>
          <w:tcPr>
            <w:tcW w:w="2835" w:type="dxa"/>
            <w:vAlign w:val="center"/>
          </w:tcPr>
          <w:p>
            <w:pPr>
              <w:pStyle w:val="12"/>
            </w:pPr>
            <w:r>
              <w:t>自收到调查评估委托函及所附 材料之日起完成调查评估的平 均期限</w:t>
            </w:r>
          </w:p>
        </w:tc>
        <w:tc>
          <w:tcPr>
            <w:tcW w:w="2551" w:type="dxa"/>
            <w:vAlign w:val="center"/>
          </w:tcPr>
          <w:p>
            <w:pPr>
              <w:pStyle w:val="12"/>
            </w:pPr>
            <w:r>
              <w:t>≤7工作日</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社区矫正工作开展的 成本</w:t>
            </w:r>
          </w:p>
        </w:tc>
        <w:tc>
          <w:tcPr>
            <w:tcW w:w="2835" w:type="dxa"/>
            <w:vAlign w:val="center"/>
          </w:tcPr>
          <w:p>
            <w:pPr>
              <w:pStyle w:val="12"/>
            </w:pPr>
            <w:r>
              <w:t>开展社区矫正工作的支出</w:t>
            </w:r>
          </w:p>
        </w:tc>
        <w:tc>
          <w:tcPr>
            <w:tcW w:w="2551" w:type="dxa"/>
            <w:vAlign w:val="center"/>
          </w:tcPr>
          <w:p>
            <w:pPr>
              <w:pStyle w:val="12"/>
            </w:pPr>
            <w:r>
              <w:t>20万元</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社区矫正对象再犯罪 率</w:t>
            </w:r>
          </w:p>
        </w:tc>
        <w:tc>
          <w:tcPr>
            <w:tcW w:w="2835" w:type="dxa"/>
            <w:vAlign w:val="center"/>
          </w:tcPr>
          <w:p>
            <w:pPr>
              <w:pStyle w:val="12"/>
            </w:pPr>
            <w:r>
              <w:t>本年度社区矫正对象再犯罪人 数与列管人数之比</w:t>
            </w:r>
          </w:p>
        </w:tc>
        <w:tc>
          <w:tcPr>
            <w:tcW w:w="2551" w:type="dxa"/>
            <w:vAlign w:val="center"/>
          </w:tcPr>
          <w:p>
            <w:pPr>
              <w:pStyle w:val="12"/>
            </w:pPr>
            <w:r>
              <w:t>≤0.2%</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提高教育矫正质量</w:t>
            </w:r>
          </w:p>
        </w:tc>
        <w:tc>
          <w:tcPr>
            <w:tcW w:w="2835" w:type="dxa"/>
            <w:vAlign w:val="center"/>
          </w:tcPr>
          <w:p>
            <w:pPr>
              <w:pStyle w:val="12"/>
            </w:pPr>
            <w:r>
              <w:t>进一步提高教育矫正质量，预防和减少社区矫正对象脱管、漏管和重新犯罪。</w:t>
            </w:r>
          </w:p>
        </w:tc>
        <w:tc>
          <w:tcPr>
            <w:tcW w:w="2551" w:type="dxa"/>
            <w:vAlign w:val="center"/>
          </w:tcPr>
          <w:p>
            <w:pPr>
              <w:pStyle w:val="12"/>
            </w:pPr>
            <w:r>
              <w:t>持续提升矫 正质量</w:t>
            </w:r>
          </w:p>
        </w:tc>
        <w:tc>
          <w:tcPr>
            <w:tcW w:w="2268" w:type="dxa"/>
            <w:vAlign w:val="center"/>
          </w:tcPr>
          <w:p>
            <w:pPr>
              <w:pStyle w:val="12"/>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《中华人民共和国社区矫正法》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9、衔接刑满释放人员假释和监外执行人员管理经费绩效目标表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1.安置帮教人员占刑满释放、假释人员总人数90%，减少再犯罪比例，使其降低至0.2%。</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安置帮教人数</w:t>
            </w:r>
          </w:p>
        </w:tc>
        <w:tc>
          <w:tcPr>
            <w:tcW w:w="2835" w:type="dxa"/>
            <w:vAlign w:val="center"/>
          </w:tcPr>
          <w:p>
            <w:pPr>
              <w:pStyle w:val="12"/>
            </w:pPr>
            <w:r>
              <w:t>全县安置帮教人数</w:t>
            </w:r>
          </w:p>
        </w:tc>
        <w:tc>
          <w:tcPr>
            <w:tcW w:w="2551" w:type="dxa"/>
            <w:vAlign w:val="center"/>
          </w:tcPr>
          <w:p>
            <w:pPr>
              <w:pStyle w:val="12"/>
            </w:pPr>
            <w:r>
              <w:t>≥200人</w:t>
            </w:r>
          </w:p>
        </w:tc>
        <w:tc>
          <w:tcPr>
            <w:tcW w:w="2268" w:type="dxa"/>
            <w:vAlign w:val="center"/>
          </w:tcPr>
          <w:p>
            <w:pPr>
              <w:pStyle w:val="12"/>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安置帮教人员再犯罪 率</w:t>
            </w:r>
          </w:p>
        </w:tc>
        <w:tc>
          <w:tcPr>
            <w:tcW w:w="2835" w:type="dxa"/>
            <w:vAlign w:val="center"/>
          </w:tcPr>
          <w:p>
            <w:pPr>
              <w:pStyle w:val="12"/>
            </w:pPr>
            <w:r>
              <w:t>安置帮教人员再犯罪 率</w:t>
            </w:r>
          </w:p>
        </w:tc>
        <w:tc>
          <w:tcPr>
            <w:tcW w:w="2551" w:type="dxa"/>
            <w:vAlign w:val="center"/>
          </w:tcPr>
          <w:p>
            <w:pPr>
              <w:pStyle w:val="12"/>
            </w:pPr>
            <w:r>
              <w:t>≤0.2%</w:t>
            </w:r>
          </w:p>
        </w:tc>
        <w:tc>
          <w:tcPr>
            <w:tcW w:w="2268" w:type="dxa"/>
            <w:vAlign w:val="center"/>
          </w:tcPr>
          <w:p>
            <w:pPr>
              <w:pStyle w:val="12"/>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安置帮教工作的进度</w:t>
            </w:r>
          </w:p>
        </w:tc>
        <w:tc>
          <w:tcPr>
            <w:tcW w:w="2835" w:type="dxa"/>
            <w:vAlign w:val="center"/>
          </w:tcPr>
          <w:p>
            <w:pPr>
              <w:pStyle w:val="12"/>
            </w:pPr>
            <w:r>
              <w:t>各项安置帮教在规定期限 达到对应的工作进度</w:t>
            </w:r>
          </w:p>
        </w:tc>
        <w:tc>
          <w:tcPr>
            <w:tcW w:w="2551" w:type="dxa"/>
            <w:vAlign w:val="center"/>
          </w:tcPr>
          <w:p>
            <w:pPr>
              <w:pStyle w:val="12"/>
            </w:pPr>
            <w:r>
              <w:t>≥90%</w:t>
            </w:r>
          </w:p>
        </w:tc>
        <w:tc>
          <w:tcPr>
            <w:tcW w:w="2268" w:type="dxa"/>
            <w:vAlign w:val="center"/>
          </w:tcPr>
          <w:p>
            <w:pPr>
              <w:pStyle w:val="12"/>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安置帮教工作开展的 成本</w:t>
            </w:r>
          </w:p>
        </w:tc>
        <w:tc>
          <w:tcPr>
            <w:tcW w:w="2835" w:type="dxa"/>
            <w:vAlign w:val="center"/>
          </w:tcPr>
          <w:p>
            <w:pPr>
              <w:pStyle w:val="12"/>
            </w:pPr>
            <w:r>
              <w:t>开展安置帮教工作的支出</w:t>
            </w:r>
          </w:p>
        </w:tc>
        <w:tc>
          <w:tcPr>
            <w:tcW w:w="2551" w:type="dxa"/>
            <w:vAlign w:val="center"/>
          </w:tcPr>
          <w:p>
            <w:pPr>
              <w:pStyle w:val="12"/>
            </w:pPr>
            <w:r>
              <w:t>10万元</w:t>
            </w:r>
          </w:p>
        </w:tc>
        <w:tc>
          <w:tcPr>
            <w:tcW w:w="2268" w:type="dxa"/>
            <w:vAlign w:val="center"/>
          </w:tcPr>
          <w:p>
            <w:pPr>
              <w:pStyle w:val="12"/>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安置帮教率(%)</w:t>
            </w:r>
          </w:p>
        </w:tc>
        <w:tc>
          <w:tcPr>
            <w:tcW w:w="2835" w:type="dxa"/>
            <w:vAlign w:val="center"/>
          </w:tcPr>
          <w:p>
            <w:pPr>
              <w:pStyle w:val="12"/>
            </w:pPr>
            <w:r>
              <w:t>安置帮教扶助、教育和管理率占比需安置帮教人数</w:t>
            </w:r>
          </w:p>
        </w:tc>
        <w:tc>
          <w:tcPr>
            <w:tcW w:w="2551" w:type="dxa"/>
            <w:vAlign w:val="center"/>
          </w:tcPr>
          <w:p>
            <w:pPr>
              <w:pStyle w:val="12"/>
            </w:pPr>
            <w:r>
              <w:t>≥90%</w:t>
            </w:r>
          </w:p>
        </w:tc>
        <w:tc>
          <w:tcPr>
            <w:tcW w:w="2268" w:type="dxa"/>
            <w:vAlign w:val="center"/>
          </w:tcPr>
          <w:p>
            <w:pPr>
              <w:pStyle w:val="12"/>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提升安置帮教效果</w:t>
            </w:r>
          </w:p>
        </w:tc>
        <w:tc>
          <w:tcPr>
            <w:tcW w:w="2835" w:type="dxa"/>
            <w:vAlign w:val="center"/>
          </w:tcPr>
          <w:p>
            <w:pPr>
              <w:pStyle w:val="12"/>
            </w:pPr>
            <w:r>
              <w:t>对安置帮教人员进行及时引导、扶助、教育，减少重新犯罪，维护社会稳定</w:t>
            </w:r>
          </w:p>
        </w:tc>
        <w:tc>
          <w:tcPr>
            <w:tcW w:w="2551" w:type="dxa"/>
            <w:vAlign w:val="center"/>
          </w:tcPr>
          <w:p>
            <w:pPr>
              <w:pStyle w:val="12"/>
            </w:pPr>
            <w:r>
              <w:t>持续提升 帮教成效</w:t>
            </w:r>
          </w:p>
        </w:tc>
        <w:tc>
          <w:tcPr>
            <w:tcW w:w="2268" w:type="dxa"/>
            <w:vAlign w:val="center"/>
          </w:tcPr>
          <w:p>
            <w:pPr>
              <w:pStyle w:val="12"/>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安置帮教对象满意度</w:t>
            </w:r>
          </w:p>
        </w:tc>
        <w:tc>
          <w:tcPr>
            <w:tcW w:w="2835" w:type="dxa"/>
            <w:vAlign w:val="center"/>
          </w:tcPr>
          <w:p>
            <w:pPr>
              <w:pStyle w:val="12"/>
            </w:pPr>
            <w:r>
              <w:t>安置帮教对象满意度</w:t>
            </w:r>
          </w:p>
        </w:tc>
        <w:tc>
          <w:tcPr>
            <w:tcW w:w="2551" w:type="dxa"/>
            <w:vAlign w:val="center"/>
          </w:tcPr>
          <w:p>
            <w:pPr>
              <w:pStyle w:val="12"/>
            </w:pPr>
            <w:r>
              <w:t>≥95%</w:t>
            </w:r>
          </w:p>
        </w:tc>
        <w:tc>
          <w:tcPr>
            <w:tcW w:w="2268" w:type="dxa"/>
            <w:vAlign w:val="center"/>
          </w:tcPr>
          <w:p>
            <w:pPr>
              <w:pStyle w:val="12"/>
            </w:pPr>
            <w:r>
              <w:t>《河北省安置帮教刑满释放、解除劳动教养管理条例》</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2023年，魏县司法局安排政府采购预算0.00万元。具体内容见下表。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315魏县司法局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魏县司法局（含所属单位）上年末固定资产金额为0.00万元（详见下表）。本年度拟购置固定资产总额为0.00万元，已按要求列入政府采购预算，详见政府采购预算表。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315魏县司法局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Q2NzdlMjA5ZGZhYzJkMGM5MWJiYmE5MDE3ZWRmODIifQ=="/>
  </w:docVars>
  <w:rsids>
    <w:rsidRoot w:val="00D65A01"/>
    <w:rsid w:val="00213715"/>
    <w:rsid w:val="00493943"/>
    <w:rsid w:val="00865746"/>
    <w:rsid w:val="00A40CE9"/>
    <w:rsid w:val="00C130AA"/>
    <w:rsid w:val="00D65A01"/>
    <w:rsid w:val="04D45E98"/>
    <w:rsid w:val="24F77511"/>
    <w:rsid w:val="6DF9AC7A"/>
    <w:rsid w:val="EFF3B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22413</Words>
  <Characters>26293</Characters>
  <Lines>233</Lines>
  <Paragraphs>65</Paragraphs>
  <TotalTime>4</TotalTime>
  <ScaleCrop>false</ScaleCrop>
  <LinksUpToDate>false</LinksUpToDate>
  <CharactersWithSpaces>26717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2023-02-26T08:24:00Z</dcterms:created>
  <dc:creator>Administrator</dc:creator>
  <cp:lastModifiedBy>wxak</cp:lastModifiedBy>
  <dcterms:modified xsi:type="dcterms:W3CDTF">2024-06-22T09:10:04Z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BB634C612CD64A46920AADDCC83B5C19</vt:lpwstr>
  </property>
</Properties>
</file>