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bookmarkStart w:id="2" w:name="_GoBack"/>
      <w:bookmarkEnd w:id="2"/>
    </w:p>
    <w:p>
      <w:pPr>
        <w:jc w:val="center"/>
        <w:rPr>
          <w:rFonts w:hint="eastAsia"/>
          <w:sz w:val="44"/>
          <w:szCs w:val="44"/>
          <w:lang w:eastAsia="zh-CN"/>
        </w:rPr>
      </w:pPr>
      <w:r>
        <w:rPr>
          <w:rFonts w:ascii="黑体" w:hAnsi="黑体" w:eastAsia="黑体" w:cs="黑体"/>
          <w:b/>
          <w:color w:val="000000"/>
          <w:sz w:val="44"/>
          <w:szCs w:val="44"/>
        </w:rPr>
        <w:t>部门所属单位预算</w:t>
      </w:r>
      <w:r>
        <w:rPr>
          <w:rFonts w:hint="eastAsia" w:ascii="黑体" w:hAnsi="黑体" w:eastAsia="黑体" w:cs="黑体"/>
          <w:b/>
          <w:color w:val="000000"/>
          <w:sz w:val="44"/>
          <w:szCs w:val="44"/>
          <w:lang w:eastAsia="zh-CN"/>
        </w:rPr>
        <w:t>公开目录</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一、魏县市场监督管理局本级收支预算</w:t>
      </w:r>
      <w:r>
        <w:tab/>
      </w:r>
      <w:r>
        <w:rPr>
          <w:rFonts w:hint="eastAsia"/>
          <w:lang w:eastAsia="zh-CN"/>
        </w:rPr>
        <w:t>2</w:t>
      </w:r>
      <w:r>
        <w:rPr>
          <w:rFonts w:hint="eastAsia"/>
          <w:lang w:eastAsia="zh-CN"/>
        </w:rPr>
        <w:fldChar w:fldCharType="end"/>
      </w:r>
    </w:p>
    <w:p>
      <w:pPr>
        <w:pStyle w:val="32"/>
        <w:tabs>
          <w:tab w:val="right" w:leader="dot" w:pos="14562"/>
        </w:tabs>
        <w:rPr>
          <w:rFonts w:hint="default"/>
          <w:lang w:val="en-US"/>
        </w:rPr>
      </w:pPr>
      <w:r>
        <w:fldChar w:fldCharType="begin"/>
      </w:r>
      <w:r>
        <w:instrText xml:space="preserve"> HYPERLINK \l "_Toc_4_4_0000000020" </w:instrText>
      </w:r>
      <w:r>
        <w:fldChar w:fldCharType="separate"/>
      </w:r>
      <w:r>
        <w:t>二、魏县市场监督管理局（差额）收支预算</w:t>
      </w:r>
      <w:r>
        <w:tab/>
      </w:r>
      <w:r>
        <w:rPr>
          <w:rFonts w:hint="eastAsia"/>
          <w:lang w:val="en-US" w:eastAsia="zh-CN"/>
        </w:rPr>
        <w:t>4</w:t>
      </w:r>
      <w:r>
        <w:rPr>
          <w:rFonts w:hint="eastAsia"/>
          <w:lang w:eastAsia="zh-CN"/>
        </w:rP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一、魏县市场监督管理局本级收支预算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414001魏县市场监督管理局本级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3086.50</w:t>
            </w:r>
          </w:p>
        </w:tc>
        <w:tc>
          <w:tcPr>
            <w:tcW w:w="4535" w:type="dxa"/>
            <w:vAlign w:val="center"/>
          </w:tcPr>
          <w:p>
            <w:pPr>
              <w:pStyle w:val="12"/>
            </w:pPr>
            <w:r>
              <w:t>一、一般公共服务支出</w:t>
            </w:r>
          </w:p>
        </w:tc>
        <w:tc>
          <w:tcPr>
            <w:tcW w:w="2126" w:type="dxa"/>
            <w:vAlign w:val="center"/>
          </w:tcPr>
          <w:p>
            <w:pPr>
              <w:pStyle w:val="11"/>
            </w:pPr>
            <w:r>
              <w:t>2958.02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3086.50</w:t>
            </w:r>
          </w:p>
        </w:tc>
        <w:tc>
          <w:tcPr>
            <w:tcW w:w="4535" w:type="dxa"/>
            <w:vAlign w:val="center"/>
          </w:tcPr>
          <w:p>
            <w:pPr>
              <w:pStyle w:val="14"/>
            </w:pPr>
            <w:r>
              <w:t>本年支出合计</w:t>
            </w:r>
          </w:p>
        </w:tc>
        <w:tc>
          <w:tcPr>
            <w:tcW w:w="2126" w:type="dxa"/>
            <w:vAlign w:val="center"/>
          </w:tcPr>
          <w:p>
            <w:pPr>
              <w:pStyle w:val="15"/>
            </w:pPr>
            <w:r>
              <w:t>3086.50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3086.50</w:t>
            </w:r>
          </w:p>
        </w:tc>
        <w:tc>
          <w:tcPr>
            <w:tcW w:w="4535" w:type="dxa"/>
            <w:vAlign w:val="center"/>
          </w:tcPr>
          <w:p>
            <w:pPr>
              <w:pStyle w:val="14"/>
            </w:pPr>
            <w:r>
              <w:t>支出总计</w:t>
            </w:r>
          </w:p>
        </w:tc>
        <w:tc>
          <w:tcPr>
            <w:tcW w:w="2126" w:type="dxa"/>
            <w:vAlign w:val="center"/>
          </w:tcPr>
          <w:p>
            <w:pPr>
              <w:pStyle w:val="15"/>
            </w:pPr>
            <w:r>
              <w:t>3086.50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414001魏县市场监督管理局本级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3086.50</w:t>
            </w:r>
          </w:p>
        </w:tc>
        <w:tc>
          <w:tcPr>
            <w:tcW w:w="1134" w:type="dxa"/>
            <w:vAlign w:val="center"/>
          </w:tcPr>
          <w:p>
            <w:pPr>
              <w:pStyle w:val="15"/>
            </w:pPr>
            <w:r>
              <w:t>3086.50</w:t>
            </w:r>
          </w:p>
        </w:tc>
        <w:tc>
          <w:tcPr>
            <w:tcW w:w="1134" w:type="dxa"/>
            <w:vAlign w:val="center"/>
          </w:tcPr>
          <w:p>
            <w:pPr>
              <w:pStyle w:val="15"/>
            </w:pPr>
            <w:r>
              <w:t>3086.50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2958.02</w:t>
            </w:r>
          </w:p>
        </w:tc>
        <w:tc>
          <w:tcPr>
            <w:tcW w:w="1134" w:type="dxa"/>
            <w:vAlign w:val="center"/>
          </w:tcPr>
          <w:p>
            <w:pPr>
              <w:pStyle w:val="11"/>
            </w:pPr>
            <w:r>
              <w:t>2958.02</w:t>
            </w:r>
          </w:p>
        </w:tc>
        <w:tc>
          <w:tcPr>
            <w:tcW w:w="1134" w:type="dxa"/>
            <w:vAlign w:val="center"/>
          </w:tcPr>
          <w:p>
            <w:pPr>
              <w:pStyle w:val="11"/>
            </w:pPr>
            <w:r>
              <w:t>2958.02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2958.02</w:t>
            </w:r>
          </w:p>
        </w:tc>
        <w:tc>
          <w:tcPr>
            <w:tcW w:w="1134" w:type="dxa"/>
            <w:vAlign w:val="center"/>
          </w:tcPr>
          <w:p>
            <w:pPr>
              <w:pStyle w:val="11"/>
            </w:pPr>
            <w:r>
              <w:t>2958.02</w:t>
            </w:r>
          </w:p>
        </w:tc>
        <w:tc>
          <w:tcPr>
            <w:tcW w:w="1134" w:type="dxa"/>
            <w:vAlign w:val="center"/>
          </w:tcPr>
          <w:p>
            <w:pPr>
              <w:pStyle w:val="11"/>
            </w:pPr>
            <w:r>
              <w:t>2958.02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2599.62</w:t>
            </w:r>
          </w:p>
        </w:tc>
        <w:tc>
          <w:tcPr>
            <w:tcW w:w="1134" w:type="dxa"/>
            <w:vAlign w:val="center"/>
          </w:tcPr>
          <w:p>
            <w:pPr>
              <w:pStyle w:val="11"/>
            </w:pPr>
            <w:r>
              <w:t>2599.62</w:t>
            </w:r>
          </w:p>
        </w:tc>
        <w:tc>
          <w:tcPr>
            <w:tcW w:w="1134" w:type="dxa"/>
            <w:vAlign w:val="center"/>
          </w:tcPr>
          <w:p>
            <w:pPr>
              <w:pStyle w:val="11"/>
            </w:pPr>
            <w:r>
              <w:t>2599.62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2013804</w:t>
            </w:r>
          </w:p>
        </w:tc>
        <w:tc>
          <w:tcPr>
            <w:tcW w:w="1559" w:type="dxa"/>
            <w:vAlign w:val="center"/>
          </w:tcPr>
          <w:p>
            <w:pPr>
              <w:pStyle w:val="12"/>
            </w:pPr>
            <w:r>
              <w:t>市场主体管理</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2013812</w:t>
            </w:r>
          </w:p>
        </w:tc>
        <w:tc>
          <w:tcPr>
            <w:tcW w:w="1559" w:type="dxa"/>
            <w:vAlign w:val="center"/>
          </w:tcPr>
          <w:p>
            <w:pPr>
              <w:pStyle w:val="12"/>
            </w:pPr>
            <w:r>
              <w:t>药品事务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2013813</w:t>
            </w:r>
          </w:p>
        </w:tc>
        <w:tc>
          <w:tcPr>
            <w:tcW w:w="1559" w:type="dxa"/>
            <w:vAlign w:val="center"/>
          </w:tcPr>
          <w:p>
            <w:pPr>
              <w:pStyle w:val="12"/>
            </w:pPr>
            <w:r>
              <w:t>医疗器械事务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2013815</w:t>
            </w:r>
          </w:p>
        </w:tc>
        <w:tc>
          <w:tcPr>
            <w:tcW w:w="1559" w:type="dxa"/>
            <w:vAlign w:val="center"/>
          </w:tcPr>
          <w:p>
            <w:pPr>
              <w:pStyle w:val="12"/>
            </w:pPr>
            <w:r>
              <w:t>质量安全监管</w:t>
            </w:r>
          </w:p>
        </w:tc>
        <w:tc>
          <w:tcPr>
            <w:tcW w:w="1134" w:type="dxa"/>
            <w:vAlign w:val="center"/>
          </w:tcPr>
          <w:p>
            <w:pPr>
              <w:pStyle w:val="11"/>
            </w:pPr>
            <w:r>
              <w:t>69.40</w:t>
            </w:r>
          </w:p>
        </w:tc>
        <w:tc>
          <w:tcPr>
            <w:tcW w:w="1134" w:type="dxa"/>
            <w:vAlign w:val="center"/>
          </w:tcPr>
          <w:p>
            <w:pPr>
              <w:pStyle w:val="11"/>
            </w:pPr>
            <w:r>
              <w:t>69.40</w:t>
            </w:r>
          </w:p>
        </w:tc>
        <w:tc>
          <w:tcPr>
            <w:tcW w:w="1134" w:type="dxa"/>
            <w:vAlign w:val="center"/>
          </w:tcPr>
          <w:p>
            <w:pPr>
              <w:pStyle w:val="11"/>
            </w:pPr>
            <w:r>
              <w:t>69.40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2013816</w:t>
            </w:r>
          </w:p>
        </w:tc>
        <w:tc>
          <w:tcPr>
            <w:tcW w:w="1559" w:type="dxa"/>
            <w:vAlign w:val="center"/>
          </w:tcPr>
          <w:p>
            <w:pPr>
              <w:pStyle w:val="12"/>
            </w:pPr>
            <w:r>
              <w:t>食品安全监管</w:t>
            </w:r>
          </w:p>
        </w:tc>
        <w:tc>
          <w:tcPr>
            <w:tcW w:w="1134" w:type="dxa"/>
            <w:vAlign w:val="center"/>
          </w:tcPr>
          <w:p>
            <w:pPr>
              <w:pStyle w:val="11"/>
            </w:pPr>
            <w:r>
              <w:t>236.00</w:t>
            </w:r>
          </w:p>
        </w:tc>
        <w:tc>
          <w:tcPr>
            <w:tcW w:w="1134" w:type="dxa"/>
            <w:vAlign w:val="center"/>
          </w:tcPr>
          <w:p>
            <w:pPr>
              <w:pStyle w:val="11"/>
            </w:pPr>
            <w:r>
              <w:t>236.00</w:t>
            </w:r>
          </w:p>
        </w:tc>
        <w:tc>
          <w:tcPr>
            <w:tcW w:w="1134" w:type="dxa"/>
            <w:vAlign w:val="center"/>
          </w:tcPr>
          <w:p>
            <w:pPr>
              <w:pStyle w:val="11"/>
            </w:pPr>
            <w:r>
              <w:t>236.00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68.65</w:t>
            </w:r>
          </w:p>
        </w:tc>
        <w:tc>
          <w:tcPr>
            <w:tcW w:w="1134" w:type="dxa"/>
            <w:vAlign w:val="center"/>
          </w:tcPr>
          <w:p>
            <w:pPr>
              <w:pStyle w:val="11"/>
            </w:pPr>
            <w:r>
              <w:t>68.65</w:t>
            </w:r>
          </w:p>
        </w:tc>
        <w:tc>
          <w:tcPr>
            <w:tcW w:w="1134" w:type="dxa"/>
            <w:vAlign w:val="center"/>
          </w:tcPr>
          <w:p>
            <w:pPr>
              <w:pStyle w:val="11"/>
            </w:pPr>
            <w:r>
              <w:t>68.65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68.65</w:t>
            </w:r>
          </w:p>
        </w:tc>
        <w:tc>
          <w:tcPr>
            <w:tcW w:w="1134" w:type="dxa"/>
            <w:vAlign w:val="center"/>
          </w:tcPr>
          <w:p>
            <w:pPr>
              <w:pStyle w:val="11"/>
            </w:pPr>
            <w:r>
              <w:t>68.65</w:t>
            </w:r>
          </w:p>
        </w:tc>
        <w:tc>
          <w:tcPr>
            <w:tcW w:w="1134" w:type="dxa"/>
            <w:vAlign w:val="center"/>
          </w:tcPr>
          <w:p>
            <w:pPr>
              <w:pStyle w:val="11"/>
            </w:pPr>
            <w:r>
              <w:t>68.65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68.65</w:t>
            </w:r>
          </w:p>
        </w:tc>
        <w:tc>
          <w:tcPr>
            <w:tcW w:w="1134" w:type="dxa"/>
            <w:vAlign w:val="center"/>
          </w:tcPr>
          <w:p>
            <w:pPr>
              <w:pStyle w:val="11"/>
            </w:pPr>
            <w:r>
              <w:t>68.65</w:t>
            </w:r>
          </w:p>
        </w:tc>
        <w:tc>
          <w:tcPr>
            <w:tcW w:w="1134" w:type="dxa"/>
            <w:vAlign w:val="center"/>
          </w:tcPr>
          <w:p>
            <w:pPr>
              <w:pStyle w:val="11"/>
            </w:pPr>
            <w:r>
              <w:t>68.65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59.83</w:t>
            </w:r>
          </w:p>
        </w:tc>
        <w:tc>
          <w:tcPr>
            <w:tcW w:w="1134" w:type="dxa"/>
            <w:vAlign w:val="center"/>
          </w:tcPr>
          <w:p>
            <w:pPr>
              <w:pStyle w:val="11"/>
            </w:pPr>
            <w:r>
              <w:t>59.83</w:t>
            </w:r>
          </w:p>
        </w:tc>
        <w:tc>
          <w:tcPr>
            <w:tcW w:w="1134" w:type="dxa"/>
            <w:vAlign w:val="center"/>
          </w:tcPr>
          <w:p>
            <w:pPr>
              <w:pStyle w:val="11"/>
            </w:pPr>
            <w:r>
              <w:t>59.83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59.83</w:t>
            </w:r>
          </w:p>
        </w:tc>
        <w:tc>
          <w:tcPr>
            <w:tcW w:w="1134" w:type="dxa"/>
            <w:vAlign w:val="center"/>
          </w:tcPr>
          <w:p>
            <w:pPr>
              <w:pStyle w:val="11"/>
            </w:pPr>
            <w:r>
              <w:t>59.83</w:t>
            </w:r>
          </w:p>
        </w:tc>
        <w:tc>
          <w:tcPr>
            <w:tcW w:w="1134" w:type="dxa"/>
            <w:vAlign w:val="center"/>
          </w:tcPr>
          <w:p>
            <w:pPr>
              <w:pStyle w:val="11"/>
            </w:pPr>
            <w:r>
              <w:t>59.83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59.83</w:t>
            </w:r>
          </w:p>
        </w:tc>
        <w:tc>
          <w:tcPr>
            <w:tcW w:w="1134" w:type="dxa"/>
            <w:vAlign w:val="center"/>
          </w:tcPr>
          <w:p>
            <w:pPr>
              <w:pStyle w:val="11"/>
            </w:pPr>
            <w:r>
              <w:t>59.83</w:t>
            </w:r>
          </w:p>
        </w:tc>
        <w:tc>
          <w:tcPr>
            <w:tcW w:w="1134" w:type="dxa"/>
            <w:vAlign w:val="center"/>
          </w:tcPr>
          <w:p>
            <w:pPr>
              <w:pStyle w:val="11"/>
            </w:pPr>
            <w:r>
              <w:t>59.83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414001魏县市场监督管理局本级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3086.50</w:t>
            </w:r>
          </w:p>
        </w:tc>
        <w:tc>
          <w:tcPr>
            <w:tcW w:w="1361" w:type="dxa"/>
            <w:vAlign w:val="center"/>
          </w:tcPr>
          <w:p>
            <w:pPr>
              <w:pStyle w:val="15"/>
            </w:pPr>
            <w:r>
              <w:t>2728.10</w:t>
            </w:r>
          </w:p>
        </w:tc>
        <w:tc>
          <w:tcPr>
            <w:tcW w:w="1361" w:type="dxa"/>
            <w:vAlign w:val="center"/>
          </w:tcPr>
          <w:p>
            <w:pPr>
              <w:pStyle w:val="15"/>
            </w:pPr>
            <w:r>
              <w:t>358.40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2958.02</w:t>
            </w:r>
          </w:p>
        </w:tc>
        <w:tc>
          <w:tcPr>
            <w:tcW w:w="1361" w:type="dxa"/>
            <w:vAlign w:val="center"/>
          </w:tcPr>
          <w:p>
            <w:pPr>
              <w:pStyle w:val="11"/>
            </w:pPr>
            <w:r>
              <w:t>2599.62</w:t>
            </w:r>
          </w:p>
        </w:tc>
        <w:tc>
          <w:tcPr>
            <w:tcW w:w="1361" w:type="dxa"/>
            <w:vAlign w:val="center"/>
          </w:tcPr>
          <w:p>
            <w:pPr>
              <w:pStyle w:val="11"/>
            </w:pPr>
            <w:r>
              <w:t>358.40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2958.02</w:t>
            </w:r>
          </w:p>
        </w:tc>
        <w:tc>
          <w:tcPr>
            <w:tcW w:w="1361" w:type="dxa"/>
            <w:vAlign w:val="center"/>
          </w:tcPr>
          <w:p>
            <w:pPr>
              <w:pStyle w:val="11"/>
            </w:pPr>
            <w:r>
              <w:t>2599.62</w:t>
            </w:r>
          </w:p>
        </w:tc>
        <w:tc>
          <w:tcPr>
            <w:tcW w:w="1361" w:type="dxa"/>
            <w:vAlign w:val="center"/>
          </w:tcPr>
          <w:p>
            <w:pPr>
              <w:pStyle w:val="11"/>
            </w:pPr>
            <w:r>
              <w:t>358.40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2599.62</w:t>
            </w:r>
          </w:p>
        </w:tc>
        <w:tc>
          <w:tcPr>
            <w:tcW w:w="1361" w:type="dxa"/>
            <w:vAlign w:val="center"/>
          </w:tcPr>
          <w:p>
            <w:pPr>
              <w:pStyle w:val="11"/>
            </w:pPr>
            <w:r>
              <w:t>2599.62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2013804</w:t>
            </w:r>
          </w:p>
        </w:tc>
        <w:tc>
          <w:tcPr>
            <w:tcW w:w="4535" w:type="dxa"/>
            <w:vAlign w:val="center"/>
          </w:tcPr>
          <w:p>
            <w:pPr>
              <w:pStyle w:val="12"/>
            </w:pPr>
            <w:r>
              <w:t>市场主体管理</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2013812</w:t>
            </w:r>
          </w:p>
        </w:tc>
        <w:tc>
          <w:tcPr>
            <w:tcW w:w="4535" w:type="dxa"/>
            <w:vAlign w:val="center"/>
          </w:tcPr>
          <w:p>
            <w:pPr>
              <w:pStyle w:val="12"/>
            </w:pPr>
            <w:r>
              <w:t>药品事务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2013813</w:t>
            </w:r>
          </w:p>
        </w:tc>
        <w:tc>
          <w:tcPr>
            <w:tcW w:w="4535" w:type="dxa"/>
            <w:vAlign w:val="center"/>
          </w:tcPr>
          <w:p>
            <w:pPr>
              <w:pStyle w:val="12"/>
            </w:pPr>
            <w:r>
              <w:t>医疗器械事务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2013815</w:t>
            </w:r>
          </w:p>
        </w:tc>
        <w:tc>
          <w:tcPr>
            <w:tcW w:w="4535" w:type="dxa"/>
            <w:vAlign w:val="center"/>
          </w:tcPr>
          <w:p>
            <w:pPr>
              <w:pStyle w:val="12"/>
            </w:pPr>
            <w:r>
              <w:t>质量安全监管</w:t>
            </w:r>
          </w:p>
        </w:tc>
        <w:tc>
          <w:tcPr>
            <w:tcW w:w="1361" w:type="dxa"/>
            <w:vAlign w:val="center"/>
          </w:tcPr>
          <w:p>
            <w:pPr>
              <w:pStyle w:val="11"/>
            </w:pPr>
            <w:r>
              <w:t>69.40</w:t>
            </w:r>
          </w:p>
        </w:tc>
        <w:tc>
          <w:tcPr>
            <w:tcW w:w="1361" w:type="dxa"/>
            <w:vAlign w:val="center"/>
          </w:tcPr>
          <w:p>
            <w:pPr>
              <w:pStyle w:val="11"/>
            </w:pPr>
          </w:p>
        </w:tc>
        <w:tc>
          <w:tcPr>
            <w:tcW w:w="1361" w:type="dxa"/>
            <w:vAlign w:val="center"/>
          </w:tcPr>
          <w:p>
            <w:pPr>
              <w:pStyle w:val="11"/>
            </w:pPr>
            <w:r>
              <w:t>69.40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2013816</w:t>
            </w:r>
          </w:p>
        </w:tc>
        <w:tc>
          <w:tcPr>
            <w:tcW w:w="4535" w:type="dxa"/>
            <w:vAlign w:val="center"/>
          </w:tcPr>
          <w:p>
            <w:pPr>
              <w:pStyle w:val="12"/>
            </w:pPr>
            <w:r>
              <w:t>食品安全监管</w:t>
            </w:r>
          </w:p>
        </w:tc>
        <w:tc>
          <w:tcPr>
            <w:tcW w:w="1361" w:type="dxa"/>
            <w:vAlign w:val="center"/>
          </w:tcPr>
          <w:p>
            <w:pPr>
              <w:pStyle w:val="11"/>
            </w:pPr>
            <w:r>
              <w:t>236.00</w:t>
            </w:r>
          </w:p>
        </w:tc>
        <w:tc>
          <w:tcPr>
            <w:tcW w:w="1361" w:type="dxa"/>
            <w:vAlign w:val="center"/>
          </w:tcPr>
          <w:p>
            <w:pPr>
              <w:pStyle w:val="11"/>
            </w:pPr>
          </w:p>
        </w:tc>
        <w:tc>
          <w:tcPr>
            <w:tcW w:w="1361" w:type="dxa"/>
            <w:vAlign w:val="center"/>
          </w:tcPr>
          <w:p>
            <w:pPr>
              <w:pStyle w:val="11"/>
            </w:pPr>
            <w:r>
              <w:t>236.00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68.65</w:t>
            </w:r>
          </w:p>
        </w:tc>
        <w:tc>
          <w:tcPr>
            <w:tcW w:w="1361" w:type="dxa"/>
            <w:vAlign w:val="center"/>
          </w:tcPr>
          <w:p>
            <w:pPr>
              <w:pStyle w:val="11"/>
            </w:pPr>
            <w:r>
              <w:t>68.65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68.65</w:t>
            </w:r>
          </w:p>
        </w:tc>
        <w:tc>
          <w:tcPr>
            <w:tcW w:w="1361" w:type="dxa"/>
            <w:vAlign w:val="center"/>
          </w:tcPr>
          <w:p>
            <w:pPr>
              <w:pStyle w:val="11"/>
            </w:pPr>
            <w:r>
              <w:t>68.65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68.65</w:t>
            </w:r>
          </w:p>
        </w:tc>
        <w:tc>
          <w:tcPr>
            <w:tcW w:w="1361" w:type="dxa"/>
            <w:vAlign w:val="center"/>
          </w:tcPr>
          <w:p>
            <w:pPr>
              <w:pStyle w:val="11"/>
            </w:pPr>
            <w:r>
              <w:t>68.65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59.83</w:t>
            </w:r>
          </w:p>
        </w:tc>
        <w:tc>
          <w:tcPr>
            <w:tcW w:w="1361" w:type="dxa"/>
            <w:vAlign w:val="center"/>
          </w:tcPr>
          <w:p>
            <w:pPr>
              <w:pStyle w:val="11"/>
            </w:pPr>
            <w:r>
              <w:t>59.83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59.83</w:t>
            </w:r>
          </w:p>
        </w:tc>
        <w:tc>
          <w:tcPr>
            <w:tcW w:w="1361" w:type="dxa"/>
            <w:vAlign w:val="center"/>
          </w:tcPr>
          <w:p>
            <w:pPr>
              <w:pStyle w:val="11"/>
            </w:pPr>
            <w:r>
              <w:t>59.83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59.83</w:t>
            </w:r>
          </w:p>
        </w:tc>
        <w:tc>
          <w:tcPr>
            <w:tcW w:w="1361" w:type="dxa"/>
            <w:vAlign w:val="center"/>
          </w:tcPr>
          <w:p>
            <w:pPr>
              <w:pStyle w:val="11"/>
            </w:pPr>
            <w:r>
              <w:t>59.83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414001魏县市场监督管理局本级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3086.50</w:t>
            </w:r>
          </w:p>
        </w:tc>
        <w:tc>
          <w:tcPr>
            <w:tcW w:w="3402" w:type="dxa"/>
            <w:vAlign w:val="center"/>
          </w:tcPr>
          <w:p>
            <w:pPr>
              <w:pStyle w:val="12"/>
            </w:pPr>
            <w:r>
              <w:t>一、一般公共服务支出</w:t>
            </w:r>
          </w:p>
        </w:tc>
        <w:tc>
          <w:tcPr>
            <w:tcW w:w="1474" w:type="dxa"/>
            <w:vAlign w:val="center"/>
          </w:tcPr>
          <w:p>
            <w:pPr>
              <w:pStyle w:val="11"/>
            </w:pPr>
            <w:r>
              <w:t>2958.02</w:t>
            </w:r>
          </w:p>
        </w:tc>
        <w:tc>
          <w:tcPr>
            <w:tcW w:w="1474" w:type="dxa"/>
            <w:vAlign w:val="center"/>
          </w:tcPr>
          <w:p>
            <w:pPr>
              <w:pStyle w:val="11"/>
            </w:pPr>
            <w:r>
              <w:t>2958.02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68.65</w:t>
            </w:r>
          </w:p>
        </w:tc>
        <w:tc>
          <w:tcPr>
            <w:tcW w:w="1474" w:type="dxa"/>
            <w:vAlign w:val="center"/>
          </w:tcPr>
          <w:p>
            <w:pPr>
              <w:pStyle w:val="11"/>
            </w:pPr>
            <w:r>
              <w:t>68.65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59.83</w:t>
            </w:r>
          </w:p>
        </w:tc>
        <w:tc>
          <w:tcPr>
            <w:tcW w:w="1474" w:type="dxa"/>
            <w:vAlign w:val="center"/>
          </w:tcPr>
          <w:p>
            <w:pPr>
              <w:pStyle w:val="11"/>
            </w:pPr>
            <w:r>
              <w:t>59.83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3086.50</w:t>
            </w:r>
          </w:p>
        </w:tc>
        <w:tc>
          <w:tcPr>
            <w:tcW w:w="3402" w:type="dxa"/>
            <w:vAlign w:val="center"/>
          </w:tcPr>
          <w:p>
            <w:pPr>
              <w:pStyle w:val="14"/>
            </w:pPr>
            <w:r>
              <w:t>本年支出合计</w:t>
            </w:r>
          </w:p>
        </w:tc>
        <w:tc>
          <w:tcPr>
            <w:tcW w:w="1474" w:type="dxa"/>
            <w:vAlign w:val="center"/>
          </w:tcPr>
          <w:p>
            <w:pPr>
              <w:pStyle w:val="15"/>
            </w:pPr>
            <w:r>
              <w:t>3086.50</w:t>
            </w:r>
          </w:p>
        </w:tc>
        <w:tc>
          <w:tcPr>
            <w:tcW w:w="1474" w:type="dxa"/>
            <w:vAlign w:val="center"/>
          </w:tcPr>
          <w:p>
            <w:pPr>
              <w:pStyle w:val="15"/>
            </w:pPr>
            <w:r>
              <w:t>3086.50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3086.50</w:t>
            </w:r>
          </w:p>
        </w:tc>
        <w:tc>
          <w:tcPr>
            <w:tcW w:w="3402" w:type="dxa"/>
            <w:vAlign w:val="center"/>
          </w:tcPr>
          <w:p>
            <w:pPr>
              <w:pStyle w:val="14"/>
            </w:pPr>
            <w:r>
              <w:t>支出总计</w:t>
            </w:r>
          </w:p>
        </w:tc>
        <w:tc>
          <w:tcPr>
            <w:tcW w:w="1474" w:type="dxa"/>
            <w:vAlign w:val="center"/>
          </w:tcPr>
          <w:p>
            <w:pPr>
              <w:pStyle w:val="15"/>
            </w:pPr>
            <w:r>
              <w:t>3086.50</w:t>
            </w:r>
          </w:p>
        </w:tc>
        <w:tc>
          <w:tcPr>
            <w:tcW w:w="1474" w:type="dxa"/>
            <w:vAlign w:val="center"/>
          </w:tcPr>
          <w:p>
            <w:pPr>
              <w:pStyle w:val="15"/>
            </w:pPr>
            <w:r>
              <w:t>3086.50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414001魏县市场监督管理局本级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3086.50</w:t>
            </w:r>
          </w:p>
        </w:tc>
        <w:tc>
          <w:tcPr>
            <w:tcW w:w="2551" w:type="dxa"/>
            <w:vAlign w:val="center"/>
          </w:tcPr>
          <w:p>
            <w:pPr>
              <w:pStyle w:val="15"/>
            </w:pPr>
            <w:r>
              <w:t>2728.10</w:t>
            </w:r>
          </w:p>
        </w:tc>
        <w:tc>
          <w:tcPr>
            <w:tcW w:w="2551" w:type="dxa"/>
            <w:vAlign w:val="center"/>
          </w:tcPr>
          <w:p>
            <w:pPr>
              <w:pStyle w:val="15"/>
            </w:pPr>
            <w:r>
              <w:t>358.40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2958.02</w:t>
            </w:r>
          </w:p>
        </w:tc>
        <w:tc>
          <w:tcPr>
            <w:tcW w:w="2551" w:type="dxa"/>
            <w:vAlign w:val="center"/>
          </w:tcPr>
          <w:p>
            <w:pPr>
              <w:pStyle w:val="11"/>
            </w:pPr>
            <w:r>
              <w:t>2599.62</w:t>
            </w:r>
          </w:p>
        </w:tc>
        <w:tc>
          <w:tcPr>
            <w:tcW w:w="2551" w:type="dxa"/>
            <w:vAlign w:val="center"/>
          </w:tcPr>
          <w:p>
            <w:pPr>
              <w:pStyle w:val="11"/>
            </w:pPr>
            <w:r>
              <w:t>358.40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2958.02</w:t>
            </w:r>
          </w:p>
        </w:tc>
        <w:tc>
          <w:tcPr>
            <w:tcW w:w="2551" w:type="dxa"/>
            <w:vAlign w:val="center"/>
          </w:tcPr>
          <w:p>
            <w:pPr>
              <w:pStyle w:val="11"/>
            </w:pPr>
            <w:r>
              <w:t>2599.62</w:t>
            </w:r>
          </w:p>
        </w:tc>
        <w:tc>
          <w:tcPr>
            <w:tcW w:w="2551" w:type="dxa"/>
            <w:vAlign w:val="center"/>
          </w:tcPr>
          <w:p>
            <w:pPr>
              <w:pStyle w:val="11"/>
            </w:pPr>
            <w:r>
              <w:t>358.40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2599.62</w:t>
            </w:r>
          </w:p>
        </w:tc>
        <w:tc>
          <w:tcPr>
            <w:tcW w:w="2551" w:type="dxa"/>
            <w:vAlign w:val="center"/>
          </w:tcPr>
          <w:p>
            <w:pPr>
              <w:pStyle w:val="11"/>
            </w:pPr>
            <w:r>
              <w:t>2599.62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2013804</w:t>
            </w:r>
          </w:p>
        </w:tc>
        <w:tc>
          <w:tcPr>
            <w:tcW w:w="4535" w:type="dxa"/>
            <w:vAlign w:val="center"/>
          </w:tcPr>
          <w:p>
            <w:pPr>
              <w:pStyle w:val="12"/>
            </w:pPr>
            <w:r>
              <w:t>市场主体管理</w:t>
            </w:r>
          </w:p>
        </w:tc>
        <w:tc>
          <w:tcPr>
            <w:tcW w:w="2551" w:type="dxa"/>
            <w:vAlign w:val="center"/>
          </w:tcPr>
          <w:p>
            <w:pPr>
              <w:pStyle w:val="11"/>
            </w:pPr>
            <w:r>
              <w:t>43.00</w:t>
            </w:r>
          </w:p>
        </w:tc>
        <w:tc>
          <w:tcPr>
            <w:tcW w:w="2551" w:type="dxa"/>
            <w:vAlign w:val="center"/>
          </w:tcPr>
          <w:p>
            <w:pPr>
              <w:pStyle w:val="11"/>
            </w:pPr>
          </w:p>
        </w:tc>
        <w:tc>
          <w:tcPr>
            <w:tcW w:w="2551"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2013812</w:t>
            </w:r>
          </w:p>
        </w:tc>
        <w:tc>
          <w:tcPr>
            <w:tcW w:w="4535" w:type="dxa"/>
            <w:vAlign w:val="center"/>
          </w:tcPr>
          <w:p>
            <w:pPr>
              <w:pStyle w:val="12"/>
            </w:pPr>
            <w:r>
              <w:t>药品事务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2013813</w:t>
            </w:r>
          </w:p>
        </w:tc>
        <w:tc>
          <w:tcPr>
            <w:tcW w:w="4535" w:type="dxa"/>
            <w:vAlign w:val="center"/>
          </w:tcPr>
          <w:p>
            <w:pPr>
              <w:pStyle w:val="12"/>
            </w:pPr>
            <w:r>
              <w:t>医疗器械事务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2013815</w:t>
            </w:r>
          </w:p>
        </w:tc>
        <w:tc>
          <w:tcPr>
            <w:tcW w:w="4535" w:type="dxa"/>
            <w:vAlign w:val="center"/>
          </w:tcPr>
          <w:p>
            <w:pPr>
              <w:pStyle w:val="12"/>
            </w:pPr>
            <w:r>
              <w:t>质量安全监管</w:t>
            </w:r>
          </w:p>
        </w:tc>
        <w:tc>
          <w:tcPr>
            <w:tcW w:w="2551" w:type="dxa"/>
            <w:vAlign w:val="center"/>
          </w:tcPr>
          <w:p>
            <w:pPr>
              <w:pStyle w:val="11"/>
            </w:pPr>
            <w:r>
              <w:t>69.40</w:t>
            </w:r>
          </w:p>
        </w:tc>
        <w:tc>
          <w:tcPr>
            <w:tcW w:w="2551" w:type="dxa"/>
            <w:vAlign w:val="center"/>
          </w:tcPr>
          <w:p>
            <w:pPr>
              <w:pStyle w:val="11"/>
            </w:pPr>
          </w:p>
        </w:tc>
        <w:tc>
          <w:tcPr>
            <w:tcW w:w="2551" w:type="dxa"/>
            <w:vAlign w:val="center"/>
          </w:tcPr>
          <w:p>
            <w:pPr>
              <w:pStyle w:val="11"/>
            </w:pPr>
            <w:r>
              <w:t>69.40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2013816</w:t>
            </w:r>
          </w:p>
        </w:tc>
        <w:tc>
          <w:tcPr>
            <w:tcW w:w="4535" w:type="dxa"/>
            <w:vAlign w:val="center"/>
          </w:tcPr>
          <w:p>
            <w:pPr>
              <w:pStyle w:val="12"/>
            </w:pPr>
            <w:r>
              <w:t>食品安全监管</w:t>
            </w:r>
          </w:p>
        </w:tc>
        <w:tc>
          <w:tcPr>
            <w:tcW w:w="2551" w:type="dxa"/>
            <w:vAlign w:val="center"/>
          </w:tcPr>
          <w:p>
            <w:pPr>
              <w:pStyle w:val="11"/>
            </w:pPr>
            <w:r>
              <w:t>236.00</w:t>
            </w:r>
          </w:p>
        </w:tc>
        <w:tc>
          <w:tcPr>
            <w:tcW w:w="2551" w:type="dxa"/>
            <w:vAlign w:val="center"/>
          </w:tcPr>
          <w:p>
            <w:pPr>
              <w:pStyle w:val="11"/>
            </w:pPr>
          </w:p>
        </w:tc>
        <w:tc>
          <w:tcPr>
            <w:tcW w:w="2551" w:type="dxa"/>
            <w:vAlign w:val="center"/>
          </w:tcPr>
          <w:p>
            <w:pPr>
              <w:pStyle w:val="11"/>
            </w:pPr>
            <w: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68.65</w:t>
            </w:r>
          </w:p>
        </w:tc>
        <w:tc>
          <w:tcPr>
            <w:tcW w:w="2551" w:type="dxa"/>
            <w:vAlign w:val="center"/>
          </w:tcPr>
          <w:p>
            <w:pPr>
              <w:pStyle w:val="11"/>
            </w:pPr>
            <w:r>
              <w:t>68.65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68.65</w:t>
            </w:r>
          </w:p>
        </w:tc>
        <w:tc>
          <w:tcPr>
            <w:tcW w:w="2551" w:type="dxa"/>
            <w:vAlign w:val="center"/>
          </w:tcPr>
          <w:p>
            <w:pPr>
              <w:pStyle w:val="11"/>
            </w:pPr>
            <w:r>
              <w:t>68.65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68.65</w:t>
            </w:r>
          </w:p>
        </w:tc>
        <w:tc>
          <w:tcPr>
            <w:tcW w:w="2551" w:type="dxa"/>
            <w:vAlign w:val="center"/>
          </w:tcPr>
          <w:p>
            <w:pPr>
              <w:pStyle w:val="11"/>
            </w:pPr>
            <w:r>
              <w:t>68.65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59.83</w:t>
            </w:r>
          </w:p>
        </w:tc>
        <w:tc>
          <w:tcPr>
            <w:tcW w:w="2551" w:type="dxa"/>
            <w:vAlign w:val="center"/>
          </w:tcPr>
          <w:p>
            <w:pPr>
              <w:pStyle w:val="11"/>
            </w:pPr>
            <w:r>
              <w:t>59.83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59.83</w:t>
            </w:r>
          </w:p>
        </w:tc>
        <w:tc>
          <w:tcPr>
            <w:tcW w:w="2551" w:type="dxa"/>
            <w:vAlign w:val="center"/>
          </w:tcPr>
          <w:p>
            <w:pPr>
              <w:pStyle w:val="11"/>
            </w:pPr>
            <w:r>
              <w:t>59.83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59.83</w:t>
            </w:r>
          </w:p>
        </w:tc>
        <w:tc>
          <w:tcPr>
            <w:tcW w:w="2551" w:type="dxa"/>
            <w:vAlign w:val="center"/>
          </w:tcPr>
          <w:p>
            <w:pPr>
              <w:pStyle w:val="11"/>
            </w:pPr>
            <w:r>
              <w:t>59.83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414001魏县市场监督管理局本级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2728.10</w:t>
            </w:r>
          </w:p>
        </w:tc>
        <w:tc>
          <w:tcPr>
            <w:tcW w:w="2551" w:type="dxa"/>
            <w:vAlign w:val="center"/>
          </w:tcPr>
          <w:p>
            <w:pPr>
              <w:pStyle w:val="15"/>
            </w:pPr>
            <w:r>
              <w:t>2545.16</w:t>
            </w:r>
          </w:p>
        </w:tc>
        <w:tc>
          <w:tcPr>
            <w:tcW w:w="2551" w:type="dxa"/>
            <w:vAlign w:val="center"/>
          </w:tcPr>
          <w:p>
            <w:pPr>
              <w:pStyle w:val="15"/>
            </w:pPr>
            <w:r>
              <w:t>182.94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2456.62</w:t>
            </w:r>
          </w:p>
        </w:tc>
        <w:tc>
          <w:tcPr>
            <w:tcW w:w="2551" w:type="dxa"/>
            <w:vAlign w:val="center"/>
          </w:tcPr>
          <w:p>
            <w:pPr>
              <w:pStyle w:val="11"/>
            </w:pPr>
            <w:r>
              <w:t>2456.62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1973.48</w:t>
            </w:r>
          </w:p>
        </w:tc>
        <w:tc>
          <w:tcPr>
            <w:tcW w:w="2551" w:type="dxa"/>
            <w:vAlign w:val="center"/>
          </w:tcPr>
          <w:p>
            <w:pPr>
              <w:pStyle w:val="11"/>
            </w:pPr>
            <w:r>
              <w:t>1973.48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16.92</w:t>
            </w:r>
          </w:p>
        </w:tc>
        <w:tc>
          <w:tcPr>
            <w:tcW w:w="2551" w:type="dxa"/>
            <w:vAlign w:val="center"/>
          </w:tcPr>
          <w:p>
            <w:pPr>
              <w:pStyle w:val="11"/>
            </w:pPr>
            <w:r>
              <w:t>16.92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39.00</w:t>
            </w:r>
          </w:p>
        </w:tc>
        <w:tc>
          <w:tcPr>
            <w:tcW w:w="2551" w:type="dxa"/>
            <w:vAlign w:val="center"/>
          </w:tcPr>
          <w:p>
            <w:pPr>
              <w:pStyle w:val="11"/>
            </w:pPr>
            <w:r>
              <w:t>39.00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114.66</w:t>
            </w:r>
          </w:p>
        </w:tc>
        <w:tc>
          <w:tcPr>
            <w:tcW w:w="2551" w:type="dxa"/>
            <w:vAlign w:val="center"/>
          </w:tcPr>
          <w:p>
            <w:pPr>
              <w:pStyle w:val="11"/>
            </w:pPr>
            <w:r>
              <w:t>114.66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57.33</w:t>
            </w:r>
          </w:p>
        </w:tc>
        <w:tc>
          <w:tcPr>
            <w:tcW w:w="2551" w:type="dxa"/>
            <w:vAlign w:val="center"/>
          </w:tcPr>
          <w:p>
            <w:pPr>
              <w:pStyle w:val="11"/>
            </w:pPr>
            <w:r>
              <w:t>57.33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59.83</w:t>
            </w:r>
          </w:p>
        </w:tc>
        <w:tc>
          <w:tcPr>
            <w:tcW w:w="2551" w:type="dxa"/>
            <w:vAlign w:val="center"/>
          </w:tcPr>
          <w:p>
            <w:pPr>
              <w:pStyle w:val="11"/>
            </w:pPr>
            <w:r>
              <w:t>59.83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187.47</w:t>
            </w:r>
          </w:p>
        </w:tc>
        <w:tc>
          <w:tcPr>
            <w:tcW w:w="2551" w:type="dxa"/>
            <w:vAlign w:val="center"/>
          </w:tcPr>
          <w:p>
            <w:pPr>
              <w:pStyle w:val="11"/>
            </w:pPr>
            <w:r>
              <w:t>187.47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rPr>
                <w:rFonts w:hint="eastAsia"/>
                <w:lang w:val="en-US" w:eastAsia="zh-CN"/>
              </w:rPr>
              <w:t>179</w:t>
            </w:r>
            <w:r>
              <w:t>.94</w:t>
            </w:r>
          </w:p>
        </w:tc>
        <w:tc>
          <w:tcPr>
            <w:tcW w:w="2551" w:type="dxa"/>
            <w:vAlign w:val="center"/>
          </w:tcPr>
          <w:p>
            <w:pPr>
              <w:pStyle w:val="11"/>
            </w:pPr>
          </w:p>
        </w:tc>
        <w:tc>
          <w:tcPr>
            <w:tcW w:w="2551" w:type="dxa"/>
            <w:vAlign w:val="center"/>
          </w:tcPr>
          <w:p>
            <w:pPr>
              <w:pStyle w:val="11"/>
            </w:pPr>
            <w:r>
              <w:rPr>
                <w:rFonts w:hint="eastAsia"/>
                <w:lang w:val="en-US" w:eastAsia="zh-CN"/>
              </w:rPr>
              <w:t>179</w:t>
            </w:r>
            <w: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rPr>
                <w:rFonts w:hint="eastAsia"/>
                <w:lang w:eastAsia="zh-CN"/>
              </w:rPr>
              <w:t>54</w:t>
            </w:r>
            <w:r>
              <w:t>.50</w:t>
            </w:r>
          </w:p>
        </w:tc>
        <w:tc>
          <w:tcPr>
            <w:tcW w:w="2551" w:type="dxa"/>
            <w:vAlign w:val="center"/>
          </w:tcPr>
          <w:p>
            <w:pPr>
              <w:pStyle w:val="11"/>
            </w:pPr>
          </w:p>
        </w:tc>
        <w:tc>
          <w:tcPr>
            <w:tcW w:w="2551" w:type="dxa"/>
            <w:vAlign w:val="center"/>
          </w:tcPr>
          <w:p>
            <w:pPr>
              <w:pStyle w:val="11"/>
            </w:pPr>
            <w:r>
              <w:rPr>
                <w:rFonts w:hint="eastAsia"/>
                <w:lang w:eastAsia="zh-CN"/>
              </w:rPr>
              <w:t>54</w:t>
            </w: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11.50</w:t>
            </w:r>
          </w:p>
        </w:tc>
        <w:tc>
          <w:tcPr>
            <w:tcW w:w="2551" w:type="dxa"/>
            <w:vAlign w:val="center"/>
          </w:tcPr>
          <w:p>
            <w:pPr>
              <w:pStyle w:val="11"/>
            </w:pPr>
          </w:p>
        </w:tc>
        <w:tc>
          <w:tcPr>
            <w:tcW w:w="2551" w:type="dxa"/>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55.00</w:t>
            </w:r>
          </w:p>
        </w:tc>
        <w:tc>
          <w:tcPr>
            <w:tcW w:w="2551" w:type="dxa"/>
            <w:vAlign w:val="center"/>
          </w:tcPr>
          <w:p>
            <w:pPr>
              <w:pStyle w:val="11"/>
            </w:pP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56.94</w:t>
            </w:r>
          </w:p>
        </w:tc>
        <w:tc>
          <w:tcPr>
            <w:tcW w:w="2551" w:type="dxa"/>
            <w:vAlign w:val="center"/>
          </w:tcPr>
          <w:p>
            <w:pPr>
              <w:pStyle w:val="11"/>
            </w:pPr>
          </w:p>
        </w:tc>
        <w:tc>
          <w:tcPr>
            <w:tcW w:w="2551" w:type="dxa"/>
            <w:vAlign w:val="center"/>
          </w:tcPr>
          <w:p>
            <w:pPr>
              <w:pStyle w:val="11"/>
            </w:pPr>
            <w:r>
              <w:t>56.94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88.54</w:t>
            </w:r>
          </w:p>
        </w:tc>
        <w:tc>
          <w:tcPr>
            <w:tcW w:w="2551" w:type="dxa"/>
            <w:vAlign w:val="center"/>
          </w:tcPr>
          <w:p>
            <w:pPr>
              <w:pStyle w:val="11"/>
            </w:pPr>
            <w:r>
              <w:t>88.54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11.70</w:t>
            </w:r>
          </w:p>
        </w:tc>
        <w:tc>
          <w:tcPr>
            <w:tcW w:w="2551" w:type="dxa"/>
            <w:vAlign w:val="center"/>
          </w:tcPr>
          <w:p>
            <w:pPr>
              <w:pStyle w:val="11"/>
            </w:pPr>
            <w:r>
              <w:t>11.70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56.95</w:t>
            </w:r>
          </w:p>
        </w:tc>
        <w:tc>
          <w:tcPr>
            <w:tcW w:w="2551" w:type="dxa"/>
            <w:vAlign w:val="center"/>
          </w:tcPr>
          <w:p>
            <w:pPr>
              <w:pStyle w:val="11"/>
            </w:pPr>
            <w:r>
              <w:t>56.95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19.89</w:t>
            </w:r>
          </w:p>
        </w:tc>
        <w:tc>
          <w:tcPr>
            <w:tcW w:w="2551" w:type="dxa"/>
            <w:vAlign w:val="center"/>
          </w:tcPr>
          <w:p>
            <w:pPr>
              <w:pStyle w:val="11"/>
            </w:pPr>
            <w:r>
              <w:t>19.89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rPr>
                <w:rFonts w:hint="eastAsia"/>
                <w:lang w:eastAsia="zh-CN"/>
              </w:rPr>
              <w:t>3</w:t>
            </w:r>
            <w:r>
              <w:t>.00</w:t>
            </w:r>
          </w:p>
        </w:tc>
        <w:tc>
          <w:tcPr>
            <w:tcW w:w="2551" w:type="dxa"/>
            <w:vAlign w:val="center"/>
          </w:tcPr>
          <w:p>
            <w:pPr>
              <w:pStyle w:val="11"/>
            </w:pPr>
          </w:p>
        </w:tc>
        <w:tc>
          <w:tcPr>
            <w:tcW w:w="2551" w:type="dxa"/>
            <w:vAlign w:val="center"/>
          </w:tcPr>
          <w:p>
            <w:pPr>
              <w:pStyle w:val="11"/>
            </w:pPr>
            <w:r>
              <w:rPr>
                <w:rFonts w:hint="eastAsia"/>
                <w:lang w:eastAsia="zh-CN"/>
              </w:rPr>
              <w:t>3</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31003</w:t>
            </w:r>
          </w:p>
        </w:tc>
        <w:tc>
          <w:tcPr>
            <w:tcW w:w="4535" w:type="dxa"/>
            <w:vAlign w:val="center"/>
          </w:tcPr>
          <w:p>
            <w:pPr>
              <w:pStyle w:val="12"/>
            </w:pPr>
            <w:r>
              <w:t>专用设备购置</w:t>
            </w:r>
          </w:p>
        </w:tc>
        <w:tc>
          <w:tcPr>
            <w:tcW w:w="2551" w:type="dxa"/>
            <w:vAlign w:val="center"/>
          </w:tcPr>
          <w:p>
            <w:pPr>
              <w:pStyle w:val="11"/>
            </w:pPr>
            <w:r>
              <w:rPr>
                <w:rFonts w:hint="eastAsia"/>
                <w:lang w:eastAsia="zh-CN"/>
              </w:rPr>
              <w:t>3</w:t>
            </w:r>
            <w:r>
              <w:t>.00</w:t>
            </w:r>
          </w:p>
        </w:tc>
        <w:tc>
          <w:tcPr>
            <w:tcW w:w="2551" w:type="dxa"/>
            <w:vAlign w:val="center"/>
          </w:tcPr>
          <w:p>
            <w:pPr>
              <w:pStyle w:val="11"/>
            </w:pPr>
          </w:p>
        </w:tc>
        <w:tc>
          <w:tcPr>
            <w:tcW w:w="2551" w:type="dxa"/>
            <w:vAlign w:val="center"/>
          </w:tcPr>
          <w:p>
            <w:pPr>
              <w:pStyle w:val="11"/>
            </w:pPr>
            <w:r>
              <w:rPr>
                <w:rFonts w:hint="eastAsia"/>
                <w:lang w:eastAsia="zh-CN"/>
              </w:rPr>
              <w:t>3</w:t>
            </w:r>
            <w:r>
              <w:t>.00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414001魏县市场监督管理局本级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414001魏县市场监督管理局本级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414001魏县市场监督管理局本级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lang w:eastAsia="zh-CN"/>
              </w:rPr>
            </w:pPr>
            <w:r>
              <w:rPr>
                <w:rFonts w:hint="eastAsia"/>
                <w:lang w:eastAsia="zh-CN"/>
              </w:rPr>
              <w:t>146.40</w:t>
            </w:r>
          </w:p>
        </w:tc>
        <w:tc>
          <w:tcPr>
            <w:tcW w:w="2381" w:type="dxa"/>
            <w:vAlign w:val="center"/>
          </w:tcPr>
          <w:p>
            <w:pPr>
              <w:pStyle w:val="15"/>
              <w:rPr>
                <w:lang w:eastAsia="zh-CN"/>
              </w:rPr>
            </w:pPr>
            <w:r>
              <w:rPr>
                <w:rFonts w:hint="eastAsia"/>
                <w:lang w:eastAsia="zh-CN"/>
              </w:rPr>
              <w:t>146.40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lang w:eastAsia="zh-CN"/>
              </w:rPr>
            </w:pPr>
            <w:r>
              <w:rPr>
                <w:rFonts w:hint="eastAsia"/>
                <w:lang w:eastAsia="zh-CN"/>
              </w:rPr>
              <w:t>146.40</w:t>
            </w:r>
          </w:p>
        </w:tc>
        <w:tc>
          <w:tcPr>
            <w:tcW w:w="2381" w:type="dxa"/>
            <w:vAlign w:val="center"/>
          </w:tcPr>
          <w:p>
            <w:pPr>
              <w:pStyle w:val="11"/>
              <w:rPr>
                <w:lang w:eastAsia="zh-CN"/>
              </w:rPr>
            </w:pPr>
            <w:r>
              <w:rPr>
                <w:rFonts w:hint="eastAsia"/>
                <w:lang w:eastAsia="zh-CN"/>
              </w:rPr>
              <w:t>116.40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lang w:eastAsia="zh-CN"/>
              </w:rPr>
            </w:pPr>
            <w:r>
              <w:rPr>
                <w:rFonts w:hint="eastAsia"/>
                <w:lang w:eastAsia="zh-CN"/>
              </w:rPr>
              <w:t>144.40</w:t>
            </w:r>
          </w:p>
        </w:tc>
        <w:tc>
          <w:tcPr>
            <w:tcW w:w="2381" w:type="dxa"/>
            <w:vAlign w:val="center"/>
          </w:tcPr>
          <w:p>
            <w:pPr>
              <w:pStyle w:val="11"/>
              <w:rPr>
                <w:lang w:eastAsia="zh-CN"/>
              </w:rPr>
            </w:pPr>
            <w:r>
              <w:rPr>
                <w:rFonts w:hint="eastAsia"/>
                <w:lang w:eastAsia="zh-CN"/>
              </w:rPr>
              <w:t>144.40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rPr>
                <w:lang w:eastAsia="zh-CN"/>
              </w:rPr>
            </w:pPr>
            <w:r>
              <w:rPr>
                <w:rFonts w:hint="eastAsia"/>
                <w:lang w:eastAsia="zh-CN"/>
              </w:rPr>
              <w:t>36.00</w:t>
            </w:r>
          </w:p>
        </w:tc>
        <w:tc>
          <w:tcPr>
            <w:tcW w:w="2381" w:type="dxa"/>
            <w:vAlign w:val="center"/>
          </w:tcPr>
          <w:p>
            <w:pPr>
              <w:pStyle w:val="11"/>
              <w:rPr>
                <w:lang w:eastAsia="zh-CN"/>
              </w:rPr>
            </w:pPr>
            <w:r>
              <w:rPr>
                <w:rFonts w:hint="eastAsia"/>
                <w:lang w:eastAsia="zh-CN"/>
              </w:rPr>
              <w:t>36.00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108.40</w:t>
            </w:r>
          </w:p>
        </w:tc>
        <w:tc>
          <w:tcPr>
            <w:tcW w:w="2381" w:type="dxa"/>
            <w:vAlign w:val="center"/>
          </w:tcPr>
          <w:p>
            <w:pPr>
              <w:pStyle w:val="11"/>
            </w:pPr>
            <w:r>
              <w:t>108.40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魏县市场监督管理局本级2022年单位预算信息公开情况说明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按照《预算法》、《地方预决算公开操作规程》和《关于进一步推进预算公开工作的实施意见》规定，现将魏县市场监督管理局本级2022年单位预算公开如下：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部门职责：</w:t>
      </w:r>
    </w:p>
    <w:p>
      <w:pPr>
        <w:pStyle w:val="25"/>
      </w:pPr>
      <w:r>
        <w:t>根据《魏县市场监督管理局职能配置、内设机构和人员编制规定》， 魏县市场监督管理局的主要职责是：</w:t>
      </w:r>
    </w:p>
    <w:p>
      <w:pPr>
        <w:pStyle w:val="25"/>
      </w:pPr>
      <w:r>
        <w:t>(一）负责全县市场综合监督管理。起草全县市场监督管理规范性文件，组织实施质量强县战略、食品药品安全战略、标准化战略、知识产权战略，拟订并组织实施有关规划，规范和维护市场秩序，营造诚实守信、公平竞争的市场环境。</w:t>
      </w:r>
      <w:r>
        <w:br w:type="textWrapping"/>
      </w:r>
      <w:r>
        <w:t xml:space="preserve">   （二）负责组织和指导全县外商投资企业以及外国（地区）企业常驻代表机构等市场主体的登记注册工作。建立外商投资企业信息公示和共享机制，依法公示和共享有关信息，加强信用监管，推动市场主体信用体系建设，指导县个体劳动者协会、私营企业协会开展工作。</w:t>
      </w:r>
      <w:r>
        <w:br w:type="textWrapping"/>
      </w:r>
      <w:r>
        <w:t xml:space="preserve">   （三）负责组织开展全县市场监管综合执法工作。组织开展全县市场监管综合执法队伍整合和建设，推动实行统一的市场监管。组织查处重大违法案件。规范市场监管行政执法行为。</w:t>
      </w:r>
      <w:r>
        <w:br w:type="textWrapping"/>
      </w:r>
      <w:r>
        <w:t>   （四）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经营和相关无证生产经营行为；负责维护消费者权益；指导县消费者协会开展消费维权工作。根据上级授权，负责对经营者集中行为进行反垄断审查，负责垄断协议、滥用市场支配地位和滥用行政权力排除、限制竞争等反垄断执法工作。指导企业在国外的反垄断应诉工作。</w:t>
      </w:r>
    </w:p>
    <w:p>
      <w:pPr>
        <w:pStyle w:val="25"/>
      </w:pPr>
      <w:r>
        <w:t>（五）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pPr>
        <w:pStyle w:val="25"/>
      </w:pPr>
      <w:r>
        <w:t>（六）负责全县产品质量安全监督管理。承担县级产品质量监督抽查工作。组织实施质量分级制度、质量安全追溯制度。实施工业产品生产许可管理。负责纤维质量监督工作。</w:t>
      </w:r>
    </w:p>
    <w:p>
      <w:pPr>
        <w:pStyle w:val="25"/>
      </w:pPr>
      <w:r>
        <w:t>（七）负责全县特种设备安全监督管理。综合管理特种设备安全监察、监督工作，监督检查高耗能特种设备节能标准和锅炉环境保护标准的执行情况。</w:t>
      </w:r>
      <w:r>
        <w:br w:type="textWrapping"/>
      </w:r>
      <w:r>
        <w:t xml:space="preserve">   （八）负责食品药品安全监督管理综合协调。组织制定全县食品安全重大政策并组织实施。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魏县人民政府食品安全委员会日常工作。</w:t>
      </w:r>
      <w:r>
        <w:br w:type="textWrapping"/>
      </w:r>
      <w:r>
        <w:t xml:space="preserve">   （九）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w:t>
      </w:r>
    </w:p>
    <w:p>
      <w:pPr>
        <w:pStyle w:val="25"/>
      </w:pPr>
      <w:r>
        <w:t>（十）负责统一管理全县计量工作。推行法定计量单位和国家计量制度，管理计量器具及量值传递和比对工作。规范、监督商品量和市场计量行为。</w:t>
      </w:r>
      <w:r>
        <w:br w:type="textWrapping"/>
      </w:r>
      <w:r>
        <w:t xml:space="preserve">   （十一）负责统一管理全县标准化工作。 宣传贯彻强制性、推荐性国家标准和行业标准、地方标准。组织开展标准化国际、区域合作和参与制定、采用国际标准工作。</w:t>
      </w:r>
      <w:r>
        <w:br w:type="textWrapping"/>
      </w:r>
      <w:r>
        <w:t xml:space="preserve">   （十二）负责统一管理全县检验检测工作。推进检验检测机构整合和改革，规范检验检测市场，完善检验检测体系，指导协调检验检测行业发展。</w:t>
      </w:r>
    </w:p>
    <w:p>
      <w:pPr>
        <w:pStyle w:val="25"/>
      </w:pPr>
      <w:r>
        <w:t>（十三）负责统一管理、监督和协调全县认证认可工作。组织贯彻实施国家、省统一的认证认可和合格评定监督管理制度。</w:t>
      </w:r>
      <w:r>
        <w:br w:type="textWrapping"/>
      </w:r>
      <w:r>
        <w:t xml:space="preserve">   （十四）负责推进全县知识产权管理工作。拟订加强知识产权强县建设的重大方针政策和发展规划。拟订和实施强化知识产权创造、保护和运用的政策和制度。</w:t>
      </w:r>
      <w:r>
        <w:br w:type="textWrapping"/>
      </w:r>
      <w:r>
        <w:t xml:space="preserve">   （十五）负责保护知识产权。组织实施严格保护商标、专利、原产地地理标志、集成电路布图设计等知识产权相关工作。按照国家知识产权保护体系建设方案，推动建设知识产权保护体系。负责指导商标、专利执法工作，负责知识产权争议处理、维权援助和纠纷调处，促进京津冀知识产权执法协作工作。</w:t>
      </w:r>
    </w:p>
    <w:p>
      <w:pPr>
        <w:pStyle w:val="25"/>
      </w:pPr>
      <w:r>
        <w:t>（十六）负责促进知识产权运用。拟订知识产权运用和规范交易规范性文件，促进知识产权转移转化。规范知识产权无形资产评估工作。制定实施知识产权中介服务发展与监管的政策措施。</w:t>
      </w:r>
      <w:r>
        <w:br w:type="textWrapping"/>
      </w:r>
      <w:r>
        <w:t xml:space="preserve">   （十七）负责建立知识产权公共服务体系。建设便企利民、互联互通的全县知识产权信息公共服务平台，推动商标、专利等知识产权信息的传播利用。指导全县专利信息服务工作。</w:t>
      </w:r>
      <w:r>
        <w:br w:type="textWrapping"/>
      </w:r>
      <w:r>
        <w:t xml:space="preserve">   （十八）承担国家知识产权局知识产权代办工作任务。负责知识产权相关工作。组织实施原产地地理标志统一认定制度。</w:t>
      </w:r>
      <w:r>
        <w:br w:type="textWrapping"/>
      </w:r>
      <w:r>
        <w:t xml:space="preserve">   （十九）负责药品（含中成药、民族药，下同）、医疗器械和化妆品安全监管管理。贯彻执行国家、省药品、医疗器械和化妆品法律法规以及鼓励药品、医疗器械和化妆品新技术新产品的管理与服务政策。贯彻落实国家、省、市检查制度，依职责组织指导查处药品、医疗器械、化妆品流通环节和药品、医疗器械使用环节的违法行为，并对重大安全违法案件进行稽查，规范行政执法行为。</w:t>
      </w:r>
    </w:p>
    <w:p>
      <w:pPr>
        <w:pStyle w:val="25"/>
      </w:pPr>
      <w:r>
        <w:t>负责监督实施国家药品、医疗器械、化妆品标准和中药材地方标准，组织落实分类管理制度。配合实施国家基本药物制度。依职责监督和指导实施经营、使用质量管理规范。依法实施中药品保护制度。</w:t>
      </w:r>
    </w:p>
    <w:p>
      <w:pPr>
        <w:pStyle w:val="25"/>
      </w:pPr>
      <w:r>
        <w:t>（二十）负责药品、医疗器械和化妆品上市后风险管理。建立健全全县药品不良反应、医疗器械不良事件、化妆品不良反应和药物滥用监测体系，并开展监测、评价和处置工作。依法承担药品、医疗器械和化妆品安全应急管理工作。</w:t>
      </w:r>
    </w:p>
    <w:p>
      <w:pPr>
        <w:pStyle w:val="25"/>
      </w:pPr>
      <w:r>
        <w:t>（二十一）负责乡（镇）药品、医疗器械、化妆品监督管理工作。推动落实药品、医疗器械和化妆品安全企业主体责任，监督乡（镇）履行党政同责，组织实施药品、医疗器械和化妆品安全考核。</w:t>
      </w:r>
    </w:p>
    <w:p>
      <w:pPr>
        <w:pStyle w:val="25"/>
      </w:pPr>
      <w:r>
        <w:t>（二十二）负责全县市场监督管理科技和信息化建设、新闻宣传、对外交流与合作。推动药品检验检测体系、电子监管追溯体系建设。完善全县药品、医疗器械和化妆品安全信息统一公布制度和重大信息直报制度，公布重大安全信息。按规定承担技术性贸易措施有关工作。负责统筹协调涉外知识产权事宜，承担知识产权对外转让审查工作。</w:t>
      </w:r>
      <w:r>
        <w:br w:type="textWrapping"/>
      </w:r>
      <w:r>
        <w:t xml:space="preserve">  （二十三）完成县委、县政府交办的其他任务。</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魏县市场监督管理局本级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按照预算管理有关规定，目前我县部门预算的编制实行综合预算制度，即全部收入和支出都反映的预算中。</w:t>
      </w:r>
    </w:p>
    <w:p>
      <w:pPr>
        <w:pStyle w:val="26"/>
      </w:pPr>
      <w:r>
        <w:t>1、收入说明：2022年收入预算共计3086.5万元，全部为财政拨款收入。</w:t>
      </w:r>
    </w:p>
    <w:p>
      <w:pPr>
        <w:pStyle w:val="26"/>
      </w:pPr>
      <w:r>
        <w:t>2、支出说明：2022年支出预算共计3086.5万元，其中人员经费支出预算2545.16万元，公用经费支出预算182.94万元，项目支出358.4万元。</w:t>
      </w:r>
    </w:p>
    <w:p>
      <w:pPr>
        <w:pStyle w:val="26"/>
      </w:pPr>
      <w:r>
        <w:t>3、比上年增减情况：经过对比测算，2022年财政拨款预算比2021年增加14.37万元，主要是：财政供养人员工资增加，财政在职人员减少，日常公用减少，项目经费增加。</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rPr>
          <w:lang w:eastAsia="zh-CN"/>
        </w:rPr>
      </w:pPr>
      <w:r>
        <w:t>机关运行经费共计安排126万元，主要用于保证正常办公的基本需要和维持单位日常业务运转，包括：办公经费、工会经费、公务用车运行维护费等</w:t>
      </w:r>
      <w:r>
        <w:rPr>
          <w:rFonts w:hint="eastAsia"/>
          <w:lang w:eastAsia="zh-CN"/>
        </w:rPr>
        <w:t>。</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财政拨款“三公”经费预算安排146.4万元，其中因公出国(境)费0万元；公务用车购置及运维费144.4万元(其中：公务用车购置费为36万元，公务用车运行费108.4万元)；公务接待费2万元。与2021年相比，公务用车购置费增加36万元，因公出国(境)费未增减，公务用车运行费减少2.45万元，公务接待费减少1万元，原因是根据单位职责整合，预算编制更加合理。</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1、2022年安全生产监管装备及监管执法费绩效目标表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1.通过及时拨付24.4万安全生产监管装备及监管执法费，用于特种设备安全监管工作，购置执法记录仪22台，电脑打印机各2台，印制相关资料10000份以上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购置安全生产监管装备数量</w:t>
            </w:r>
          </w:p>
        </w:tc>
        <w:tc>
          <w:tcPr>
            <w:tcW w:w="2835" w:type="dxa"/>
            <w:vAlign w:val="center"/>
          </w:tcPr>
          <w:p>
            <w:pPr>
              <w:pStyle w:val="12"/>
            </w:pPr>
            <w:r>
              <w:t>购置执法记录仪22台，电脑2台，多功能打印机2台</w:t>
            </w:r>
          </w:p>
        </w:tc>
        <w:tc>
          <w:tcPr>
            <w:tcW w:w="2551" w:type="dxa"/>
            <w:vAlign w:val="center"/>
          </w:tcPr>
          <w:p>
            <w:pPr>
              <w:pStyle w:val="12"/>
            </w:pPr>
            <w:r>
              <w:t>26台</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特种设备安全知识宣传度</w:t>
            </w:r>
          </w:p>
        </w:tc>
        <w:tc>
          <w:tcPr>
            <w:tcW w:w="2835" w:type="dxa"/>
            <w:vAlign w:val="center"/>
          </w:tcPr>
          <w:p>
            <w:pPr>
              <w:pStyle w:val="12"/>
            </w:pPr>
            <w:r>
              <w:t>印制相关资料10000份以上</w:t>
            </w:r>
          </w:p>
        </w:tc>
        <w:tc>
          <w:tcPr>
            <w:tcW w:w="2551" w:type="dxa"/>
            <w:vAlign w:val="center"/>
          </w:tcPr>
          <w:p>
            <w:pPr>
              <w:pStyle w:val="12"/>
            </w:pPr>
            <w:r>
              <w:t>≥10000份</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提高安全监管相关人员业务水平</w:t>
            </w:r>
          </w:p>
        </w:tc>
        <w:tc>
          <w:tcPr>
            <w:tcW w:w="2835" w:type="dxa"/>
            <w:vAlign w:val="center"/>
          </w:tcPr>
          <w:p>
            <w:pPr>
              <w:pStyle w:val="12"/>
            </w:pPr>
            <w:r>
              <w:t>业务培训次数</w:t>
            </w:r>
          </w:p>
        </w:tc>
        <w:tc>
          <w:tcPr>
            <w:tcW w:w="2551" w:type="dxa"/>
            <w:vAlign w:val="center"/>
          </w:tcPr>
          <w:p>
            <w:pPr>
              <w:pStyle w:val="12"/>
            </w:pPr>
            <w:r>
              <w:t>≥2次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2835" w:type="dxa"/>
            <w:vAlign w:val="center"/>
          </w:tcPr>
          <w:p>
            <w:pPr>
              <w:pStyle w:val="12"/>
            </w:pPr>
            <w:r>
              <w:t>按时完成各项工作</w:t>
            </w:r>
          </w:p>
        </w:tc>
        <w:tc>
          <w:tcPr>
            <w:tcW w:w="2551" w:type="dxa"/>
            <w:vAlign w:val="center"/>
          </w:tcPr>
          <w:p>
            <w:pPr>
              <w:pStyle w:val="12"/>
            </w:pPr>
            <w:r>
              <w:t>按时</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≤24.4万元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特种设备安全监管水平</w:t>
            </w:r>
          </w:p>
        </w:tc>
        <w:tc>
          <w:tcPr>
            <w:tcW w:w="2835" w:type="dxa"/>
            <w:vAlign w:val="center"/>
          </w:tcPr>
          <w:p>
            <w:pPr>
              <w:pStyle w:val="12"/>
            </w:pPr>
            <w:r>
              <w:t>特种设备安全监管水平逐步提高</w:t>
            </w:r>
          </w:p>
        </w:tc>
        <w:tc>
          <w:tcPr>
            <w:tcW w:w="2551" w:type="dxa"/>
            <w:vAlign w:val="center"/>
          </w:tcPr>
          <w:p>
            <w:pPr>
              <w:pStyle w:val="12"/>
            </w:pPr>
            <w:r>
              <w:t>提高</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促进特种设备安全运行</w:t>
            </w:r>
          </w:p>
        </w:tc>
        <w:tc>
          <w:tcPr>
            <w:tcW w:w="2835" w:type="dxa"/>
            <w:vAlign w:val="center"/>
          </w:tcPr>
          <w:p>
            <w:pPr>
              <w:pStyle w:val="12"/>
            </w:pPr>
            <w:r>
              <w:t>促进特种设备安全运行</w:t>
            </w:r>
          </w:p>
        </w:tc>
        <w:tc>
          <w:tcPr>
            <w:tcW w:w="2551" w:type="dxa"/>
            <w:vAlign w:val="center"/>
          </w:tcPr>
          <w:p>
            <w:pPr>
              <w:pStyle w:val="12"/>
            </w:pPr>
            <w:r>
              <w:t>安全运行</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公众对特种设备安全监管满意度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2、2022年零成本注册补助经费绩效目标表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1.通过及时拨付20万元零成本补助经费，用于市场主体监管和企业信用信息公示、外资注册登记工作，确保20</w:t>
            </w:r>
            <w:r>
              <w:rPr>
                <w:rFonts w:hint="eastAsia"/>
                <w:lang w:eastAsia="zh-CN"/>
              </w:rPr>
              <w:t>22</w:t>
            </w:r>
            <w:r>
              <w:t>年6月30日前企业年度报告公示率及完成率达80%以上，实现外资企业一日办结</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lang w:eastAsia="zh-CN"/>
              </w:rPr>
              <w:t>截至目前</w:t>
            </w:r>
            <w:r>
              <w:t>需进行年报的企业数量</w:t>
            </w:r>
          </w:p>
        </w:tc>
        <w:tc>
          <w:tcPr>
            <w:tcW w:w="2835" w:type="dxa"/>
            <w:vAlign w:val="center"/>
          </w:tcPr>
          <w:p>
            <w:pPr>
              <w:pStyle w:val="12"/>
            </w:pPr>
            <w:r>
              <w:rPr>
                <w:rFonts w:hint="eastAsia"/>
                <w:lang w:eastAsia="zh-CN"/>
              </w:rPr>
              <w:t>截至目前</w:t>
            </w:r>
            <w:r>
              <w:t>需进行年报的企业数量</w:t>
            </w:r>
          </w:p>
        </w:tc>
        <w:tc>
          <w:tcPr>
            <w:tcW w:w="2551" w:type="dxa"/>
            <w:vAlign w:val="center"/>
          </w:tcPr>
          <w:p>
            <w:pPr>
              <w:pStyle w:val="12"/>
            </w:pPr>
            <w:r>
              <w:t>12241家</w:t>
            </w:r>
          </w:p>
        </w:tc>
        <w:tc>
          <w:tcPr>
            <w:tcW w:w="2268" w:type="dxa"/>
            <w:vAlign w:val="center"/>
          </w:tcPr>
          <w:p>
            <w:pPr>
              <w:pStyle w:val="12"/>
            </w:pPr>
            <w:r>
              <w:t>截止2021年12月31日现存企业数量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企业年度报告完成率</w:t>
            </w:r>
          </w:p>
        </w:tc>
        <w:tc>
          <w:tcPr>
            <w:tcW w:w="2835" w:type="dxa"/>
            <w:vAlign w:val="center"/>
          </w:tcPr>
          <w:p>
            <w:pPr>
              <w:pStyle w:val="12"/>
            </w:pPr>
            <w:r>
              <w:t>按照要求进行年度报告的企业占所有企业的比例</w:t>
            </w:r>
          </w:p>
        </w:tc>
        <w:tc>
          <w:tcPr>
            <w:tcW w:w="2551" w:type="dxa"/>
            <w:vAlign w:val="center"/>
          </w:tcPr>
          <w:p>
            <w:pPr>
              <w:pStyle w:val="12"/>
            </w:pPr>
            <w:r>
              <w:t>≥80%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企业年报公示完成时间</w:t>
            </w:r>
          </w:p>
        </w:tc>
        <w:tc>
          <w:tcPr>
            <w:tcW w:w="2835" w:type="dxa"/>
            <w:vAlign w:val="center"/>
          </w:tcPr>
          <w:p>
            <w:pPr>
              <w:pStyle w:val="12"/>
            </w:pPr>
            <w:r>
              <w:t>2022年6月30日前完成全县市场主体年报公示工作</w:t>
            </w:r>
          </w:p>
        </w:tc>
        <w:tc>
          <w:tcPr>
            <w:tcW w:w="2551" w:type="dxa"/>
            <w:vAlign w:val="center"/>
          </w:tcPr>
          <w:p>
            <w:pPr>
              <w:pStyle w:val="12"/>
            </w:pPr>
            <w:r>
              <w:t>2022年6月30日前</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≤20万元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外资企业增加率</w:t>
            </w:r>
          </w:p>
        </w:tc>
        <w:tc>
          <w:tcPr>
            <w:tcW w:w="2835" w:type="dxa"/>
            <w:vAlign w:val="center"/>
          </w:tcPr>
          <w:p>
            <w:pPr>
              <w:pStyle w:val="12"/>
            </w:pPr>
            <w:r>
              <w:t>年度内外资企业增量与上一年度外资企业增量的增加率</w:t>
            </w:r>
          </w:p>
        </w:tc>
        <w:tc>
          <w:tcPr>
            <w:tcW w:w="2551" w:type="dxa"/>
            <w:vAlign w:val="center"/>
          </w:tcPr>
          <w:p>
            <w:pPr>
              <w:pStyle w:val="12"/>
            </w:pPr>
            <w:r>
              <w:t>≥10%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2835" w:type="dxa"/>
            <w:vAlign w:val="center"/>
          </w:tcPr>
          <w:p>
            <w:pPr>
              <w:pStyle w:val="12"/>
            </w:pPr>
            <w:r>
              <w:t>保障工作顺利开展</w:t>
            </w:r>
          </w:p>
        </w:tc>
        <w:tc>
          <w:tcPr>
            <w:tcW w:w="2551" w:type="dxa"/>
            <w:vAlign w:val="center"/>
          </w:tcPr>
          <w:p>
            <w:pPr>
              <w:pStyle w:val="12"/>
            </w:pPr>
            <w:r>
              <w:t>保障工作顺利开展</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3、2022年成品油抽检经费绩效目标表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1.全县99家加油站（点），需要资金20万元，按季度对成品油进行抽检，整顿和规范全县成品油市场经营秩序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成品油抽检率</w:t>
            </w:r>
          </w:p>
        </w:tc>
        <w:tc>
          <w:tcPr>
            <w:tcW w:w="2835" w:type="dxa"/>
            <w:vAlign w:val="center"/>
          </w:tcPr>
          <w:p>
            <w:pPr>
              <w:pStyle w:val="12"/>
            </w:pPr>
            <w:r>
              <w:t>抽检加油站（点）数量占我县加油站（点）总数的比例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成品油抽检批次</w:t>
            </w:r>
          </w:p>
        </w:tc>
        <w:tc>
          <w:tcPr>
            <w:tcW w:w="2835" w:type="dxa"/>
            <w:vAlign w:val="center"/>
          </w:tcPr>
          <w:p>
            <w:pPr>
              <w:pStyle w:val="12"/>
            </w:pPr>
            <w:r>
              <w:t>反映我县加油站（点）成品油抽检情况</w:t>
            </w:r>
          </w:p>
        </w:tc>
        <w:tc>
          <w:tcPr>
            <w:tcW w:w="2551" w:type="dxa"/>
            <w:vAlign w:val="center"/>
          </w:tcPr>
          <w:p>
            <w:pPr>
              <w:pStyle w:val="12"/>
            </w:pPr>
            <w:r>
              <w:t>≥600批次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w:t>
            </w:r>
          </w:p>
        </w:tc>
        <w:tc>
          <w:tcPr>
            <w:tcW w:w="2835" w:type="dxa"/>
            <w:vAlign w:val="center"/>
          </w:tcPr>
          <w:p>
            <w:pPr>
              <w:pStyle w:val="12"/>
            </w:pPr>
            <w:r>
              <w:t>成品油抽检工作完成时间</w:t>
            </w:r>
          </w:p>
        </w:tc>
        <w:tc>
          <w:tcPr>
            <w:tcW w:w="2551" w:type="dxa"/>
            <w:vAlign w:val="center"/>
          </w:tcPr>
          <w:p>
            <w:pPr>
              <w:pStyle w:val="12"/>
            </w:pPr>
            <w:r>
              <w:t>202</w:t>
            </w:r>
            <w:r>
              <w:rPr>
                <w:rFonts w:hint="eastAsia"/>
                <w:lang w:eastAsia="zh-CN"/>
              </w:rPr>
              <w:t>2</w:t>
            </w:r>
            <w:r>
              <w:t>年12月31日前</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≤20万元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不合格加油站（点）处理率</w:t>
            </w:r>
          </w:p>
        </w:tc>
        <w:tc>
          <w:tcPr>
            <w:tcW w:w="2835" w:type="dxa"/>
            <w:vAlign w:val="center"/>
          </w:tcPr>
          <w:p>
            <w:pPr>
              <w:pStyle w:val="12"/>
            </w:pPr>
            <w:r>
              <w:t>处理不合格加油站（点）占不合格加油站（点）总数的比例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成品油监管水平</w:t>
            </w:r>
          </w:p>
        </w:tc>
        <w:tc>
          <w:tcPr>
            <w:tcW w:w="2835" w:type="dxa"/>
            <w:vAlign w:val="center"/>
          </w:tcPr>
          <w:p>
            <w:pPr>
              <w:pStyle w:val="12"/>
            </w:pPr>
            <w:r>
              <w:t>成品油监管水平</w:t>
            </w:r>
          </w:p>
        </w:tc>
        <w:tc>
          <w:tcPr>
            <w:tcW w:w="2551" w:type="dxa"/>
            <w:vAlign w:val="center"/>
          </w:tcPr>
          <w:p>
            <w:pPr>
              <w:pStyle w:val="12"/>
            </w:pPr>
            <w:r>
              <w:t>提高</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群众对加油站（点）成品油质量整体满意度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4、2022年煤炭抽检经费绩效目标表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1.通过及时拨付5万元煤炭抽检经费，查处涉及全县22个乡镇的销售劣质散煤及运销不合格散煤行为，煤炭经营主体抽检覆盖率100%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散煤治理覆盖乡镇数量</w:t>
            </w:r>
          </w:p>
        </w:tc>
        <w:tc>
          <w:tcPr>
            <w:tcW w:w="2835" w:type="dxa"/>
            <w:vAlign w:val="center"/>
          </w:tcPr>
          <w:p>
            <w:pPr>
              <w:pStyle w:val="12"/>
            </w:pPr>
            <w:r>
              <w:t>散煤治理工作覆盖乡镇数量</w:t>
            </w:r>
          </w:p>
        </w:tc>
        <w:tc>
          <w:tcPr>
            <w:tcW w:w="2551" w:type="dxa"/>
            <w:vAlign w:val="center"/>
          </w:tcPr>
          <w:p>
            <w:pPr>
              <w:pStyle w:val="12"/>
            </w:pPr>
            <w:r>
              <w:t>22个</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煤炭经营主体抽检覆盖率</w:t>
            </w:r>
          </w:p>
        </w:tc>
        <w:tc>
          <w:tcPr>
            <w:tcW w:w="2835" w:type="dxa"/>
            <w:vAlign w:val="center"/>
          </w:tcPr>
          <w:p>
            <w:pPr>
              <w:pStyle w:val="12"/>
            </w:pPr>
            <w:r>
              <w:t>抽检煤炭经营主体数量占煤炭经营主体总数的比例</w:t>
            </w:r>
          </w:p>
        </w:tc>
        <w:tc>
          <w:tcPr>
            <w:tcW w:w="2551" w:type="dxa"/>
            <w:vAlign w:val="center"/>
          </w:tcPr>
          <w:p>
            <w:pPr>
              <w:pStyle w:val="12"/>
            </w:pPr>
            <w:r>
              <w:t>100%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2835" w:type="dxa"/>
            <w:vAlign w:val="center"/>
          </w:tcPr>
          <w:p>
            <w:pPr>
              <w:pStyle w:val="12"/>
            </w:pPr>
            <w:r>
              <w:t>煤炭抽检按时完成率</w:t>
            </w:r>
          </w:p>
        </w:tc>
        <w:tc>
          <w:tcPr>
            <w:tcW w:w="2551" w:type="dxa"/>
            <w:vAlign w:val="center"/>
          </w:tcPr>
          <w:p>
            <w:pPr>
              <w:pStyle w:val="12"/>
            </w:pPr>
            <w:r>
              <w:t>100%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≤5万元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保证工作正常运行</w:t>
            </w:r>
          </w:p>
        </w:tc>
        <w:tc>
          <w:tcPr>
            <w:tcW w:w="2835" w:type="dxa"/>
            <w:vAlign w:val="center"/>
          </w:tcPr>
          <w:p>
            <w:pPr>
              <w:pStyle w:val="12"/>
            </w:pPr>
            <w:r>
              <w:t>保证工作正常运行</w:t>
            </w:r>
          </w:p>
        </w:tc>
        <w:tc>
          <w:tcPr>
            <w:tcW w:w="2551" w:type="dxa"/>
            <w:vAlign w:val="center"/>
          </w:tcPr>
          <w:p>
            <w:pPr>
              <w:pStyle w:val="12"/>
            </w:pPr>
            <w:r>
              <w:t>正常</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空气质量</w:t>
            </w:r>
          </w:p>
        </w:tc>
        <w:tc>
          <w:tcPr>
            <w:tcW w:w="2835" w:type="dxa"/>
            <w:vAlign w:val="center"/>
          </w:tcPr>
          <w:p>
            <w:pPr>
              <w:pStyle w:val="12"/>
            </w:pPr>
            <w:r>
              <w:t>空气质量逐步改善</w:t>
            </w:r>
          </w:p>
        </w:tc>
        <w:tc>
          <w:tcPr>
            <w:tcW w:w="2551" w:type="dxa"/>
            <w:vAlign w:val="center"/>
          </w:tcPr>
          <w:p>
            <w:pPr>
              <w:pStyle w:val="12"/>
            </w:pPr>
            <w:r>
              <w:t>改善</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群众对空气质量的满意度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5、2022年商品生产、加工及流通环节抽样经费绩效目标表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1.依法对违法企业进行查处，违法企业查处率达90%以上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违法企业查处率</w:t>
            </w:r>
          </w:p>
        </w:tc>
        <w:tc>
          <w:tcPr>
            <w:tcW w:w="2835" w:type="dxa"/>
            <w:vAlign w:val="center"/>
          </w:tcPr>
          <w:p>
            <w:pPr>
              <w:pStyle w:val="12"/>
            </w:pPr>
            <w:r>
              <w:t>查处违法企业数量占违法企业总数的比例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市场主体抽查率</w:t>
            </w:r>
          </w:p>
        </w:tc>
        <w:tc>
          <w:tcPr>
            <w:tcW w:w="2835" w:type="dxa"/>
            <w:vAlign w:val="center"/>
          </w:tcPr>
          <w:p>
            <w:pPr>
              <w:pStyle w:val="12"/>
            </w:pPr>
            <w:r>
              <w:t>抽查市场主体数量占市场主体总数的比例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工作完成时间</w:t>
            </w:r>
          </w:p>
        </w:tc>
        <w:tc>
          <w:tcPr>
            <w:tcW w:w="2551" w:type="dxa"/>
            <w:vAlign w:val="center"/>
          </w:tcPr>
          <w:p>
            <w:pPr>
              <w:pStyle w:val="12"/>
            </w:pPr>
            <w:r>
              <w:t>2022年12月31日前</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≤20万元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抽查覆盖率</w:t>
            </w:r>
          </w:p>
        </w:tc>
        <w:tc>
          <w:tcPr>
            <w:tcW w:w="2835" w:type="dxa"/>
            <w:vAlign w:val="center"/>
          </w:tcPr>
          <w:p>
            <w:pPr>
              <w:pStyle w:val="12"/>
            </w:pPr>
            <w:r>
              <w:t>抽查产品占抽查产品总数的比例</w:t>
            </w:r>
          </w:p>
        </w:tc>
        <w:tc>
          <w:tcPr>
            <w:tcW w:w="2551" w:type="dxa"/>
            <w:vAlign w:val="center"/>
          </w:tcPr>
          <w:p>
            <w:pPr>
              <w:pStyle w:val="12"/>
            </w:pPr>
            <w:r>
              <w:t>≥80%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市场主体产品质量意识</w:t>
            </w:r>
          </w:p>
        </w:tc>
        <w:tc>
          <w:tcPr>
            <w:tcW w:w="2835" w:type="dxa"/>
            <w:vAlign w:val="center"/>
          </w:tcPr>
          <w:p>
            <w:pPr>
              <w:pStyle w:val="12"/>
            </w:pPr>
            <w:r>
              <w:t>市场主体提升产品质量的意识</w:t>
            </w:r>
          </w:p>
        </w:tc>
        <w:tc>
          <w:tcPr>
            <w:tcW w:w="2551" w:type="dxa"/>
            <w:vAlign w:val="center"/>
          </w:tcPr>
          <w:p>
            <w:pPr>
              <w:pStyle w:val="12"/>
            </w:pPr>
            <w:r>
              <w:t>提高</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6、2022年食品抽检工作经费绩效目标表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1.完成上级制定的食品抽检计划，食品抽检1800批次以上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食品抽检批次</w:t>
            </w:r>
          </w:p>
        </w:tc>
        <w:tc>
          <w:tcPr>
            <w:tcW w:w="2835" w:type="dxa"/>
            <w:vAlign w:val="center"/>
          </w:tcPr>
          <w:p>
            <w:pPr>
              <w:pStyle w:val="12"/>
            </w:pPr>
            <w:r>
              <w:t>年度内食品抽检批次</w:t>
            </w:r>
          </w:p>
        </w:tc>
        <w:tc>
          <w:tcPr>
            <w:tcW w:w="2551" w:type="dxa"/>
            <w:vAlign w:val="center"/>
          </w:tcPr>
          <w:p>
            <w:pPr>
              <w:pStyle w:val="12"/>
            </w:pPr>
            <w:r>
              <w:t>≥1800批次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食品抽检率</w:t>
            </w:r>
          </w:p>
        </w:tc>
        <w:tc>
          <w:tcPr>
            <w:tcW w:w="2835" w:type="dxa"/>
            <w:vAlign w:val="center"/>
          </w:tcPr>
          <w:p>
            <w:pPr>
              <w:pStyle w:val="12"/>
            </w:pPr>
            <w:r>
              <w:t>抽检食品占应抽检食品的比例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食品抽检工作完成时间</w:t>
            </w:r>
          </w:p>
        </w:tc>
        <w:tc>
          <w:tcPr>
            <w:tcW w:w="2835" w:type="dxa"/>
            <w:vAlign w:val="center"/>
          </w:tcPr>
          <w:p>
            <w:pPr>
              <w:pStyle w:val="12"/>
            </w:pPr>
            <w:r>
              <w:t>食品抽检工作完成时间</w:t>
            </w:r>
          </w:p>
        </w:tc>
        <w:tc>
          <w:tcPr>
            <w:tcW w:w="2551" w:type="dxa"/>
            <w:vAlign w:val="center"/>
          </w:tcPr>
          <w:p>
            <w:pPr>
              <w:pStyle w:val="12"/>
            </w:pPr>
            <w:r>
              <w:t>2022年12月底前</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≤200万元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不合格产品处置完成率</w:t>
            </w:r>
          </w:p>
        </w:tc>
        <w:tc>
          <w:tcPr>
            <w:tcW w:w="2835" w:type="dxa"/>
            <w:vAlign w:val="center"/>
          </w:tcPr>
          <w:p>
            <w:pPr>
              <w:pStyle w:val="12"/>
            </w:pPr>
            <w:r>
              <w:t>不合格食品核查处置率占不合格食品总量的比例</w:t>
            </w:r>
          </w:p>
        </w:tc>
        <w:tc>
          <w:tcPr>
            <w:tcW w:w="2551" w:type="dxa"/>
            <w:vAlign w:val="center"/>
          </w:tcPr>
          <w:p>
            <w:pPr>
              <w:pStyle w:val="12"/>
            </w:pPr>
            <w:r>
              <w:t>100%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食品监管水平</w:t>
            </w:r>
          </w:p>
        </w:tc>
        <w:tc>
          <w:tcPr>
            <w:tcW w:w="2835" w:type="dxa"/>
            <w:vAlign w:val="center"/>
          </w:tcPr>
          <w:p>
            <w:pPr>
              <w:pStyle w:val="12"/>
            </w:pPr>
            <w:r>
              <w:t>食品监管水平</w:t>
            </w:r>
          </w:p>
        </w:tc>
        <w:tc>
          <w:tcPr>
            <w:tcW w:w="2551" w:type="dxa"/>
            <w:vAlign w:val="center"/>
          </w:tcPr>
          <w:p>
            <w:pPr>
              <w:pStyle w:val="12"/>
            </w:pPr>
            <w:r>
              <w:t>提升</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7、2022年学校营养餐抽检经费绩效目标表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1.完成对全县学校营养餐抽检批次200以上，确保学校营养餐质量，年度内学校重大食品安全事故发生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学校营养餐抽检批次</w:t>
            </w:r>
          </w:p>
        </w:tc>
        <w:tc>
          <w:tcPr>
            <w:tcW w:w="2835" w:type="dxa"/>
            <w:vAlign w:val="center"/>
          </w:tcPr>
          <w:p>
            <w:pPr>
              <w:pStyle w:val="12"/>
            </w:pPr>
            <w:r>
              <w:t>年度内对我县学校营养餐抽检批次</w:t>
            </w:r>
          </w:p>
        </w:tc>
        <w:tc>
          <w:tcPr>
            <w:tcW w:w="2551" w:type="dxa"/>
            <w:vAlign w:val="center"/>
          </w:tcPr>
          <w:p>
            <w:pPr>
              <w:pStyle w:val="12"/>
            </w:pPr>
            <w:r>
              <w:t>≥200批次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抽检率</w:t>
            </w:r>
          </w:p>
        </w:tc>
        <w:tc>
          <w:tcPr>
            <w:tcW w:w="2835" w:type="dxa"/>
            <w:vAlign w:val="center"/>
          </w:tcPr>
          <w:p>
            <w:pPr>
              <w:pStyle w:val="12"/>
            </w:pPr>
            <w:r>
              <w:t>年度内抽检学校营养餐数占我县所有应抽检学校营养餐比例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学校营养餐抽检完成时间</w:t>
            </w:r>
          </w:p>
        </w:tc>
        <w:tc>
          <w:tcPr>
            <w:tcW w:w="2835" w:type="dxa"/>
            <w:vAlign w:val="center"/>
          </w:tcPr>
          <w:p>
            <w:pPr>
              <w:pStyle w:val="12"/>
            </w:pPr>
            <w:r>
              <w:t>2022年完成年度内学校营养餐抽检工作</w:t>
            </w:r>
          </w:p>
        </w:tc>
        <w:tc>
          <w:tcPr>
            <w:tcW w:w="2551" w:type="dxa"/>
            <w:vAlign w:val="center"/>
          </w:tcPr>
          <w:p>
            <w:pPr>
              <w:pStyle w:val="12"/>
            </w:pPr>
            <w:r>
              <w:t>2022年12月31日完成</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w:t>
            </w:r>
          </w:p>
        </w:tc>
        <w:tc>
          <w:tcPr>
            <w:tcW w:w="2835" w:type="dxa"/>
            <w:vAlign w:val="center"/>
          </w:tcPr>
          <w:p>
            <w:pPr>
              <w:pStyle w:val="12"/>
            </w:pPr>
            <w:r>
              <w:t>控制在预算资金内</w:t>
            </w:r>
          </w:p>
        </w:tc>
        <w:tc>
          <w:tcPr>
            <w:tcW w:w="2551" w:type="dxa"/>
            <w:vAlign w:val="center"/>
          </w:tcPr>
          <w:p>
            <w:pPr>
              <w:pStyle w:val="12"/>
            </w:pPr>
            <w:r>
              <w:t>≤36万元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学校营养餐监管水平</w:t>
            </w:r>
          </w:p>
        </w:tc>
        <w:tc>
          <w:tcPr>
            <w:tcW w:w="2835" w:type="dxa"/>
            <w:vAlign w:val="center"/>
          </w:tcPr>
          <w:p>
            <w:pPr>
              <w:pStyle w:val="12"/>
            </w:pPr>
            <w:r>
              <w:t>学校营养餐监管水平逐步提升</w:t>
            </w:r>
          </w:p>
        </w:tc>
        <w:tc>
          <w:tcPr>
            <w:tcW w:w="2551" w:type="dxa"/>
            <w:vAlign w:val="center"/>
          </w:tcPr>
          <w:p>
            <w:pPr>
              <w:pStyle w:val="12"/>
            </w:pPr>
            <w:r>
              <w:t>提升</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学校重大食品安全事故数</w:t>
            </w:r>
          </w:p>
        </w:tc>
        <w:tc>
          <w:tcPr>
            <w:tcW w:w="2835" w:type="dxa"/>
            <w:vAlign w:val="center"/>
          </w:tcPr>
          <w:p>
            <w:pPr>
              <w:pStyle w:val="12"/>
            </w:pPr>
            <w:r>
              <w:t>年度内未出现学校重大食品安全事故</w:t>
            </w:r>
          </w:p>
        </w:tc>
        <w:tc>
          <w:tcPr>
            <w:tcW w:w="2551" w:type="dxa"/>
            <w:vAlign w:val="center"/>
          </w:tcPr>
          <w:p>
            <w:pPr>
              <w:pStyle w:val="12"/>
            </w:pPr>
            <w:r>
              <w:t>未发生</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8、2022年药品抽样费绩效目标表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1.通过及时拨付5万元药品抽样费，完成市局工作安排，药品抽检完成率达90%以上，加强药品监管，年度内无重大药品案件发生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药品抽检批次</w:t>
            </w:r>
          </w:p>
        </w:tc>
        <w:tc>
          <w:tcPr>
            <w:tcW w:w="2835" w:type="dxa"/>
            <w:vAlign w:val="center"/>
          </w:tcPr>
          <w:p>
            <w:pPr>
              <w:pStyle w:val="12"/>
            </w:pPr>
            <w:r>
              <w:t>全年我县药品抽检批次数量</w:t>
            </w:r>
          </w:p>
        </w:tc>
        <w:tc>
          <w:tcPr>
            <w:tcW w:w="2551" w:type="dxa"/>
            <w:vAlign w:val="center"/>
          </w:tcPr>
          <w:p>
            <w:pPr>
              <w:pStyle w:val="12"/>
            </w:pPr>
            <w:r>
              <w:t>27批次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药品抽检完成率</w:t>
            </w:r>
          </w:p>
        </w:tc>
        <w:tc>
          <w:tcPr>
            <w:tcW w:w="2835" w:type="dxa"/>
            <w:vAlign w:val="center"/>
          </w:tcPr>
          <w:p>
            <w:pPr>
              <w:pStyle w:val="12"/>
            </w:pPr>
            <w:r>
              <w:t>年度内药品抽检完成情况占年初药品抽检计划的比例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2835" w:type="dxa"/>
            <w:vAlign w:val="center"/>
          </w:tcPr>
          <w:p>
            <w:pPr>
              <w:pStyle w:val="12"/>
            </w:pPr>
            <w:r>
              <w:t>药品抽样工作完成时间</w:t>
            </w:r>
          </w:p>
        </w:tc>
        <w:tc>
          <w:tcPr>
            <w:tcW w:w="2551" w:type="dxa"/>
            <w:vAlign w:val="center"/>
          </w:tcPr>
          <w:p>
            <w:pPr>
              <w:pStyle w:val="12"/>
            </w:pPr>
            <w:r>
              <w:t>2022年12月底前</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规定在预算资金内</w:t>
            </w:r>
          </w:p>
        </w:tc>
        <w:tc>
          <w:tcPr>
            <w:tcW w:w="2551" w:type="dxa"/>
            <w:vAlign w:val="center"/>
          </w:tcPr>
          <w:p>
            <w:pPr>
              <w:pStyle w:val="12"/>
            </w:pPr>
            <w:r>
              <w:t>≤5万元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重大药品案件发生次数</w:t>
            </w:r>
          </w:p>
        </w:tc>
        <w:tc>
          <w:tcPr>
            <w:tcW w:w="2835" w:type="dxa"/>
            <w:vAlign w:val="center"/>
          </w:tcPr>
          <w:p>
            <w:pPr>
              <w:pStyle w:val="12"/>
            </w:pPr>
            <w:r>
              <w:t>年度内无重大药品案件发生</w:t>
            </w:r>
          </w:p>
        </w:tc>
        <w:tc>
          <w:tcPr>
            <w:tcW w:w="2551" w:type="dxa"/>
            <w:vAlign w:val="center"/>
          </w:tcPr>
          <w:p>
            <w:pPr>
              <w:pStyle w:val="12"/>
            </w:pPr>
            <w:r>
              <w:t>未发生</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公众健康水平意识</w:t>
            </w:r>
          </w:p>
        </w:tc>
        <w:tc>
          <w:tcPr>
            <w:tcW w:w="2835" w:type="dxa"/>
            <w:vAlign w:val="center"/>
          </w:tcPr>
          <w:p>
            <w:pPr>
              <w:pStyle w:val="12"/>
            </w:pPr>
            <w:r>
              <w:t>公众对药品的健康水平意识</w:t>
            </w:r>
          </w:p>
        </w:tc>
        <w:tc>
          <w:tcPr>
            <w:tcW w:w="2551" w:type="dxa"/>
            <w:vAlign w:val="center"/>
          </w:tcPr>
          <w:p>
            <w:pPr>
              <w:pStyle w:val="12"/>
            </w:pPr>
            <w:r>
              <w:t>得到提升</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群众对药品使用安全情况整体满意度</w:t>
            </w:r>
          </w:p>
        </w:tc>
        <w:tc>
          <w:tcPr>
            <w:tcW w:w="2551" w:type="dxa"/>
            <w:vAlign w:val="center"/>
          </w:tcPr>
          <w:p>
            <w:pPr>
              <w:pStyle w:val="12"/>
            </w:pPr>
            <w:r>
              <w:t>≥90%</w:t>
            </w:r>
          </w:p>
        </w:tc>
        <w:tc>
          <w:tcPr>
            <w:tcW w:w="2268" w:type="dxa"/>
            <w:vAlign w:val="center"/>
          </w:tcPr>
          <w:p>
            <w:pPr>
              <w:pStyle w:val="12"/>
            </w:pPr>
            <w:r>
              <w:t>调查问价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9、2022年医疗器械专项整治经费绩效目标表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1.医疗机构检查覆盖率达90%以上，需要资金5万元，确保年度内无医疗器械重大案件发生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医疗器械检查覆盖率</w:t>
            </w:r>
          </w:p>
        </w:tc>
        <w:tc>
          <w:tcPr>
            <w:tcW w:w="2835" w:type="dxa"/>
            <w:vAlign w:val="center"/>
          </w:tcPr>
          <w:p>
            <w:pPr>
              <w:pStyle w:val="12"/>
            </w:pPr>
            <w:r>
              <w:t>年度内检查医疗机构数量占全县医疗机构数量的比例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不合格产品处置率</w:t>
            </w:r>
          </w:p>
        </w:tc>
        <w:tc>
          <w:tcPr>
            <w:tcW w:w="2835" w:type="dxa"/>
            <w:vAlign w:val="center"/>
          </w:tcPr>
          <w:p>
            <w:pPr>
              <w:pStyle w:val="12"/>
            </w:pPr>
            <w:r>
              <w:t>处置的不合格产品占应处置不合格产品总量的比例</w:t>
            </w:r>
          </w:p>
        </w:tc>
        <w:tc>
          <w:tcPr>
            <w:tcW w:w="2551" w:type="dxa"/>
            <w:vAlign w:val="center"/>
          </w:tcPr>
          <w:p>
            <w:pPr>
              <w:pStyle w:val="12"/>
            </w:pPr>
            <w:r>
              <w:t>100%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2835" w:type="dxa"/>
            <w:vAlign w:val="center"/>
          </w:tcPr>
          <w:p>
            <w:pPr>
              <w:pStyle w:val="12"/>
            </w:pPr>
            <w:r>
              <w:t>保证各项支出到位，按时完成各项工作</w:t>
            </w:r>
          </w:p>
        </w:tc>
        <w:tc>
          <w:tcPr>
            <w:tcW w:w="2551" w:type="dxa"/>
            <w:vAlign w:val="center"/>
          </w:tcPr>
          <w:p>
            <w:pPr>
              <w:pStyle w:val="12"/>
            </w:pPr>
            <w:r>
              <w:t>按时</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≤5万元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医疗器械监管水平</w:t>
            </w:r>
          </w:p>
        </w:tc>
        <w:tc>
          <w:tcPr>
            <w:tcW w:w="2835" w:type="dxa"/>
            <w:vAlign w:val="center"/>
          </w:tcPr>
          <w:p>
            <w:pPr>
              <w:pStyle w:val="12"/>
            </w:pPr>
            <w:r>
              <w:t>逐步提高</w:t>
            </w:r>
          </w:p>
        </w:tc>
        <w:tc>
          <w:tcPr>
            <w:tcW w:w="2551" w:type="dxa"/>
            <w:vAlign w:val="center"/>
          </w:tcPr>
          <w:p>
            <w:pPr>
              <w:pStyle w:val="12"/>
            </w:pPr>
            <w:r>
              <w:t>提高</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医疗器械重大案件发生次数</w:t>
            </w:r>
          </w:p>
        </w:tc>
        <w:tc>
          <w:tcPr>
            <w:tcW w:w="2835" w:type="dxa"/>
            <w:vAlign w:val="center"/>
          </w:tcPr>
          <w:p>
            <w:pPr>
              <w:pStyle w:val="12"/>
            </w:pPr>
            <w:r>
              <w:t>医疗器械重大案件发生次数</w:t>
            </w:r>
          </w:p>
        </w:tc>
        <w:tc>
          <w:tcPr>
            <w:tcW w:w="2551" w:type="dxa"/>
            <w:vAlign w:val="center"/>
          </w:tcPr>
          <w:p>
            <w:pPr>
              <w:pStyle w:val="12"/>
            </w:pPr>
            <w:r>
              <w:t>年度内未发生</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群众对医疗器械监管满意度</w:t>
            </w:r>
          </w:p>
        </w:tc>
        <w:tc>
          <w:tcPr>
            <w:tcW w:w="2551" w:type="dxa"/>
            <w:vAlign w:val="center"/>
          </w:tcPr>
          <w:p>
            <w:pPr>
              <w:pStyle w:val="12"/>
            </w:pPr>
            <w:r>
              <w:t>≥90%</w:t>
            </w:r>
          </w:p>
        </w:tc>
        <w:tc>
          <w:tcPr>
            <w:tcW w:w="2268"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10、冀财行[2021]111号河北省财政厅提前下达2022年市场监管专项补助经费绩效目标表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1.通过及时拨付23万元提前市场监管专项补助经费，用于市场监管工作，开展专项整治行动5次以上，净化市场环境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市场专项整治行动次数</w:t>
            </w:r>
          </w:p>
        </w:tc>
        <w:tc>
          <w:tcPr>
            <w:tcW w:w="2835" w:type="dxa"/>
            <w:vAlign w:val="center"/>
          </w:tcPr>
          <w:p>
            <w:pPr>
              <w:pStyle w:val="12"/>
            </w:pPr>
            <w:r>
              <w:t>年度内市场专项整治行动次数</w:t>
            </w:r>
          </w:p>
        </w:tc>
        <w:tc>
          <w:tcPr>
            <w:tcW w:w="2551" w:type="dxa"/>
            <w:vAlign w:val="center"/>
          </w:tcPr>
          <w:p>
            <w:pPr>
              <w:pStyle w:val="12"/>
            </w:pPr>
            <w:r>
              <w:t>≥5次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2835" w:type="dxa"/>
            <w:vAlign w:val="center"/>
          </w:tcPr>
          <w:p>
            <w:pPr>
              <w:pStyle w:val="12"/>
            </w:pPr>
            <w:r>
              <w:t>监管执法完成情况占年初监管计划的比例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资金支出率</w:t>
            </w:r>
          </w:p>
        </w:tc>
        <w:tc>
          <w:tcPr>
            <w:tcW w:w="2835" w:type="dxa"/>
            <w:vAlign w:val="center"/>
          </w:tcPr>
          <w:p>
            <w:pPr>
              <w:pStyle w:val="12"/>
            </w:pPr>
            <w:r>
              <w:t>资金支出率</w:t>
            </w:r>
          </w:p>
        </w:tc>
        <w:tc>
          <w:tcPr>
            <w:tcW w:w="2551" w:type="dxa"/>
            <w:vAlign w:val="center"/>
          </w:tcPr>
          <w:p>
            <w:pPr>
              <w:pStyle w:val="12"/>
            </w:pPr>
            <w:r>
              <w:t>100%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经费使用率</w:t>
            </w:r>
          </w:p>
        </w:tc>
        <w:tc>
          <w:tcPr>
            <w:tcW w:w="2835" w:type="dxa"/>
            <w:vAlign w:val="center"/>
          </w:tcPr>
          <w:p>
            <w:pPr>
              <w:pStyle w:val="12"/>
            </w:pPr>
            <w:r>
              <w:t>经费使用率</w:t>
            </w:r>
          </w:p>
        </w:tc>
        <w:tc>
          <w:tcPr>
            <w:tcW w:w="2551" w:type="dxa"/>
            <w:vAlign w:val="center"/>
          </w:tcPr>
          <w:p>
            <w:pPr>
              <w:pStyle w:val="12"/>
            </w:pPr>
            <w:r>
              <w:t>100%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万台特种设备死亡率</w:t>
            </w:r>
          </w:p>
        </w:tc>
        <w:tc>
          <w:tcPr>
            <w:tcW w:w="2835" w:type="dxa"/>
            <w:vAlign w:val="center"/>
          </w:tcPr>
          <w:p>
            <w:pPr>
              <w:pStyle w:val="12"/>
            </w:pPr>
            <w:r>
              <w:t>万台特种设备死亡率</w:t>
            </w:r>
          </w:p>
        </w:tc>
        <w:tc>
          <w:tcPr>
            <w:tcW w:w="2551" w:type="dxa"/>
            <w:vAlign w:val="center"/>
          </w:tcPr>
          <w:p>
            <w:pPr>
              <w:pStyle w:val="12"/>
            </w:pPr>
            <w:r>
              <w:t>&lt;0.36%</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重大案件发生次数</w:t>
            </w:r>
          </w:p>
        </w:tc>
        <w:tc>
          <w:tcPr>
            <w:tcW w:w="2835" w:type="dxa"/>
            <w:vAlign w:val="center"/>
          </w:tcPr>
          <w:p>
            <w:pPr>
              <w:pStyle w:val="12"/>
            </w:pPr>
            <w:r>
              <w:t>重大案件发生次数</w:t>
            </w:r>
          </w:p>
        </w:tc>
        <w:tc>
          <w:tcPr>
            <w:tcW w:w="2551" w:type="dxa"/>
            <w:vAlign w:val="center"/>
          </w:tcPr>
          <w:p>
            <w:pPr>
              <w:pStyle w:val="12"/>
            </w:pPr>
            <w:r>
              <w:t>未发生</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社会反馈意见对市场监管工作满意度</w:t>
            </w:r>
          </w:p>
        </w:tc>
        <w:tc>
          <w:tcPr>
            <w:tcW w:w="2551" w:type="dxa"/>
            <w:vAlign w:val="center"/>
          </w:tcPr>
          <w:p>
            <w:pPr>
              <w:pStyle w:val="12"/>
            </w:pPr>
            <w:r>
              <w:t>≥85%</w:t>
            </w:r>
          </w:p>
        </w:tc>
        <w:tc>
          <w:tcPr>
            <w:tcW w:w="2268"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2022年，魏县市场监督管理局本级安排政府采购预算238.00万元。具体内容见下表。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414001魏县市场监督管理局本级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238.00</w:t>
            </w:r>
          </w:p>
        </w:tc>
        <w:tc>
          <w:tcPr>
            <w:tcW w:w="964" w:type="dxa"/>
            <w:vAlign w:val="center"/>
          </w:tcPr>
          <w:p>
            <w:pPr>
              <w:pStyle w:val="15"/>
            </w:pPr>
            <w:r>
              <w:t>238.00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魏县市场监督管理局本级小计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238.00</w:t>
            </w:r>
          </w:p>
        </w:tc>
        <w:tc>
          <w:tcPr>
            <w:tcW w:w="964" w:type="dxa"/>
            <w:vAlign w:val="center"/>
          </w:tcPr>
          <w:p>
            <w:pPr>
              <w:pStyle w:val="15"/>
            </w:pPr>
            <w:r>
              <w:t>238.00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t>2022年</w:t>
            </w:r>
            <w:r>
              <w:rPr>
                <w:rFonts w:hint="eastAsia"/>
                <w:lang w:eastAsia="zh-CN"/>
              </w:rPr>
              <w:t>核拨经费</w:t>
            </w:r>
          </w:p>
        </w:tc>
        <w:tc>
          <w:tcPr>
            <w:tcW w:w="964" w:type="dxa"/>
            <w:vAlign w:val="center"/>
          </w:tcPr>
          <w:p>
            <w:pPr>
              <w:pStyle w:val="11"/>
              <w:rPr>
                <w:lang w:eastAsia="zh-CN"/>
              </w:rPr>
            </w:pPr>
            <w:r>
              <w:rPr>
                <w:rFonts w:hint="eastAsia"/>
                <w:lang w:eastAsia="zh-CN"/>
              </w:rPr>
              <w:t>1200.00</w:t>
            </w:r>
          </w:p>
        </w:tc>
        <w:tc>
          <w:tcPr>
            <w:tcW w:w="1134" w:type="dxa"/>
            <w:vAlign w:val="center"/>
          </w:tcPr>
          <w:p>
            <w:pPr>
              <w:pStyle w:val="12"/>
            </w:pPr>
            <w:r>
              <w:t>轿车</w:t>
            </w:r>
          </w:p>
        </w:tc>
        <w:tc>
          <w:tcPr>
            <w:tcW w:w="1134" w:type="dxa"/>
            <w:vAlign w:val="center"/>
          </w:tcPr>
          <w:p>
            <w:pPr>
              <w:pStyle w:val="12"/>
            </w:pPr>
            <w:r>
              <w:t>A02030501</w:t>
            </w:r>
          </w:p>
        </w:tc>
        <w:tc>
          <w:tcPr>
            <w:tcW w:w="709" w:type="dxa"/>
            <w:vAlign w:val="center"/>
          </w:tcPr>
          <w:p>
            <w:pPr>
              <w:pStyle w:val="13"/>
            </w:pPr>
            <w:r>
              <w:t>万元</w:t>
            </w:r>
          </w:p>
        </w:tc>
        <w:tc>
          <w:tcPr>
            <w:tcW w:w="850" w:type="dxa"/>
            <w:vAlign w:val="center"/>
          </w:tcPr>
          <w:p>
            <w:pPr>
              <w:pStyle w:val="11"/>
            </w:pPr>
            <w:r>
              <w:t>2</w:t>
            </w:r>
          </w:p>
        </w:tc>
        <w:tc>
          <w:tcPr>
            <w:tcW w:w="850" w:type="dxa"/>
            <w:vAlign w:val="center"/>
          </w:tcPr>
          <w:p>
            <w:pPr>
              <w:pStyle w:val="11"/>
            </w:pPr>
            <w:r>
              <w:t>12.00</w:t>
            </w:r>
          </w:p>
        </w:tc>
        <w:tc>
          <w:tcPr>
            <w:tcW w:w="964" w:type="dxa"/>
            <w:vAlign w:val="center"/>
          </w:tcPr>
          <w:p>
            <w:pPr>
              <w:pStyle w:val="11"/>
            </w:pPr>
            <w:r>
              <w:t>24.00</w:t>
            </w:r>
          </w:p>
        </w:tc>
        <w:tc>
          <w:tcPr>
            <w:tcW w:w="964" w:type="dxa"/>
            <w:vAlign w:val="center"/>
          </w:tcPr>
          <w:p>
            <w:pPr>
              <w:pStyle w:val="11"/>
            </w:pPr>
            <w:r>
              <w:t>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t>2022年</w:t>
            </w:r>
            <w:r>
              <w:rPr>
                <w:rFonts w:hint="eastAsia"/>
                <w:lang w:eastAsia="zh-CN"/>
              </w:rPr>
              <w:t>核拨经费</w:t>
            </w:r>
          </w:p>
        </w:tc>
        <w:tc>
          <w:tcPr>
            <w:tcW w:w="964" w:type="dxa"/>
            <w:vAlign w:val="center"/>
          </w:tcPr>
          <w:p>
            <w:pPr>
              <w:pStyle w:val="11"/>
              <w:rPr>
                <w:lang w:eastAsia="zh-CN"/>
              </w:rPr>
            </w:pPr>
            <w:r>
              <w:rPr>
                <w:rFonts w:hint="eastAsia"/>
                <w:lang w:eastAsia="zh-CN"/>
              </w:rPr>
              <w:t>1200.00</w:t>
            </w:r>
          </w:p>
        </w:tc>
        <w:tc>
          <w:tcPr>
            <w:tcW w:w="1134" w:type="dxa"/>
            <w:vAlign w:val="center"/>
          </w:tcPr>
          <w:p>
            <w:pPr>
              <w:pStyle w:val="12"/>
            </w:pPr>
            <w:r>
              <w:t>其他乘用车（轿车）</w:t>
            </w:r>
          </w:p>
        </w:tc>
        <w:tc>
          <w:tcPr>
            <w:tcW w:w="1134" w:type="dxa"/>
            <w:vAlign w:val="center"/>
          </w:tcPr>
          <w:p>
            <w:pPr>
              <w:pStyle w:val="12"/>
            </w:pPr>
            <w:r>
              <w:t>A02030599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2022年食品抽检工作经费</w:t>
            </w:r>
          </w:p>
        </w:tc>
        <w:tc>
          <w:tcPr>
            <w:tcW w:w="964" w:type="dxa"/>
            <w:vAlign w:val="center"/>
          </w:tcPr>
          <w:p>
            <w:pPr>
              <w:pStyle w:val="11"/>
            </w:pPr>
            <w:r>
              <w:t>200.00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182.00</w:t>
            </w:r>
          </w:p>
        </w:tc>
        <w:tc>
          <w:tcPr>
            <w:tcW w:w="964" w:type="dxa"/>
            <w:vAlign w:val="center"/>
          </w:tcPr>
          <w:p>
            <w:pPr>
              <w:pStyle w:val="11"/>
            </w:pPr>
            <w:r>
              <w:t>182.00</w:t>
            </w:r>
          </w:p>
        </w:tc>
        <w:tc>
          <w:tcPr>
            <w:tcW w:w="964" w:type="dxa"/>
            <w:vAlign w:val="center"/>
          </w:tcPr>
          <w:p>
            <w:pPr>
              <w:pStyle w:val="11"/>
            </w:pPr>
            <w:r>
              <w:t>182.00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2022年学校营养餐抽检经费</w:t>
            </w:r>
          </w:p>
        </w:tc>
        <w:tc>
          <w:tcPr>
            <w:tcW w:w="964" w:type="dxa"/>
            <w:vAlign w:val="center"/>
          </w:tcPr>
          <w:p>
            <w:pPr>
              <w:pStyle w:val="11"/>
            </w:pPr>
            <w:r>
              <w:t>36.00</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魏县市场监督管理局本级上年末固定资产金额为1344.74万元（详见下表）。本年度拟购置固定资产总额为42.60万元，已按要求列入政府采购预算，详见政府采购预算表。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414001魏县市场监督管理局本级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1344.74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13245.34</w:t>
            </w:r>
          </w:p>
        </w:tc>
        <w:tc>
          <w:tcPr>
            <w:tcW w:w="2835" w:type="dxa"/>
            <w:vAlign w:val="center"/>
          </w:tcPr>
          <w:p>
            <w:pPr>
              <w:pStyle w:val="11"/>
            </w:pPr>
            <w:r>
              <w:t>474.91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26</w:t>
            </w:r>
          </w:p>
        </w:tc>
        <w:tc>
          <w:tcPr>
            <w:tcW w:w="2835" w:type="dxa"/>
            <w:vAlign w:val="center"/>
          </w:tcPr>
          <w:p>
            <w:pPr>
              <w:pStyle w:val="11"/>
            </w:pPr>
            <w:r>
              <w:t>194.17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675.66</w:t>
            </w:r>
          </w:p>
        </w:tc>
      </w:tr>
    </w:tbl>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二、魏县市场监督管理局（差额）收支预算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414002魏县市场监督管理局（差额）</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85.39</w:t>
            </w:r>
          </w:p>
        </w:tc>
        <w:tc>
          <w:tcPr>
            <w:tcW w:w="4535" w:type="dxa"/>
            <w:vAlign w:val="center"/>
          </w:tcPr>
          <w:p>
            <w:pPr>
              <w:pStyle w:val="12"/>
            </w:pPr>
            <w:r>
              <w:t>一、一般公共服务支出</w:t>
            </w:r>
          </w:p>
        </w:tc>
        <w:tc>
          <w:tcPr>
            <w:tcW w:w="2126" w:type="dxa"/>
            <w:vAlign w:val="center"/>
          </w:tcPr>
          <w:p>
            <w:pPr>
              <w:pStyle w:val="11"/>
            </w:pPr>
            <w:r>
              <w:t>80.73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85.39</w:t>
            </w:r>
          </w:p>
        </w:tc>
        <w:tc>
          <w:tcPr>
            <w:tcW w:w="4535" w:type="dxa"/>
            <w:vAlign w:val="center"/>
          </w:tcPr>
          <w:p>
            <w:pPr>
              <w:pStyle w:val="14"/>
            </w:pPr>
            <w:r>
              <w:t>本年支出合计</w:t>
            </w:r>
          </w:p>
        </w:tc>
        <w:tc>
          <w:tcPr>
            <w:tcW w:w="2126" w:type="dxa"/>
            <w:vAlign w:val="center"/>
          </w:tcPr>
          <w:p>
            <w:pPr>
              <w:pStyle w:val="15"/>
            </w:pPr>
            <w:r>
              <w:t>85.39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85.39</w:t>
            </w:r>
          </w:p>
        </w:tc>
        <w:tc>
          <w:tcPr>
            <w:tcW w:w="4535" w:type="dxa"/>
            <w:vAlign w:val="center"/>
          </w:tcPr>
          <w:p>
            <w:pPr>
              <w:pStyle w:val="14"/>
            </w:pPr>
            <w:r>
              <w:t>支出总计</w:t>
            </w:r>
          </w:p>
        </w:tc>
        <w:tc>
          <w:tcPr>
            <w:tcW w:w="2126" w:type="dxa"/>
            <w:vAlign w:val="center"/>
          </w:tcPr>
          <w:p>
            <w:pPr>
              <w:pStyle w:val="15"/>
            </w:pPr>
            <w:r>
              <w:t>85.39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414002魏县市场监督管理局（差额）</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85.39</w:t>
            </w:r>
          </w:p>
        </w:tc>
        <w:tc>
          <w:tcPr>
            <w:tcW w:w="1134" w:type="dxa"/>
            <w:vAlign w:val="center"/>
          </w:tcPr>
          <w:p>
            <w:pPr>
              <w:pStyle w:val="15"/>
            </w:pPr>
            <w:r>
              <w:t>85.39</w:t>
            </w:r>
          </w:p>
        </w:tc>
        <w:tc>
          <w:tcPr>
            <w:tcW w:w="1134" w:type="dxa"/>
            <w:vAlign w:val="center"/>
          </w:tcPr>
          <w:p>
            <w:pPr>
              <w:pStyle w:val="15"/>
            </w:pPr>
            <w:r>
              <w:t>85.39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80.73</w:t>
            </w:r>
          </w:p>
        </w:tc>
        <w:tc>
          <w:tcPr>
            <w:tcW w:w="1134" w:type="dxa"/>
            <w:vAlign w:val="center"/>
          </w:tcPr>
          <w:p>
            <w:pPr>
              <w:pStyle w:val="11"/>
            </w:pPr>
            <w:r>
              <w:t>80.73</w:t>
            </w:r>
          </w:p>
        </w:tc>
        <w:tc>
          <w:tcPr>
            <w:tcW w:w="1134" w:type="dxa"/>
            <w:vAlign w:val="center"/>
          </w:tcPr>
          <w:p>
            <w:pPr>
              <w:pStyle w:val="11"/>
            </w:pPr>
            <w:r>
              <w:t>80.73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80.73</w:t>
            </w:r>
          </w:p>
        </w:tc>
        <w:tc>
          <w:tcPr>
            <w:tcW w:w="1134" w:type="dxa"/>
            <w:vAlign w:val="center"/>
          </w:tcPr>
          <w:p>
            <w:pPr>
              <w:pStyle w:val="11"/>
            </w:pPr>
            <w:r>
              <w:t>80.73</w:t>
            </w:r>
          </w:p>
        </w:tc>
        <w:tc>
          <w:tcPr>
            <w:tcW w:w="1134" w:type="dxa"/>
            <w:vAlign w:val="center"/>
          </w:tcPr>
          <w:p>
            <w:pPr>
              <w:pStyle w:val="11"/>
            </w:pPr>
            <w:r>
              <w:t>80.73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80.73</w:t>
            </w:r>
          </w:p>
        </w:tc>
        <w:tc>
          <w:tcPr>
            <w:tcW w:w="1134" w:type="dxa"/>
            <w:vAlign w:val="center"/>
          </w:tcPr>
          <w:p>
            <w:pPr>
              <w:pStyle w:val="11"/>
            </w:pPr>
            <w:r>
              <w:t>80.73</w:t>
            </w:r>
          </w:p>
        </w:tc>
        <w:tc>
          <w:tcPr>
            <w:tcW w:w="1134" w:type="dxa"/>
            <w:vAlign w:val="center"/>
          </w:tcPr>
          <w:p>
            <w:pPr>
              <w:pStyle w:val="11"/>
            </w:pPr>
            <w:r>
              <w:t>80.73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414002魏县市场监督管理局（差额）</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85.39</w:t>
            </w:r>
          </w:p>
        </w:tc>
        <w:tc>
          <w:tcPr>
            <w:tcW w:w="1361" w:type="dxa"/>
            <w:vAlign w:val="center"/>
          </w:tcPr>
          <w:p>
            <w:pPr>
              <w:pStyle w:val="15"/>
            </w:pPr>
            <w:r>
              <w:t>85.39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80.73</w:t>
            </w:r>
          </w:p>
        </w:tc>
        <w:tc>
          <w:tcPr>
            <w:tcW w:w="1361" w:type="dxa"/>
            <w:vAlign w:val="center"/>
          </w:tcPr>
          <w:p>
            <w:pPr>
              <w:pStyle w:val="11"/>
            </w:pPr>
            <w:r>
              <w:t>80.73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80.73</w:t>
            </w:r>
          </w:p>
        </w:tc>
        <w:tc>
          <w:tcPr>
            <w:tcW w:w="1361" w:type="dxa"/>
            <w:vAlign w:val="center"/>
          </w:tcPr>
          <w:p>
            <w:pPr>
              <w:pStyle w:val="11"/>
            </w:pPr>
            <w:r>
              <w:t>80.73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80.73</w:t>
            </w:r>
          </w:p>
        </w:tc>
        <w:tc>
          <w:tcPr>
            <w:tcW w:w="1361" w:type="dxa"/>
            <w:vAlign w:val="center"/>
          </w:tcPr>
          <w:p>
            <w:pPr>
              <w:pStyle w:val="11"/>
            </w:pPr>
            <w:r>
              <w:t>80.73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414002魏县市场监督管理局（差额）</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85.39</w:t>
            </w:r>
          </w:p>
        </w:tc>
        <w:tc>
          <w:tcPr>
            <w:tcW w:w="3402" w:type="dxa"/>
            <w:vAlign w:val="center"/>
          </w:tcPr>
          <w:p>
            <w:pPr>
              <w:pStyle w:val="12"/>
            </w:pPr>
            <w:r>
              <w:t>一、一般公共服务支出</w:t>
            </w:r>
          </w:p>
        </w:tc>
        <w:tc>
          <w:tcPr>
            <w:tcW w:w="1474" w:type="dxa"/>
            <w:vAlign w:val="center"/>
          </w:tcPr>
          <w:p>
            <w:pPr>
              <w:pStyle w:val="11"/>
            </w:pPr>
            <w:r>
              <w:t>80.73</w:t>
            </w:r>
          </w:p>
        </w:tc>
        <w:tc>
          <w:tcPr>
            <w:tcW w:w="1474" w:type="dxa"/>
            <w:vAlign w:val="center"/>
          </w:tcPr>
          <w:p>
            <w:pPr>
              <w:pStyle w:val="11"/>
            </w:pPr>
            <w:r>
              <w:t>80.73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4.66</w:t>
            </w:r>
          </w:p>
        </w:tc>
        <w:tc>
          <w:tcPr>
            <w:tcW w:w="1474" w:type="dxa"/>
            <w:vAlign w:val="center"/>
          </w:tcPr>
          <w:p>
            <w:pPr>
              <w:pStyle w:val="11"/>
            </w:pPr>
            <w:r>
              <w:t>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85.39</w:t>
            </w:r>
          </w:p>
        </w:tc>
        <w:tc>
          <w:tcPr>
            <w:tcW w:w="3402" w:type="dxa"/>
            <w:vAlign w:val="center"/>
          </w:tcPr>
          <w:p>
            <w:pPr>
              <w:pStyle w:val="14"/>
            </w:pPr>
            <w:r>
              <w:t>本年支出合计</w:t>
            </w:r>
          </w:p>
        </w:tc>
        <w:tc>
          <w:tcPr>
            <w:tcW w:w="1474" w:type="dxa"/>
            <w:vAlign w:val="center"/>
          </w:tcPr>
          <w:p>
            <w:pPr>
              <w:pStyle w:val="15"/>
            </w:pPr>
            <w:r>
              <w:t>85.39</w:t>
            </w:r>
          </w:p>
        </w:tc>
        <w:tc>
          <w:tcPr>
            <w:tcW w:w="1474" w:type="dxa"/>
            <w:vAlign w:val="center"/>
          </w:tcPr>
          <w:p>
            <w:pPr>
              <w:pStyle w:val="15"/>
            </w:pPr>
            <w:r>
              <w:t>85.39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85.39</w:t>
            </w:r>
          </w:p>
        </w:tc>
        <w:tc>
          <w:tcPr>
            <w:tcW w:w="3402" w:type="dxa"/>
            <w:vAlign w:val="center"/>
          </w:tcPr>
          <w:p>
            <w:pPr>
              <w:pStyle w:val="14"/>
            </w:pPr>
            <w:r>
              <w:t>支出总计</w:t>
            </w:r>
          </w:p>
        </w:tc>
        <w:tc>
          <w:tcPr>
            <w:tcW w:w="1474" w:type="dxa"/>
            <w:vAlign w:val="center"/>
          </w:tcPr>
          <w:p>
            <w:pPr>
              <w:pStyle w:val="15"/>
            </w:pPr>
            <w:r>
              <w:t>85.39</w:t>
            </w:r>
          </w:p>
        </w:tc>
        <w:tc>
          <w:tcPr>
            <w:tcW w:w="1474" w:type="dxa"/>
            <w:vAlign w:val="center"/>
          </w:tcPr>
          <w:p>
            <w:pPr>
              <w:pStyle w:val="15"/>
            </w:pPr>
            <w:r>
              <w:t>85.39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414002魏县市场监督管理局（差额）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85.39</w:t>
            </w:r>
          </w:p>
        </w:tc>
        <w:tc>
          <w:tcPr>
            <w:tcW w:w="2551" w:type="dxa"/>
            <w:vAlign w:val="center"/>
          </w:tcPr>
          <w:p>
            <w:pPr>
              <w:pStyle w:val="15"/>
            </w:pPr>
            <w:r>
              <w:t>85.39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80.73</w:t>
            </w:r>
          </w:p>
        </w:tc>
        <w:tc>
          <w:tcPr>
            <w:tcW w:w="2551" w:type="dxa"/>
            <w:vAlign w:val="center"/>
          </w:tcPr>
          <w:p>
            <w:pPr>
              <w:pStyle w:val="11"/>
            </w:pPr>
            <w:r>
              <w:t>80.73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80.73</w:t>
            </w:r>
          </w:p>
        </w:tc>
        <w:tc>
          <w:tcPr>
            <w:tcW w:w="2551" w:type="dxa"/>
            <w:vAlign w:val="center"/>
          </w:tcPr>
          <w:p>
            <w:pPr>
              <w:pStyle w:val="11"/>
            </w:pPr>
            <w:r>
              <w:t>80.73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80.73</w:t>
            </w:r>
          </w:p>
        </w:tc>
        <w:tc>
          <w:tcPr>
            <w:tcW w:w="2551" w:type="dxa"/>
            <w:vAlign w:val="center"/>
          </w:tcPr>
          <w:p>
            <w:pPr>
              <w:pStyle w:val="11"/>
            </w:pPr>
            <w:r>
              <w:t>80.73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414002魏县市场监督管理局（差额）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85.39</w:t>
            </w:r>
          </w:p>
        </w:tc>
        <w:tc>
          <w:tcPr>
            <w:tcW w:w="2551" w:type="dxa"/>
            <w:vAlign w:val="center"/>
          </w:tcPr>
          <w:p>
            <w:pPr>
              <w:pStyle w:val="15"/>
            </w:pPr>
            <w:r>
              <w:t>78.39</w:t>
            </w: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78.39</w:t>
            </w:r>
          </w:p>
        </w:tc>
        <w:tc>
          <w:tcPr>
            <w:tcW w:w="2551" w:type="dxa"/>
            <w:vAlign w:val="center"/>
          </w:tcPr>
          <w:p>
            <w:pPr>
              <w:pStyle w:val="11"/>
            </w:pPr>
            <w:r>
              <w:t>78.39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45.40</w:t>
            </w:r>
          </w:p>
        </w:tc>
        <w:tc>
          <w:tcPr>
            <w:tcW w:w="2551" w:type="dxa"/>
            <w:vAlign w:val="center"/>
          </w:tcPr>
          <w:p>
            <w:pPr>
              <w:pStyle w:val="11"/>
            </w:pPr>
            <w:r>
              <w:t>45.40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0.64</w:t>
            </w:r>
          </w:p>
        </w:tc>
        <w:tc>
          <w:tcPr>
            <w:tcW w:w="2551" w:type="dxa"/>
            <w:vAlign w:val="center"/>
          </w:tcPr>
          <w:p>
            <w:pPr>
              <w:pStyle w:val="11"/>
            </w:pPr>
            <w:r>
              <w:t>0.64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6.06</w:t>
            </w:r>
          </w:p>
        </w:tc>
        <w:tc>
          <w:tcPr>
            <w:tcW w:w="2551" w:type="dxa"/>
            <w:vAlign w:val="center"/>
          </w:tcPr>
          <w:p>
            <w:pPr>
              <w:pStyle w:val="11"/>
            </w:pPr>
            <w:r>
              <w:t>6.06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8.23</w:t>
            </w:r>
          </w:p>
        </w:tc>
        <w:tc>
          <w:tcPr>
            <w:tcW w:w="2551" w:type="dxa"/>
            <w:vAlign w:val="center"/>
          </w:tcPr>
          <w:p>
            <w:pPr>
              <w:pStyle w:val="11"/>
            </w:pPr>
            <w:r>
              <w:t>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4.11</w:t>
            </w:r>
          </w:p>
        </w:tc>
        <w:tc>
          <w:tcPr>
            <w:tcW w:w="2551" w:type="dxa"/>
            <w:vAlign w:val="center"/>
          </w:tcPr>
          <w:p>
            <w:pPr>
              <w:pStyle w:val="11"/>
            </w:pPr>
            <w:r>
              <w:t>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9.29</w:t>
            </w:r>
          </w:p>
        </w:tc>
        <w:tc>
          <w:tcPr>
            <w:tcW w:w="2551" w:type="dxa"/>
            <w:vAlign w:val="center"/>
          </w:tcPr>
          <w:p>
            <w:pPr>
              <w:pStyle w:val="11"/>
            </w:pPr>
            <w:r>
              <w:t>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414002魏县市场监督管理局（差额）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414002魏县市场监督管理局（差额）</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414002魏县市场监督管理局（差额）</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魏县市场监督管理局（差额）2022年单位预算信息公开情况说明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按照《预算法》、《地方预决算公开操作规程》和《关于进一步推进预算公开工作的实施意见》规定，现将魏县市场监督管理局（差额）2022年单位预算公开如下：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贯彻执行上级有关食品、保健食品、化妆品监管的法律法规；负责全县餐饮食品、保健食品、化妆品稽查和保健食品、化妆品抽检；受理餐馆服务、保健食品、化妆品质量案件的举报和投诉</w:t>
      </w:r>
      <w:r>
        <w:rPr>
          <w:rFonts w:hint="eastAsia"/>
          <w:lang w:eastAsia="zh-CN"/>
        </w:rPr>
        <w:t>。</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魏县市场监督管理局（差额）</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按照预算管理有关规定，目前我县部门预算的编制实行综合预算制度，即全部收入和支出都反映的预算中。</w:t>
      </w:r>
    </w:p>
    <w:p>
      <w:pPr>
        <w:pStyle w:val="26"/>
      </w:pPr>
      <w:r>
        <w:t>1、收入说明：2022年收入预算共计85.39元，全部为财政拨款收入。</w:t>
      </w:r>
    </w:p>
    <w:p>
      <w:pPr>
        <w:pStyle w:val="26"/>
      </w:pPr>
      <w:r>
        <w:t>2、支出说明：2022年支出预算共计85.39万元，其中人员经费支出预算78.39万元，公用经费支出预算7万元。</w:t>
      </w:r>
    </w:p>
    <w:p>
      <w:pPr>
        <w:pStyle w:val="26"/>
      </w:pPr>
      <w:r>
        <w:t>3、比上年增减情况：经过对比测算，2022年财政拨款预算比2021年增加10.15万元，主要是：财政补助人员工资增加，公用经费未增减。</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p>
    <w:p>
      <w:pPr>
        <w:pStyle w:val="27"/>
      </w:pPr>
      <w:r>
        <w:t>日常运行经费共计安排7万元，主要用于保证正常办公的基本需要，包括：办公经费。</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2022年财政拨款三公经费预算安排0万元，比上年未增减</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2022年，魏县市场监督管理局（差额）安排政府采购预算0.00万元。具体内容见下表。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414002魏县市场监督管理局（差额）</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魏县市场监督管理局（差额）上年末固定资产金额为0.00万元（详见下表）。本年度拟购置固定资产总额为0.00万元，已按要求列入政府采购预算，详见政府采购预算表。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414002魏县市场监督管理局（差额）</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rPr>
          <w:rFonts w:ascii="黑体" w:hAnsi="黑体" w:eastAsia="黑体" w:cs="黑体"/>
          <w:color w:val="000000"/>
          <w:sz w:val="32"/>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zM3MmJkOGIxNzFjNDE1NGU0ZjZmMmQzYWE2MGMifQ=="/>
  </w:docVars>
  <w:rsids>
    <w:rsidRoot w:val="00F04506"/>
    <w:rsid w:val="00331AA3"/>
    <w:rsid w:val="00560B28"/>
    <w:rsid w:val="007848F4"/>
    <w:rsid w:val="009D1A7A"/>
    <w:rsid w:val="00C64CAA"/>
    <w:rsid w:val="00C93C1A"/>
    <w:rsid w:val="00E8247E"/>
    <w:rsid w:val="00F04506"/>
    <w:rsid w:val="2BAA7C50"/>
    <w:rsid w:val="FFE81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16507</Words>
  <Characters>18938</Characters>
  <Lines>162</Lines>
  <Paragraphs>45</Paragraphs>
  <TotalTime>5</TotalTime>
  <ScaleCrop>false</ScaleCrop>
  <LinksUpToDate>false</LinksUpToDate>
  <CharactersWithSpaces>19293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2023-05-04T14:04:00Z</dcterms:created>
  <dc:creator>Administrator</dc:creator>
  <cp:lastModifiedBy>wxak</cp:lastModifiedBy>
  <dcterms:modified xsi:type="dcterms:W3CDTF">2024-06-21T15:26:53Z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DD33ABDDF1B54ACB93B4606E78579DA5_12</vt:lpwstr>
  </property>
</Properties>
</file>