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numPr>
          <w:ilvl w:val="0"/>
          <w:numId w:val="1"/>
        </w:numPr>
        <w:jc w:val="center"/>
        <w:rPr>
          <w:rFonts w:ascii="黑体" w:hAnsi="黑体" w:eastAsia="黑体" w:cs="黑体"/>
          <w:b/>
          <w:color w:val="000000"/>
          <w:sz w:val="30"/>
        </w:rPr>
      </w:pPr>
      <w:r>
        <w:rPr>
          <w:rFonts w:ascii="黑体" w:hAnsi="黑体" w:eastAsia="黑体" w:cs="黑体"/>
          <w:b/>
          <w:color w:val="000000"/>
          <w:sz w:val="30"/>
        </w:rPr>
        <w:t xml:space="preserve"> 部门所属单位预算</w:t>
      </w:r>
    </w:p>
    <w:p>
      <w:pPr>
        <w:numPr>
          <w:ilvl w:val="0"/>
          <w:numId w:val="0"/>
        </w:numPr>
        <w:jc w:val="both"/>
        <w:rPr>
          <w:rFonts w:ascii="黑体" w:hAnsi="黑体" w:eastAsia="黑体" w:cs="黑体"/>
          <w:b/>
          <w:color w:val="000000"/>
          <w:sz w:val="30"/>
        </w:rPr>
      </w:pPr>
    </w:p>
    <w:p>
      <w:pPr>
        <w:numPr>
          <w:ilvl w:val="0"/>
          <w:numId w:val="0"/>
        </w:numPr>
        <w:jc w:val="both"/>
        <w:rPr>
          <w:rFonts w:hint="eastAsia" w:ascii="黑体" w:hAnsi="黑体" w:eastAsia="黑体" w:cs="黑体"/>
          <w:b/>
          <w:color w:val="000000"/>
          <w:sz w:val="30"/>
          <w:lang w:val="en-US" w:eastAsia="zh-CN"/>
        </w:rPr>
      </w:pPr>
      <w:r>
        <w:rPr>
          <w:rFonts w:hint="eastAsia" w:ascii="黑体" w:hAnsi="黑体" w:eastAsia="黑体" w:cs="黑体"/>
          <w:b/>
          <w:color w:val="000000"/>
          <w:sz w:val="30"/>
          <w:lang w:val="en-US" w:eastAsia="zh-CN"/>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一、魏县供销合作社联合社本级收支预算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659.34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642.05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659.34</w:t>
            </w:r>
          </w:p>
        </w:tc>
        <w:tc>
          <w:tcPr>
            <w:tcW w:w="4535" w:type="dxa"/>
            <w:vAlign w:val="center"/>
          </w:tcPr>
          <w:p>
            <w:pPr>
              <w:pStyle w:val="12"/>
            </w:pPr>
            <w:r>
              <w:t>本年支出合计</w:t>
            </w:r>
          </w:p>
        </w:tc>
        <w:tc>
          <w:tcPr>
            <w:tcW w:w="2126" w:type="dxa"/>
            <w:vAlign w:val="center"/>
          </w:tcPr>
          <w:p>
            <w:pPr>
              <w:pStyle w:val="13"/>
            </w:pPr>
            <w:r>
              <w:t>659.34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659.34</w:t>
            </w:r>
          </w:p>
        </w:tc>
        <w:tc>
          <w:tcPr>
            <w:tcW w:w="4535" w:type="dxa"/>
            <w:vAlign w:val="center"/>
          </w:tcPr>
          <w:p>
            <w:pPr>
              <w:pStyle w:val="12"/>
            </w:pPr>
            <w:r>
              <w:t>支出总计</w:t>
            </w:r>
          </w:p>
        </w:tc>
        <w:tc>
          <w:tcPr>
            <w:tcW w:w="2126" w:type="dxa"/>
            <w:vAlign w:val="center"/>
          </w:tcPr>
          <w:p>
            <w:pPr>
              <w:pStyle w:val="13"/>
            </w:pPr>
            <w:r>
              <w:t>659.34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659.34</w:t>
            </w:r>
          </w:p>
        </w:tc>
        <w:tc>
          <w:tcPr>
            <w:tcW w:w="1134" w:type="dxa"/>
            <w:vAlign w:val="center"/>
          </w:tcPr>
          <w:p>
            <w:pPr>
              <w:pStyle w:val="13"/>
            </w:pPr>
            <w:r>
              <w:t>659.34</w:t>
            </w:r>
          </w:p>
        </w:tc>
        <w:tc>
          <w:tcPr>
            <w:tcW w:w="1134" w:type="dxa"/>
            <w:vAlign w:val="center"/>
          </w:tcPr>
          <w:p>
            <w:pPr>
              <w:pStyle w:val="13"/>
            </w:pPr>
            <w:r>
              <w:t>659.34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r>
              <w:t>13.35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1.89</w:t>
            </w:r>
          </w:p>
        </w:tc>
        <w:tc>
          <w:tcPr>
            <w:tcW w:w="1134" w:type="dxa"/>
            <w:vAlign w:val="center"/>
          </w:tcPr>
          <w:p>
            <w:pPr>
              <w:pStyle w:val="9"/>
            </w:pPr>
            <w:r>
              <w:t>1.89</w:t>
            </w:r>
          </w:p>
        </w:tc>
        <w:tc>
          <w:tcPr>
            <w:tcW w:w="1134" w:type="dxa"/>
            <w:vAlign w:val="center"/>
          </w:tcPr>
          <w:p>
            <w:pPr>
              <w:pStyle w:val="9"/>
            </w:pPr>
            <w:r>
              <w:t>1.89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7.64</w:t>
            </w:r>
          </w:p>
        </w:tc>
        <w:tc>
          <w:tcPr>
            <w:tcW w:w="1134" w:type="dxa"/>
            <w:vAlign w:val="center"/>
          </w:tcPr>
          <w:p>
            <w:pPr>
              <w:pStyle w:val="9"/>
            </w:pPr>
            <w:r>
              <w:t>7.64</w:t>
            </w:r>
          </w:p>
        </w:tc>
        <w:tc>
          <w:tcPr>
            <w:tcW w:w="1134" w:type="dxa"/>
            <w:vAlign w:val="center"/>
          </w:tcPr>
          <w:p>
            <w:pPr>
              <w:pStyle w:val="9"/>
            </w:pPr>
            <w:r>
              <w:t>7.64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3.82</w:t>
            </w:r>
          </w:p>
        </w:tc>
        <w:tc>
          <w:tcPr>
            <w:tcW w:w="1134" w:type="dxa"/>
            <w:vAlign w:val="center"/>
          </w:tcPr>
          <w:p>
            <w:pPr>
              <w:pStyle w:val="9"/>
            </w:pPr>
            <w:r>
              <w:t>3.82</w:t>
            </w:r>
          </w:p>
        </w:tc>
        <w:tc>
          <w:tcPr>
            <w:tcW w:w="1134" w:type="dxa"/>
            <w:vAlign w:val="center"/>
          </w:tcPr>
          <w:p>
            <w:pPr>
              <w:pStyle w:val="9"/>
            </w:pPr>
            <w:r>
              <w:t>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r>
              <w:t>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r>
              <w:t>642.05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pPr>
            <w:r>
              <w:t>行政运行</w:t>
            </w:r>
          </w:p>
        </w:tc>
        <w:tc>
          <w:tcPr>
            <w:tcW w:w="1134" w:type="dxa"/>
            <w:vAlign w:val="center"/>
          </w:tcPr>
          <w:p>
            <w:pPr>
              <w:pStyle w:val="9"/>
            </w:pPr>
            <w:r>
              <w:t>256.05</w:t>
            </w:r>
          </w:p>
        </w:tc>
        <w:tc>
          <w:tcPr>
            <w:tcW w:w="1134" w:type="dxa"/>
            <w:vAlign w:val="center"/>
          </w:tcPr>
          <w:p>
            <w:pPr>
              <w:pStyle w:val="9"/>
            </w:pPr>
            <w:r>
              <w:t>256.05</w:t>
            </w:r>
          </w:p>
        </w:tc>
        <w:tc>
          <w:tcPr>
            <w:tcW w:w="1134" w:type="dxa"/>
            <w:vAlign w:val="center"/>
          </w:tcPr>
          <w:p>
            <w:pPr>
              <w:pStyle w:val="9"/>
            </w:pPr>
            <w:r>
              <w:t>256.05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2160299</w:t>
            </w:r>
          </w:p>
        </w:tc>
        <w:tc>
          <w:tcPr>
            <w:tcW w:w="1559" w:type="dxa"/>
            <w:vAlign w:val="center"/>
          </w:tcPr>
          <w:p>
            <w:pPr>
              <w:pStyle w:val="10"/>
            </w:pPr>
            <w:r>
              <w:t>其他商业流通事务支出</w:t>
            </w:r>
          </w:p>
        </w:tc>
        <w:tc>
          <w:tcPr>
            <w:tcW w:w="1134" w:type="dxa"/>
            <w:vAlign w:val="center"/>
          </w:tcPr>
          <w:p>
            <w:pPr>
              <w:pStyle w:val="9"/>
            </w:pPr>
            <w:r>
              <w:t>386.00</w:t>
            </w:r>
          </w:p>
        </w:tc>
        <w:tc>
          <w:tcPr>
            <w:tcW w:w="1134" w:type="dxa"/>
            <w:vAlign w:val="center"/>
          </w:tcPr>
          <w:p>
            <w:pPr>
              <w:pStyle w:val="9"/>
            </w:pPr>
            <w:r>
              <w:t>386.00</w:t>
            </w:r>
          </w:p>
        </w:tc>
        <w:tc>
          <w:tcPr>
            <w:tcW w:w="1134" w:type="dxa"/>
            <w:vAlign w:val="center"/>
          </w:tcPr>
          <w:p>
            <w:pPr>
              <w:pStyle w:val="9"/>
            </w:pPr>
            <w:r>
              <w:t>386.00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659.34</w:t>
            </w:r>
          </w:p>
        </w:tc>
        <w:tc>
          <w:tcPr>
            <w:tcW w:w="1361" w:type="dxa"/>
            <w:vAlign w:val="center"/>
          </w:tcPr>
          <w:p>
            <w:pPr>
              <w:pStyle w:val="13"/>
            </w:pPr>
            <w:r>
              <w:t>253.34</w:t>
            </w:r>
          </w:p>
        </w:tc>
        <w:tc>
          <w:tcPr>
            <w:tcW w:w="1361" w:type="dxa"/>
            <w:vAlign w:val="center"/>
          </w:tcPr>
          <w:p>
            <w:pPr>
              <w:pStyle w:val="13"/>
            </w:pPr>
            <w:r>
              <w:t>406.00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13.35</w:t>
            </w:r>
          </w:p>
        </w:tc>
        <w:tc>
          <w:tcPr>
            <w:tcW w:w="1361" w:type="dxa"/>
            <w:vAlign w:val="center"/>
          </w:tcPr>
          <w:p>
            <w:pPr>
              <w:pStyle w:val="9"/>
            </w:pPr>
            <w:r>
              <w:t>13.35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13.35</w:t>
            </w:r>
          </w:p>
        </w:tc>
        <w:tc>
          <w:tcPr>
            <w:tcW w:w="1361" w:type="dxa"/>
            <w:vAlign w:val="center"/>
          </w:tcPr>
          <w:p>
            <w:pPr>
              <w:pStyle w:val="9"/>
            </w:pPr>
            <w:r>
              <w:t>13.35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1.89</w:t>
            </w:r>
          </w:p>
        </w:tc>
        <w:tc>
          <w:tcPr>
            <w:tcW w:w="1361" w:type="dxa"/>
            <w:vAlign w:val="center"/>
          </w:tcPr>
          <w:p>
            <w:pPr>
              <w:pStyle w:val="9"/>
            </w:pPr>
            <w:r>
              <w:t>1.89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7.64</w:t>
            </w:r>
          </w:p>
        </w:tc>
        <w:tc>
          <w:tcPr>
            <w:tcW w:w="1361" w:type="dxa"/>
            <w:vAlign w:val="center"/>
          </w:tcPr>
          <w:p>
            <w:pPr>
              <w:pStyle w:val="9"/>
            </w:pPr>
            <w:r>
              <w:t>7.64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3.82</w:t>
            </w:r>
          </w:p>
        </w:tc>
        <w:tc>
          <w:tcPr>
            <w:tcW w:w="1361" w:type="dxa"/>
            <w:vAlign w:val="center"/>
          </w:tcPr>
          <w:p>
            <w:pPr>
              <w:pStyle w:val="9"/>
            </w:pPr>
            <w:r>
              <w:t>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3.94</w:t>
            </w:r>
          </w:p>
        </w:tc>
        <w:tc>
          <w:tcPr>
            <w:tcW w:w="1361" w:type="dxa"/>
            <w:vAlign w:val="center"/>
          </w:tcPr>
          <w:p>
            <w:pPr>
              <w:pStyle w:val="9"/>
            </w:pPr>
            <w:r>
              <w:t>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642.05</w:t>
            </w:r>
          </w:p>
        </w:tc>
        <w:tc>
          <w:tcPr>
            <w:tcW w:w="1361" w:type="dxa"/>
            <w:vAlign w:val="center"/>
          </w:tcPr>
          <w:p>
            <w:pPr>
              <w:pStyle w:val="9"/>
            </w:pPr>
            <w:r>
              <w:t>236.05</w:t>
            </w:r>
          </w:p>
        </w:tc>
        <w:tc>
          <w:tcPr>
            <w:tcW w:w="1361" w:type="dxa"/>
            <w:vAlign w:val="center"/>
          </w:tcPr>
          <w:p>
            <w:pPr>
              <w:pStyle w:val="9"/>
            </w:pPr>
            <w:r>
              <w:t>406.00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642.05</w:t>
            </w:r>
          </w:p>
        </w:tc>
        <w:tc>
          <w:tcPr>
            <w:tcW w:w="1361" w:type="dxa"/>
            <w:vAlign w:val="center"/>
          </w:tcPr>
          <w:p>
            <w:pPr>
              <w:pStyle w:val="9"/>
            </w:pPr>
            <w:r>
              <w:t>236.05</w:t>
            </w:r>
          </w:p>
        </w:tc>
        <w:tc>
          <w:tcPr>
            <w:tcW w:w="1361" w:type="dxa"/>
            <w:vAlign w:val="center"/>
          </w:tcPr>
          <w:p>
            <w:pPr>
              <w:pStyle w:val="9"/>
            </w:pPr>
            <w:r>
              <w:t>406.00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pPr>
            <w:r>
              <w:t>行政运行</w:t>
            </w:r>
          </w:p>
        </w:tc>
        <w:tc>
          <w:tcPr>
            <w:tcW w:w="1361" w:type="dxa"/>
            <w:vAlign w:val="center"/>
          </w:tcPr>
          <w:p>
            <w:pPr>
              <w:pStyle w:val="9"/>
            </w:pPr>
            <w:r>
              <w:t>256.05</w:t>
            </w:r>
          </w:p>
        </w:tc>
        <w:tc>
          <w:tcPr>
            <w:tcW w:w="1361" w:type="dxa"/>
            <w:vAlign w:val="center"/>
          </w:tcPr>
          <w:p>
            <w:pPr>
              <w:pStyle w:val="9"/>
            </w:pPr>
            <w:r>
              <w:t>236.05</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2160299</w:t>
            </w:r>
          </w:p>
        </w:tc>
        <w:tc>
          <w:tcPr>
            <w:tcW w:w="4535" w:type="dxa"/>
            <w:vAlign w:val="center"/>
          </w:tcPr>
          <w:p>
            <w:pPr>
              <w:pStyle w:val="10"/>
            </w:pPr>
            <w:r>
              <w:t>其他商业流通事务支出</w:t>
            </w:r>
          </w:p>
        </w:tc>
        <w:tc>
          <w:tcPr>
            <w:tcW w:w="1361" w:type="dxa"/>
            <w:vAlign w:val="center"/>
          </w:tcPr>
          <w:p>
            <w:pPr>
              <w:pStyle w:val="9"/>
            </w:pPr>
            <w:r>
              <w:t>386.00</w:t>
            </w:r>
          </w:p>
        </w:tc>
        <w:tc>
          <w:tcPr>
            <w:tcW w:w="1361" w:type="dxa"/>
            <w:vAlign w:val="center"/>
          </w:tcPr>
          <w:p>
            <w:pPr>
              <w:pStyle w:val="9"/>
            </w:pPr>
          </w:p>
        </w:tc>
        <w:tc>
          <w:tcPr>
            <w:tcW w:w="1361" w:type="dxa"/>
            <w:vAlign w:val="center"/>
          </w:tcPr>
          <w:p>
            <w:pPr>
              <w:pStyle w:val="9"/>
            </w:pPr>
            <w:r>
              <w:t>386.00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659.34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13.35</w:t>
            </w:r>
          </w:p>
        </w:tc>
        <w:tc>
          <w:tcPr>
            <w:tcW w:w="1474" w:type="dxa"/>
            <w:vAlign w:val="center"/>
          </w:tcPr>
          <w:p>
            <w:pPr>
              <w:pStyle w:val="9"/>
            </w:pPr>
            <w:r>
              <w:t>13.35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3.94</w:t>
            </w:r>
          </w:p>
        </w:tc>
        <w:tc>
          <w:tcPr>
            <w:tcW w:w="1474" w:type="dxa"/>
            <w:vAlign w:val="center"/>
          </w:tcPr>
          <w:p>
            <w:pPr>
              <w:pStyle w:val="9"/>
            </w:pPr>
            <w:r>
              <w:t>3.94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642.05</w:t>
            </w:r>
          </w:p>
        </w:tc>
        <w:tc>
          <w:tcPr>
            <w:tcW w:w="1474" w:type="dxa"/>
            <w:vAlign w:val="center"/>
          </w:tcPr>
          <w:p>
            <w:pPr>
              <w:pStyle w:val="9"/>
            </w:pPr>
            <w:r>
              <w:t>642.05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659.34</w:t>
            </w:r>
          </w:p>
        </w:tc>
        <w:tc>
          <w:tcPr>
            <w:tcW w:w="3402" w:type="dxa"/>
            <w:vAlign w:val="center"/>
          </w:tcPr>
          <w:p>
            <w:pPr>
              <w:pStyle w:val="12"/>
            </w:pPr>
            <w:r>
              <w:t>本年支出合计</w:t>
            </w:r>
          </w:p>
        </w:tc>
        <w:tc>
          <w:tcPr>
            <w:tcW w:w="1474" w:type="dxa"/>
            <w:vAlign w:val="center"/>
          </w:tcPr>
          <w:p>
            <w:pPr>
              <w:pStyle w:val="13"/>
            </w:pPr>
            <w:r>
              <w:t>659.34</w:t>
            </w:r>
          </w:p>
        </w:tc>
        <w:tc>
          <w:tcPr>
            <w:tcW w:w="1474" w:type="dxa"/>
            <w:vAlign w:val="center"/>
          </w:tcPr>
          <w:p>
            <w:pPr>
              <w:pStyle w:val="13"/>
            </w:pPr>
            <w:r>
              <w:t>659.34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659.34</w:t>
            </w:r>
          </w:p>
        </w:tc>
        <w:tc>
          <w:tcPr>
            <w:tcW w:w="3402" w:type="dxa"/>
            <w:vAlign w:val="center"/>
          </w:tcPr>
          <w:p>
            <w:pPr>
              <w:pStyle w:val="12"/>
            </w:pPr>
            <w:r>
              <w:t>支出总计</w:t>
            </w:r>
          </w:p>
        </w:tc>
        <w:tc>
          <w:tcPr>
            <w:tcW w:w="1474" w:type="dxa"/>
            <w:vAlign w:val="center"/>
          </w:tcPr>
          <w:p>
            <w:pPr>
              <w:pStyle w:val="13"/>
            </w:pPr>
            <w:r>
              <w:t>659.34</w:t>
            </w:r>
          </w:p>
        </w:tc>
        <w:tc>
          <w:tcPr>
            <w:tcW w:w="1474" w:type="dxa"/>
            <w:vAlign w:val="center"/>
          </w:tcPr>
          <w:p>
            <w:pPr>
              <w:pStyle w:val="13"/>
            </w:pPr>
            <w:r>
              <w:t>659.34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659.34</w:t>
            </w:r>
          </w:p>
        </w:tc>
        <w:tc>
          <w:tcPr>
            <w:tcW w:w="2551" w:type="dxa"/>
            <w:vAlign w:val="center"/>
          </w:tcPr>
          <w:p>
            <w:pPr>
              <w:pStyle w:val="13"/>
            </w:pPr>
            <w:r>
              <w:t>253.34</w:t>
            </w:r>
          </w:p>
        </w:tc>
        <w:tc>
          <w:tcPr>
            <w:tcW w:w="2551" w:type="dxa"/>
            <w:vAlign w:val="center"/>
          </w:tcPr>
          <w:p>
            <w:pPr>
              <w:pStyle w:val="13"/>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13.35</w:t>
            </w:r>
          </w:p>
        </w:tc>
        <w:tc>
          <w:tcPr>
            <w:tcW w:w="2551" w:type="dxa"/>
            <w:vAlign w:val="center"/>
          </w:tcPr>
          <w:p>
            <w:pPr>
              <w:pStyle w:val="9"/>
            </w:pPr>
            <w:r>
              <w:t>13.35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13.35</w:t>
            </w:r>
          </w:p>
        </w:tc>
        <w:tc>
          <w:tcPr>
            <w:tcW w:w="2551" w:type="dxa"/>
            <w:vAlign w:val="center"/>
          </w:tcPr>
          <w:p>
            <w:pPr>
              <w:pStyle w:val="9"/>
            </w:pPr>
            <w:r>
              <w:t>13.35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7.64</w:t>
            </w:r>
          </w:p>
        </w:tc>
        <w:tc>
          <w:tcPr>
            <w:tcW w:w="2551" w:type="dxa"/>
            <w:vAlign w:val="center"/>
          </w:tcPr>
          <w:p>
            <w:pPr>
              <w:pStyle w:val="9"/>
            </w:pPr>
            <w:r>
              <w:t>7.64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3.82</w:t>
            </w:r>
          </w:p>
        </w:tc>
        <w:tc>
          <w:tcPr>
            <w:tcW w:w="2551" w:type="dxa"/>
            <w:vAlign w:val="center"/>
          </w:tcPr>
          <w:p>
            <w:pPr>
              <w:pStyle w:val="9"/>
            </w:pPr>
            <w:r>
              <w:t>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642.05</w:t>
            </w:r>
          </w:p>
        </w:tc>
        <w:tc>
          <w:tcPr>
            <w:tcW w:w="2551" w:type="dxa"/>
            <w:vAlign w:val="center"/>
          </w:tcPr>
          <w:p>
            <w:pPr>
              <w:pStyle w:val="9"/>
            </w:pPr>
            <w:r>
              <w:t>236.05</w:t>
            </w:r>
          </w:p>
        </w:tc>
        <w:tc>
          <w:tcPr>
            <w:tcW w:w="2551" w:type="dxa"/>
            <w:vAlign w:val="center"/>
          </w:tcPr>
          <w:p>
            <w:pPr>
              <w:pStyle w:val="9"/>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642.05</w:t>
            </w:r>
          </w:p>
        </w:tc>
        <w:tc>
          <w:tcPr>
            <w:tcW w:w="2551" w:type="dxa"/>
            <w:vAlign w:val="center"/>
          </w:tcPr>
          <w:p>
            <w:pPr>
              <w:pStyle w:val="9"/>
            </w:pPr>
            <w:r>
              <w:t>236.05</w:t>
            </w:r>
          </w:p>
        </w:tc>
        <w:tc>
          <w:tcPr>
            <w:tcW w:w="2551" w:type="dxa"/>
            <w:vAlign w:val="center"/>
          </w:tcPr>
          <w:p>
            <w:pPr>
              <w:pStyle w:val="9"/>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pPr>
            <w:r>
              <w:t>行政运行</w:t>
            </w:r>
          </w:p>
        </w:tc>
        <w:tc>
          <w:tcPr>
            <w:tcW w:w="2551" w:type="dxa"/>
            <w:vAlign w:val="center"/>
          </w:tcPr>
          <w:p>
            <w:pPr>
              <w:pStyle w:val="9"/>
            </w:pPr>
            <w:r>
              <w:t>256.05</w:t>
            </w:r>
          </w:p>
        </w:tc>
        <w:tc>
          <w:tcPr>
            <w:tcW w:w="2551" w:type="dxa"/>
            <w:vAlign w:val="center"/>
          </w:tcPr>
          <w:p>
            <w:pPr>
              <w:pStyle w:val="9"/>
            </w:pPr>
            <w:r>
              <w:t>236.05</w:t>
            </w: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2160299</w:t>
            </w:r>
          </w:p>
        </w:tc>
        <w:tc>
          <w:tcPr>
            <w:tcW w:w="4535" w:type="dxa"/>
            <w:vAlign w:val="center"/>
          </w:tcPr>
          <w:p>
            <w:pPr>
              <w:pStyle w:val="10"/>
            </w:pPr>
            <w:r>
              <w:t>其他商业流通事务支出</w:t>
            </w:r>
          </w:p>
        </w:tc>
        <w:tc>
          <w:tcPr>
            <w:tcW w:w="2551" w:type="dxa"/>
            <w:vAlign w:val="center"/>
          </w:tcPr>
          <w:p>
            <w:pPr>
              <w:pStyle w:val="9"/>
            </w:pPr>
            <w:r>
              <w:t>386.00</w:t>
            </w:r>
          </w:p>
        </w:tc>
        <w:tc>
          <w:tcPr>
            <w:tcW w:w="2551" w:type="dxa"/>
            <w:vAlign w:val="center"/>
          </w:tcPr>
          <w:p>
            <w:pPr>
              <w:pStyle w:val="9"/>
            </w:pPr>
          </w:p>
        </w:tc>
        <w:tc>
          <w:tcPr>
            <w:tcW w:w="2551" w:type="dxa"/>
            <w:vAlign w:val="center"/>
          </w:tcPr>
          <w:p>
            <w:pPr>
              <w:pStyle w:val="9"/>
            </w:pPr>
            <w:r>
              <w:t>386.00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253.34</w:t>
            </w:r>
          </w:p>
        </w:tc>
        <w:tc>
          <w:tcPr>
            <w:tcW w:w="2551" w:type="dxa"/>
            <w:vAlign w:val="center"/>
          </w:tcPr>
          <w:p>
            <w:pPr>
              <w:pStyle w:val="13"/>
            </w:pPr>
            <w:r>
              <w:t>239.82</w:t>
            </w:r>
          </w:p>
        </w:tc>
        <w:tc>
          <w:tcPr>
            <w:tcW w:w="2551"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237.93</w:t>
            </w:r>
          </w:p>
        </w:tc>
        <w:tc>
          <w:tcPr>
            <w:tcW w:w="2551" w:type="dxa"/>
            <w:vAlign w:val="center"/>
          </w:tcPr>
          <w:p>
            <w:pPr>
              <w:pStyle w:val="9"/>
            </w:pPr>
            <w:r>
              <w:t>237.93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49.48</w:t>
            </w:r>
          </w:p>
        </w:tc>
        <w:tc>
          <w:tcPr>
            <w:tcW w:w="2551" w:type="dxa"/>
            <w:vAlign w:val="center"/>
          </w:tcPr>
          <w:p>
            <w:pPr>
              <w:pStyle w:val="9"/>
            </w:pPr>
            <w:r>
              <w:t>49.48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5.07</w:t>
            </w:r>
          </w:p>
        </w:tc>
        <w:tc>
          <w:tcPr>
            <w:tcW w:w="2551" w:type="dxa"/>
            <w:vAlign w:val="center"/>
          </w:tcPr>
          <w:p>
            <w:pPr>
              <w:pStyle w:val="9"/>
            </w:pPr>
            <w:r>
              <w:t>5.07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7.64</w:t>
            </w:r>
          </w:p>
        </w:tc>
        <w:tc>
          <w:tcPr>
            <w:tcW w:w="2551" w:type="dxa"/>
            <w:vAlign w:val="center"/>
          </w:tcPr>
          <w:p>
            <w:pPr>
              <w:pStyle w:val="9"/>
            </w:pPr>
            <w:r>
              <w:t>7.64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3.82</w:t>
            </w:r>
          </w:p>
        </w:tc>
        <w:tc>
          <w:tcPr>
            <w:tcW w:w="2551" w:type="dxa"/>
            <w:vAlign w:val="center"/>
          </w:tcPr>
          <w:p>
            <w:pPr>
              <w:pStyle w:val="9"/>
            </w:pPr>
            <w:r>
              <w:t>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3.94</w:t>
            </w:r>
          </w:p>
        </w:tc>
        <w:tc>
          <w:tcPr>
            <w:tcW w:w="2551" w:type="dxa"/>
            <w:vAlign w:val="center"/>
          </w:tcPr>
          <w:p>
            <w:pPr>
              <w:pStyle w:val="9"/>
            </w:pPr>
            <w:r>
              <w:t>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167.98</w:t>
            </w:r>
          </w:p>
        </w:tc>
        <w:tc>
          <w:tcPr>
            <w:tcW w:w="2551" w:type="dxa"/>
            <w:vAlign w:val="center"/>
          </w:tcPr>
          <w:p>
            <w:pPr>
              <w:pStyle w:val="9"/>
            </w:pPr>
            <w:r>
              <w:t>167.98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13.52</w:t>
            </w:r>
          </w:p>
        </w:tc>
        <w:tc>
          <w:tcPr>
            <w:tcW w:w="2551" w:type="dxa"/>
            <w:vAlign w:val="center"/>
          </w:tcPr>
          <w:p>
            <w:pPr>
              <w:pStyle w:val="9"/>
            </w:pPr>
          </w:p>
        </w:tc>
        <w:tc>
          <w:tcPr>
            <w:tcW w:w="2551" w:type="dxa"/>
            <w:vAlign w:val="center"/>
          </w:tcPr>
          <w:p>
            <w:pPr>
              <w:pStyle w:val="9"/>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5.52</w:t>
            </w:r>
          </w:p>
        </w:tc>
        <w:tc>
          <w:tcPr>
            <w:tcW w:w="2551" w:type="dxa"/>
            <w:vAlign w:val="center"/>
          </w:tcPr>
          <w:p>
            <w:pPr>
              <w:pStyle w:val="9"/>
            </w:pPr>
          </w:p>
        </w:tc>
        <w:tc>
          <w:tcPr>
            <w:tcW w:w="2551" w:type="dxa"/>
            <w:vAlign w:val="center"/>
          </w:tcPr>
          <w:p>
            <w:pPr>
              <w:pStyle w:val="9"/>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魏县供销合作社联合社本级2022年单位预算信息公开情况说明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、《地方预决算公开操作规程》和《关于进一步推进预算公开工作的实施意见》规定，现将魏县供销合作社联合社本级2022年单位预算公开如下：</w:t>
      </w: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5"/>
      </w:pPr>
      <w:r>
        <w:rPr>
          <w:rFonts w:hint="eastAsia"/>
          <w:lang w:val="en-US" w:eastAsia="zh-CN"/>
        </w:rPr>
        <w:t>1</w:t>
      </w:r>
      <w:r>
        <w:t>、负责贯彻落实党和国家、省、市上级供销社有关社会发展和农村工作的方针政策、制订全县供销社的发展战略和发展规划，指导全县供销社的改革与发展。</w:t>
      </w:r>
    </w:p>
    <w:p>
      <w:pPr>
        <w:pStyle w:val="15"/>
      </w:pPr>
      <w:r>
        <w:rPr>
          <w:rFonts w:hint="eastAsia"/>
          <w:lang w:val="en-US" w:eastAsia="zh-CN"/>
        </w:rPr>
        <w:t>2</w:t>
      </w:r>
      <w:r>
        <w:t>、负责对全县农业生产资料化肥、农药供应；农副产品、大宗商品棉花及果品收购和再生资源经营进行组织、协调、管理；</w:t>
      </w:r>
    </w:p>
    <w:p>
      <w:pPr>
        <w:pStyle w:val="15"/>
      </w:pPr>
      <w:r>
        <w:rPr>
          <w:rFonts w:hint="eastAsia"/>
          <w:lang w:val="en-US" w:eastAsia="zh-CN"/>
        </w:rPr>
        <w:t>3</w:t>
      </w:r>
      <w:r>
        <w:t>、负责农资，救灾物资等省、市重要物资的储备工作；</w:t>
      </w:r>
    </w:p>
    <w:p>
      <w:pPr>
        <w:pStyle w:val="15"/>
      </w:pPr>
      <w:r>
        <w:rPr>
          <w:rFonts w:hint="eastAsia"/>
          <w:lang w:val="en-US" w:eastAsia="zh-CN"/>
        </w:rPr>
        <w:t>4</w:t>
      </w:r>
      <w:r>
        <w:t>、按照《河北省食盐加碘缺乏危害监督管理条例》和有关规定，负责食盐专营批发、零售和监督管理，许可证发放，市场清理，工业用盐的归口经营管理工作；</w:t>
      </w:r>
    </w:p>
    <w:p>
      <w:pPr>
        <w:pStyle w:val="15"/>
      </w:pPr>
      <w:r>
        <w:rPr>
          <w:rFonts w:hint="eastAsia"/>
          <w:lang w:val="en-US" w:eastAsia="zh-CN"/>
        </w:rPr>
        <w:t>5</w:t>
      </w:r>
      <w:r>
        <w:t>、负责村镇社区综合服务中心建设以及食盐安全村创建工作；</w:t>
      </w:r>
    </w:p>
    <w:p>
      <w:pPr>
        <w:pStyle w:val="15"/>
      </w:pPr>
      <w:r>
        <w:rPr>
          <w:rFonts w:hint="eastAsia"/>
          <w:lang w:val="en-US" w:eastAsia="zh-CN"/>
        </w:rPr>
        <w:t>6</w:t>
      </w:r>
      <w:r>
        <w:t>、负责对全县供销社社办企业进行管理、企业改革及对所属企业社有资产进行监督管理；</w:t>
      </w:r>
    </w:p>
    <w:p>
      <w:pPr>
        <w:pStyle w:val="15"/>
      </w:pPr>
      <w:r>
        <w:rPr>
          <w:rFonts w:hint="eastAsia"/>
          <w:lang w:val="en-US" w:eastAsia="zh-CN"/>
        </w:rPr>
        <w:t>7</w:t>
      </w:r>
      <w:r>
        <w:t>、承担县委、县政府交办的其他工作。</w:t>
      </w:r>
    </w:p>
    <w:p>
      <w:pPr>
        <w:pStyle w:val="15"/>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pStyle w:val="16"/>
      </w:pPr>
      <w:r>
        <w:t>政府事业机构，正科级事业单位。设7个职级（股）室。1、办公室 ；2、人事股；3、财务股；4、纪检审计股；5、信访保卫股；6、业务股；7、企业股。</w:t>
      </w:r>
    </w:p>
    <w:p>
      <w:pPr>
        <w:ind w:firstLine="64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魏县供销合作社联合社本级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numPr>
          <w:ilvl w:val="0"/>
          <w:numId w:val="2"/>
        </w:num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p>
    <w:p>
      <w:pPr>
        <w:numPr>
          <w:ilvl w:val="0"/>
          <w:numId w:val="0"/>
        </w:numPr>
        <w:spacing w:before="10" w:after="10" w:line="360" w:lineRule="auto"/>
        <w:ind w:firstLine="720" w:firstLineChars="300"/>
        <w:outlineLvl w:val="2"/>
      </w:pPr>
      <w:r>
        <w:t>按照预算管理有关规定，目前我县部门预算的编制实行综合预算制度，即全部收入和支出都反映的预算中。</w:t>
      </w:r>
    </w:p>
    <w:p>
      <w:pPr>
        <w:pStyle w:val="16"/>
      </w:pPr>
      <w:r>
        <w:t>1、收入说明：2022年收入预算共计659.84万元，全部为财政拨款收入。</w:t>
      </w:r>
    </w:p>
    <w:p>
      <w:pPr>
        <w:pStyle w:val="16"/>
      </w:pPr>
      <w:r>
        <w:t>2、支出说明：2022年支出预算共计659.84万元，其中人员经费支出预算239.84万元，日常公用经费支出预算</w:t>
      </w:r>
      <w:r>
        <w:rPr>
          <w:rFonts w:hint="eastAsia"/>
          <w:lang w:val="en-US" w:eastAsia="zh-CN"/>
        </w:rPr>
        <w:t>13.52</w:t>
      </w:r>
      <w:r>
        <w:t>万元，</w:t>
      </w:r>
      <w:r>
        <w:rPr>
          <w:rFonts w:hint="eastAsia"/>
          <w:lang w:eastAsia="zh-CN"/>
        </w:rPr>
        <w:t>项目支出</w:t>
      </w:r>
      <w:r>
        <w:rPr>
          <w:rFonts w:hint="eastAsia"/>
          <w:lang w:val="en-US" w:eastAsia="zh-CN"/>
        </w:rPr>
        <w:t>406万元（其中：</w:t>
      </w:r>
      <w:r>
        <w:t>农村产权交易经费项目支出20万元，烟花爆竹清库存项目支出386万元</w:t>
      </w:r>
      <w:r>
        <w:rPr>
          <w:rFonts w:hint="eastAsia"/>
          <w:lang w:eastAsia="zh-CN"/>
        </w:rPr>
        <w:t>）</w:t>
      </w:r>
      <w:r>
        <w:t>。</w:t>
      </w:r>
    </w:p>
    <w:p>
      <w:pPr>
        <w:pStyle w:val="16"/>
      </w:pPr>
      <w:r>
        <w:t>3、比上年增减情况：经过对比测算，2022年财政拨款预算比2021年减少95.04万元，主要是专项烟花爆竹清存资金减少30万元，农业园区经费减少35万元，工作经费减少10万元。</w:t>
      </w:r>
    </w:p>
    <w:p>
      <w:pPr>
        <w:pStyle w:val="16"/>
        <w:rPr>
          <w:rFonts w:hint="eastAsia" w:ascii="黑体" w:hAnsi="黑体" w:eastAsia="黑体" w:cs="黑体"/>
        </w:rPr>
      </w:pPr>
      <w:r>
        <w:rPr>
          <w:rFonts w:hint="eastAsia" w:ascii="黑体" w:hAnsi="黑体" w:eastAsia="黑体" w:cs="黑体"/>
        </w:rPr>
        <w:t>三、机关运行经费安排情况</w:t>
      </w:r>
    </w:p>
    <w:p>
      <w:pPr>
        <w:pStyle w:val="16"/>
      </w:pPr>
      <w:r>
        <w:t>机关运行经费共计安排</w:t>
      </w:r>
      <w:r>
        <w:rPr>
          <w:rFonts w:hint="eastAsia"/>
          <w:lang w:val="en-US" w:eastAsia="zh-CN"/>
        </w:rPr>
        <w:t>13.52</w:t>
      </w:r>
      <w:r>
        <w:t>万元，主要用于保证正常办公的基本需要和维持单位日常业务运转，包括：办公费、印刷费等。</w:t>
      </w:r>
    </w:p>
    <w:p>
      <w:pPr>
        <w:pStyle w:val="16"/>
      </w:pPr>
    </w:p>
    <w:p>
      <w:pPr>
        <w:pStyle w:val="16"/>
        <w:rPr>
          <w:rFonts w:hint="eastAsia" w:ascii="黑体" w:hAnsi="黑体" w:eastAsia="黑体" w:cs="黑体"/>
        </w:rPr>
      </w:pPr>
      <w:r>
        <w:rPr>
          <w:rFonts w:hint="eastAsia" w:ascii="黑体" w:hAnsi="黑体" w:eastAsia="黑体" w:cs="黑体"/>
        </w:rPr>
        <w:t>四、财政拨款“三公”经费预算情况</w:t>
      </w:r>
    </w:p>
    <w:p>
      <w:pPr>
        <w:pStyle w:val="16"/>
        <w:rPr>
          <w:rFonts w:hint="default" w:eastAsia="方正仿宋_GBK"/>
          <w:lang w:val="en-US" w:eastAsia="zh-CN"/>
        </w:rPr>
      </w:pPr>
      <w:r>
        <w:t>2022年，财政拨款“三公”经费预算安排0万元，</w:t>
      </w:r>
      <w:r>
        <w:rPr>
          <w:rFonts w:hint="eastAsia"/>
          <w:lang w:eastAsia="zh-CN"/>
        </w:rPr>
        <w:t>各项</w:t>
      </w:r>
      <w:r>
        <w:t>与2021年相比无增减变化。</w:t>
      </w:r>
      <w:r>
        <w:rPr>
          <w:rFonts w:hint="eastAsia"/>
          <w:lang w:val="en-US" w:eastAsia="zh-CN"/>
        </w:rPr>
        <w:t>原因：2021年度和2022年度没有发生财政拨款“三公”经费支出。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1、农村权交易经费绩效目标表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1.目标内容1、规定农村产权交易行为，在全县建立村级服务点449个，乡镇级服务站22家，帮助农户土地流转45000亩，争取交易额达到8.5亿元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建立村级服务点</w:t>
            </w:r>
          </w:p>
        </w:tc>
        <w:tc>
          <w:tcPr>
            <w:tcW w:w="2835" w:type="dxa"/>
            <w:vAlign w:val="center"/>
          </w:tcPr>
          <w:p>
            <w:pPr>
              <w:pStyle w:val="10"/>
            </w:pPr>
            <w:r>
              <w:t>在全县建立村级服务点449个</w:t>
            </w:r>
          </w:p>
        </w:tc>
        <w:tc>
          <w:tcPr>
            <w:tcW w:w="2551" w:type="dxa"/>
            <w:vAlign w:val="center"/>
          </w:tcPr>
          <w:p>
            <w:pPr>
              <w:pStyle w:val="10"/>
            </w:pPr>
            <w:r>
              <w:t>449个</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建立乡级服务站</w:t>
            </w:r>
          </w:p>
        </w:tc>
        <w:tc>
          <w:tcPr>
            <w:tcW w:w="2835" w:type="dxa"/>
            <w:vAlign w:val="center"/>
          </w:tcPr>
          <w:p>
            <w:pPr>
              <w:pStyle w:val="10"/>
            </w:pPr>
            <w:r>
              <w:t>在全县设立服务站22家</w:t>
            </w:r>
          </w:p>
        </w:tc>
        <w:tc>
          <w:tcPr>
            <w:tcW w:w="2551" w:type="dxa"/>
            <w:vAlign w:val="center"/>
          </w:tcPr>
          <w:p>
            <w:pPr>
              <w:pStyle w:val="10"/>
            </w:pPr>
            <w:r>
              <w:t>22家</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交易额</w:t>
            </w:r>
          </w:p>
        </w:tc>
        <w:tc>
          <w:tcPr>
            <w:tcW w:w="2835" w:type="dxa"/>
            <w:vAlign w:val="center"/>
          </w:tcPr>
          <w:p>
            <w:pPr>
              <w:pStyle w:val="10"/>
            </w:pPr>
            <w:r>
              <w:t>产权交易额完成8.5亿元</w:t>
            </w:r>
          </w:p>
        </w:tc>
        <w:tc>
          <w:tcPr>
            <w:tcW w:w="2551" w:type="dxa"/>
            <w:vAlign w:val="center"/>
          </w:tcPr>
          <w:p>
            <w:pPr>
              <w:pStyle w:val="10"/>
            </w:pPr>
            <w:r>
              <w:t>≥8.5亿</w:t>
            </w:r>
          </w:p>
        </w:tc>
        <w:tc>
          <w:tcPr>
            <w:tcW w:w="2268" w:type="dxa"/>
            <w:vAlign w:val="center"/>
          </w:tcPr>
          <w:p>
            <w:pPr>
              <w:pStyle w:val="10"/>
            </w:pPr>
            <w:r>
              <w:t>运行系统记录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控制成本 </w:t>
            </w:r>
          </w:p>
        </w:tc>
        <w:tc>
          <w:tcPr>
            <w:tcW w:w="2835" w:type="dxa"/>
            <w:vAlign w:val="center"/>
          </w:tcPr>
          <w:p>
            <w:pPr>
              <w:pStyle w:val="10"/>
            </w:pPr>
            <w:r>
              <w:t>严格控制交易成本全年支出不超过20万元</w:t>
            </w:r>
          </w:p>
        </w:tc>
        <w:tc>
          <w:tcPr>
            <w:tcW w:w="2551" w:type="dxa"/>
            <w:vAlign w:val="center"/>
          </w:tcPr>
          <w:p>
            <w:pPr>
              <w:pStyle w:val="10"/>
            </w:pPr>
            <w:r>
              <w:t>20万元</w:t>
            </w:r>
          </w:p>
        </w:tc>
        <w:tc>
          <w:tcPr>
            <w:tcW w:w="2268" w:type="dxa"/>
            <w:vAlign w:val="center"/>
          </w:tcPr>
          <w:p>
            <w:pPr>
              <w:pStyle w:val="10"/>
            </w:pPr>
            <w:r>
              <w:t xml:space="preserve">根据资金支付情况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2835" w:type="dxa"/>
            <w:vAlign w:val="center"/>
          </w:tcPr>
          <w:p>
            <w:pPr>
              <w:pStyle w:val="10"/>
            </w:pPr>
            <w:r>
              <w:t>年内按时完成上级下达任务</w:t>
            </w:r>
          </w:p>
        </w:tc>
        <w:tc>
          <w:tcPr>
            <w:tcW w:w="2551" w:type="dxa"/>
            <w:vAlign w:val="center"/>
          </w:tcPr>
          <w:p>
            <w:pPr>
              <w:pStyle w:val="10"/>
            </w:pPr>
            <w:r>
              <w:t>≤12月</w:t>
            </w:r>
          </w:p>
        </w:tc>
        <w:tc>
          <w:tcPr>
            <w:tcW w:w="2268" w:type="dxa"/>
            <w:vAlign w:val="center"/>
          </w:tcPr>
          <w:p>
            <w:pPr>
              <w:pStyle w:val="10"/>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推动市场</w:t>
            </w:r>
          </w:p>
        </w:tc>
        <w:tc>
          <w:tcPr>
            <w:tcW w:w="2835" w:type="dxa"/>
            <w:vAlign w:val="center"/>
          </w:tcPr>
          <w:p>
            <w:pPr>
              <w:pStyle w:val="10"/>
            </w:pPr>
            <w:r>
              <w:t>推动农村产权交易要素有序流动</w:t>
            </w:r>
          </w:p>
        </w:tc>
        <w:tc>
          <w:tcPr>
            <w:tcW w:w="2551" w:type="dxa"/>
            <w:vAlign w:val="center"/>
          </w:tcPr>
          <w:p>
            <w:pPr>
              <w:pStyle w:val="10"/>
            </w:pPr>
            <w:r>
              <w:t>宣传政策成功案例</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增加收入</w:t>
            </w:r>
          </w:p>
        </w:tc>
        <w:tc>
          <w:tcPr>
            <w:tcW w:w="2835" w:type="dxa"/>
            <w:vAlign w:val="center"/>
          </w:tcPr>
          <w:p>
            <w:pPr>
              <w:pStyle w:val="10"/>
            </w:pPr>
            <w:r>
              <w:t>增加农民收入，提高农民幸福感</w:t>
            </w:r>
          </w:p>
        </w:tc>
        <w:tc>
          <w:tcPr>
            <w:tcW w:w="2551" w:type="dxa"/>
            <w:vAlign w:val="center"/>
          </w:tcPr>
          <w:p>
            <w:pPr>
              <w:pStyle w:val="10"/>
            </w:pPr>
            <w:r>
              <w:t>增加收入</w:t>
            </w:r>
          </w:p>
        </w:tc>
        <w:tc>
          <w:tcPr>
            <w:tcW w:w="2268" w:type="dxa"/>
            <w:vAlign w:val="center"/>
          </w:tcPr>
          <w:p>
            <w:pPr>
              <w:pStyle w:val="10"/>
            </w:pPr>
            <w: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有效带动</w:t>
            </w:r>
          </w:p>
        </w:tc>
        <w:tc>
          <w:tcPr>
            <w:tcW w:w="2835" w:type="dxa"/>
            <w:vAlign w:val="center"/>
          </w:tcPr>
          <w:p>
            <w:pPr>
              <w:pStyle w:val="10"/>
            </w:pPr>
            <w:r>
              <w:t xml:space="preserve">有效带动农村产权交易 </w:t>
            </w:r>
          </w:p>
        </w:tc>
        <w:tc>
          <w:tcPr>
            <w:tcW w:w="2551" w:type="dxa"/>
            <w:vAlign w:val="center"/>
          </w:tcPr>
          <w:p>
            <w:pPr>
              <w:pStyle w:val="10"/>
            </w:pPr>
            <w:r>
              <w:t>带动农村产权交易</w:t>
            </w:r>
          </w:p>
        </w:tc>
        <w:tc>
          <w:tcPr>
            <w:tcW w:w="2268" w:type="dxa"/>
            <w:vAlign w:val="center"/>
          </w:tcPr>
          <w:p>
            <w:pPr>
              <w:pStyle w:val="10"/>
            </w:pPr>
            <w:r>
              <w:t xml:space="preserve">根据有关文件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调查周边群众满意度</w:t>
            </w:r>
          </w:p>
        </w:tc>
        <w:tc>
          <w:tcPr>
            <w:tcW w:w="2835" w:type="dxa"/>
            <w:vAlign w:val="center"/>
          </w:tcPr>
          <w:p>
            <w:pPr>
              <w:pStyle w:val="10"/>
            </w:pPr>
            <w:r>
              <w:t>调查周边群众满意度</w:t>
            </w:r>
          </w:p>
        </w:tc>
        <w:tc>
          <w:tcPr>
            <w:tcW w:w="2551" w:type="dxa"/>
            <w:vAlign w:val="center"/>
          </w:tcPr>
          <w:p>
            <w:pPr>
              <w:pStyle w:val="10"/>
            </w:pPr>
            <w:r>
              <w:t>≥95%</w:t>
            </w:r>
          </w:p>
        </w:tc>
        <w:tc>
          <w:tcPr>
            <w:tcW w:w="2268" w:type="dxa"/>
            <w:vAlign w:val="center"/>
          </w:tcPr>
          <w:p>
            <w:pPr>
              <w:pStyle w:val="10"/>
            </w:pPr>
            <w: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2、2022年烟花爆竹清库存补助资金绩效目标表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1.目标内容1、积极做好清库存损失补贴相关工作。付商户退货款26户，付厂家货款13家，及装卸费等386元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退商户</w:t>
            </w:r>
          </w:p>
        </w:tc>
        <w:tc>
          <w:tcPr>
            <w:tcW w:w="2835" w:type="dxa"/>
            <w:vAlign w:val="center"/>
          </w:tcPr>
          <w:p>
            <w:pPr>
              <w:pStyle w:val="10"/>
            </w:pPr>
            <w:r>
              <w:t>已退货商户26户</w:t>
            </w:r>
          </w:p>
        </w:tc>
        <w:tc>
          <w:tcPr>
            <w:tcW w:w="2551" w:type="dxa"/>
            <w:vAlign w:val="center"/>
          </w:tcPr>
          <w:p>
            <w:pPr>
              <w:pStyle w:val="10"/>
            </w:pPr>
            <w:r>
              <w:t>26户</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退厂家</w:t>
            </w:r>
          </w:p>
        </w:tc>
        <w:tc>
          <w:tcPr>
            <w:tcW w:w="2835" w:type="dxa"/>
            <w:vAlign w:val="center"/>
          </w:tcPr>
          <w:p>
            <w:pPr>
              <w:pStyle w:val="10"/>
            </w:pPr>
            <w:r>
              <w:t>已退货厂家13家</w:t>
            </w:r>
          </w:p>
        </w:tc>
        <w:tc>
          <w:tcPr>
            <w:tcW w:w="2551" w:type="dxa"/>
            <w:vAlign w:val="center"/>
          </w:tcPr>
          <w:p>
            <w:pPr>
              <w:pStyle w:val="10"/>
            </w:pPr>
            <w:r>
              <w:t>13家</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符合标准</w:t>
            </w:r>
          </w:p>
        </w:tc>
        <w:tc>
          <w:tcPr>
            <w:tcW w:w="2835" w:type="dxa"/>
            <w:vAlign w:val="center"/>
          </w:tcPr>
          <w:p>
            <w:pPr>
              <w:pStyle w:val="10"/>
            </w:pPr>
            <w:r>
              <w:t>按照规定按时按要求完成</w:t>
            </w:r>
          </w:p>
        </w:tc>
        <w:tc>
          <w:tcPr>
            <w:tcW w:w="2551" w:type="dxa"/>
            <w:vAlign w:val="center"/>
          </w:tcPr>
          <w:p>
            <w:pPr>
              <w:pStyle w:val="10"/>
            </w:pPr>
            <w:r>
              <w:t>符合相关要求</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按时支付</w:t>
            </w:r>
          </w:p>
        </w:tc>
        <w:tc>
          <w:tcPr>
            <w:tcW w:w="2835" w:type="dxa"/>
            <w:vAlign w:val="center"/>
          </w:tcPr>
          <w:p>
            <w:pPr>
              <w:pStyle w:val="10"/>
            </w:pPr>
            <w:r>
              <w:t>资金到位后第一时间支付</w:t>
            </w:r>
          </w:p>
        </w:tc>
        <w:tc>
          <w:tcPr>
            <w:tcW w:w="2551" w:type="dxa"/>
            <w:vAlign w:val="center"/>
          </w:tcPr>
          <w:p>
            <w:pPr>
              <w:pStyle w:val="10"/>
            </w:pPr>
            <w:r>
              <w:t xml:space="preserve">≤20日 </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资金总额 </w:t>
            </w:r>
          </w:p>
        </w:tc>
        <w:tc>
          <w:tcPr>
            <w:tcW w:w="2835" w:type="dxa"/>
            <w:vAlign w:val="center"/>
          </w:tcPr>
          <w:p>
            <w:pPr>
              <w:pStyle w:val="10"/>
            </w:pPr>
            <w:r>
              <w:t>2022年清库存共需支付386.23万元</w:t>
            </w:r>
          </w:p>
        </w:tc>
        <w:tc>
          <w:tcPr>
            <w:tcW w:w="2551" w:type="dxa"/>
            <w:vAlign w:val="center"/>
          </w:tcPr>
          <w:p>
            <w:pPr>
              <w:pStyle w:val="10"/>
            </w:pPr>
            <w:r>
              <w:t>386万元</w:t>
            </w:r>
          </w:p>
        </w:tc>
        <w:tc>
          <w:tcPr>
            <w:tcW w:w="2268" w:type="dxa"/>
            <w:vAlign w:val="center"/>
          </w:tcPr>
          <w:p>
            <w:pPr>
              <w:pStyle w:val="10"/>
            </w:pPr>
            <w:r>
              <w:t>按有关报表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增加补贴额</w:t>
            </w:r>
          </w:p>
        </w:tc>
        <w:tc>
          <w:tcPr>
            <w:tcW w:w="2835" w:type="dxa"/>
            <w:vAlign w:val="center"/>
          </w:tcPr>
          <w:p>
            <w:pPr>
              <w:pStyle w:val="10"/>
            </w:pPr>
            <w:r>
              <w:t>增加补贴额减少损失</w:t>
            </w:r>
          </w:p>
        </w:tc>
        <w:tc>
          <w:tcPr>
            <w:tcW w:w="2551" w:type="dxa"/>
            <w:vAlign w:val="center"/>
          </w:tcPr>
          <w:p>
            <w:pPr>
              <w:pStyle w:val="10"/>
            </w:pPr>
            <w:r>
              <w:t>补贴到位企业减少损失</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优化环境</w:t>
            </w:r>
          </w:p>
        </w:tc>
        <w:tc>
          <w:tcPr>
            <w:tcW w:w="2835" w:type="dxa"/>
            <w:vAlign w:val="center"/>
          </w:tcPr>
          <w:p>
            <w:pPr>
              <w:pStyle w:val="10"/>
            </w:pPr>
            <w:r>
              <w:t>防治大气污染，改装空气质量</w:t>
            </w:r>
          </w:p>
        </w:tc>
        <w:tc>
          <w:tcPr>
            <w:tcW w:w="2551" w:type="dxa"/>
            <w:vAlign w:val="center"/>
          </w:tcPr>
          <w:p>
            <w:pPr>
              <w:pStyle w:val="10"/>
            </w:pPr>
            <w:r>
              <w:t>改善空气质量</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倡导文明新风</w:t>
            </w:r>
          </w:p>
        </w:tc>
        <w:tc>
          <w:tcPr>
            <w:tcW w:w="2835" w:type="dxa"/>
            <w:vAlign w:val="center"/>
          </w:tcPr>
          <w:p>
            <w:pPr>
              <w:pStyle w:val="10"/>
            </w:pPr>
            <w:r>
              <w:t>禁售禁燃降低公共风险，维护群众健康安全</w:t>
            </w:r>
          </w:p>
        </w:tc>
        <w:tc>
          <w:tcPr>
            <w:tcW w:w="2551" w:type="dxa"/>
            <w:vAlign w:val="center"/>
          </w:tcPr>
          <w:p>
            <w:pPr>
              <w:pStyle w:val="10"/>
            </w:pPr>
            <w:r>
              <w:t>群众健康安全</w:t>
            </w:r>
          </w:p>
        </w:tc>
        <w:tc>
          <w:tcPr>
            <w:tcW w:w="2268" w:type="dxa"/>
            <w:vAlign w:val="center"/>
          </w:tcPr>
          <w:p>
            <w:pPr>
              <w:pStyle w:val="10"/>
            </w:pPr>
            <w:r>
              <w:t>按有关统计数据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调查企业满意度</w:t>
            </w:r>
          </w:p>
        </w:tc>
        <w:tc>
          <w:tcPr>
            <w:tcW w:w="2835" w:type="dxa"/>
            <w:vAlign w:val="center"/>
          </w:tcPr>
          <w:p>
            <w:pPr>
              <w:pStyle w:val="10"/>
            </w:pPr>
            <w:r>
              <w:t>补贴到位对企业开展满意调查</w:t>
            </w:r>
          </w:p>
        </w:tc>
        <w:tc>
          <w:tcPr>
            <w:tcW w:w="2551" w:type="dxa"/>
            <w:vAlign w:val="center"/>
          </w:tcPr>
          <w:p>
            <w:pPr>
              <w:pStyle w:val="10"/>
            </w:pPr>
            <w:r>
              <w:t>≥95%</w:t>
            </w:r>
          </w:p>
        </w:tc>
        <w:tc>
          <w:tcPr>
            <w:tcW w:w="2268" w:type="dxa"/>
            <w:vAlign w:val="center"/>
          </w:tcPr>
          <w:p>
            <w:pPr>
              <w:pStyle w:val="10"/>
            </w:pPr>
            <w:r>
              <w:t xml:space="preserve">按有关调查数据 </w:t>
            </w:r>
          </w:p>
        </w:tc>
      </w:tr>
    </w:tbl>
    <w:p>
      <w:pPr>
        <w:sectPr>
          <w:pgSz w:w="16840" w:h="11900" w:orient="landscape"/>
          <w:pgMar w:top="1361" w:right="1020" w:bottom="1134" w:left="1020" w:header="720" w:footer="720" w:gutter="0"/>
          <w:cols w:space="720" w:num="1"/>
        </w:sectPr>
      </w:pPr>
    </w:p>
    <w:p>
      <w:pPr>
        <w:pStyle w:val="16"/>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2022年，魏县供销合作社联合社安排政府采购预算0.00万元。具体内容见下表。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975魏县供销合作社联合社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魏县供销合作社联合社（含所属单位）上年末固定资产金额为0.00万元（详见下表）。本年度拟购置固定资产总额为0.00万元，已按要求列入政府采购预算，详见政府采购预算表。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975魏县供销合作社联合社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pStyle w:val="23"/>
        <w:rPr>
          <w:rFonts w:hint="eastAsia" w:ascii="黑体" w:hAnsi="黑体" w:eastAsia="黑体" w:cs="黑体"/>
        </w:rPr>
      </w:pPr>
      <w:r>
        <w:rPr>
          <w:rFonts w:hint="eastAsia" w:ascii="黑体" w:hAnsi="黑体" w:eastAsia="黑体" w:cs="黑体"/>
        </w:rPr>
        <w:t>八、专业名词解释</w:t>
      </w:r>
    </w:p>
    <w:p>
      <w:pPr>
        <w:pStyle w:val="23"/>
      </w:pPr>
      <w:r>
        <w:t>1、一般共预算拨款收入：指</w:t>
      </w:r>
      <w:r>
        <w:rPr>
          <w:rFonts w:hint="eastAsia"/>
          <w:lang w:val="en-US" w:eastAsia="zh-CN"/>
        </w:rPr>
        <w:t>县级</w:t>
      </w:r>
      <w:r>
        <w:t>财政当年拨付的资金。</w:t>
      </w:r>
    </w:p>
    <w:p>
      <w:pPr>
        <w:pStyle w:val="23"/>
      </w:pPr>
      <w:r>
        <w:t>2、事业收入：指事业单位开展专业业务活动及辅助活动所取得的收入。如：注册会计师协会、注册资产评估师协会收取的会费收入等。</w:t>
      </w:r>
    </w:p>
    <w:p>
      <w:pPr>
        <w:pStyle w:val="23"/>
      </w:pPr>
      <w:r>
        <w:t>3、其他收入：指除上述“财政拨款收入”、“事业收入”等以外的收入。主要是按规定动用的租房收入、存款利息收入、中国清洁发展基金拨入的管理费等。</w:t>
      </w:r>
    </w:p>
    <w:p>
      <w:pPr>
        <w:pStyle w:val="23"/>
      </w:pPr>
      <w:r>
        <w:t>4、基本支出：指为保障机构正常运转、完成日常工作任务而发生的人员支出和公用支出。</w:t>
      </w:r>
    </w:p>
    <w:p>
      <w:pPr>
        <w:pStyle w:val="23"/>
      </w:pPr>
      <w:r>
        <w:t>5、项目支出：指在基本支出之外为完成特定行政任务和事业发展目标所发生的支出。</w:t>
      </w:r>
    </w:p>
    <w:p>
      <w:pPr>
        <w:pStyle w:val="23"/>
      </w:pPr>
      <w:r>
        <w:t>6、上缴上级支出：指所属单位上缴上级的支出。</w:t>
      </w:r>
    </w:p>
    <w:p>
      <w:pPr>
        <w:pStyle w:val="23"/>
      </w:pPr>
      <w:r>
        <w:t>7、“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3"/>
      </w:pPr>
      <w: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pPr>
    </w:p>
    <w:p>
      <w:pPr>
        <w:pStyle w:val="23"/>
        <w:rPr>
          <w:rFonts w:hint="eastAsia" w:ascii="黑体" w:hAnsi="黑体" w:eastAsia="黑体" w:cs="黑体"/>
        </w:rPr>
      </w:pPr>
      <w:r>
        <w:rPr>
          <w:rFonts w:hint="eastAsia" w:ascii="黑体" w:hAnsi="黑体" w:eastAsia="黑体" w:cs="黑体"/>
        </w:rPr>
        <w:t>九、其他需说明的事项</w:t>
      </w:r>
    </w:p>
    <w:p>
      <w:pPr>
        <w:pStyle w:val="23"/>
      </w:pPr>
      <w:r>
        <w:t>无其他特别说明事项。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05CCD"/>
    <w:multiLevelType w:val="singleLevel"/>
    <w:tmpl w:val="B5705CCD"/>
    <w:lvl w:ilvl="0" w:tentative="0">
      <w:start w:val="2"/>
      <w:numFmt w:val="chineseCounting"/>
      <w:suff w:val="nothing"/>
      <w:lvlText w:val="%1、"/>
      <w:lvlJc w:val="left"/>
      <w:rPr>
        <w:rFonts w:hint="eastAsia"/>
      </w:rPr>
    </w:lvl>
  </w:abstractNum>
  <w:abstractNum w:abstractNumId="1">
    <w:nsid w:val="6CE7FC1A"/>
    <w:multiLevelType w:val="singleLevel"/>
    <w:tmpl w:val="6CE7FC1A"/>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TRjMmMxMjcyMmJjMmEyNWJmMGVmMzJhNmU5YTUifQ=="/>
  </w:docVars>
  <w:rsids>
    <w:rsidRoot w:val="006C397B"/>
    <w:rsid w:val="00225B1B"/>
    <w:rsid w:val="006C397B"/>
    <w:rsid w:val="009F63FF"/>
    <w:rsid w:val="00A42498"/>
    <w:rsid w:val="00DE7A9F"/>
    <w:rsid w:val="00E83117"/>
    <w:rsid w:val="00EE7CAD"/>
    <w:rsid w:val="01025C5A"/>
    <w:rsid w:val="08CC1CD0"/>
    <w:rsid w:val="256E4A38"/>
    <w:rsid w:val="28335AC5"/>
    <w:rsid w:val="3D934A80"/>
    <w:rsid w:val="3E9E1A93"/>
    <w:rsid w:val="43666E65"/>
    <w:rsid w:val="4A905231"/>
    <w:rsid w:val="54023D56"/>
    <w:rsid w:val="54B475E5"/>
    <w:rsid w:val="55BE3A8B"/>
    <w:rsid w:val="56417C4B"/>
    <w:rsid w:val="5A3F4DB6"/>
    <w:rsid w:val="5DBD6E2E"/>
    <w:rsid w:val="628C5F22"/>
    <w:rsid w:val="62FF4972"/>
    <w:rsid w:val="668B1C92"/>
    <w:rsid w:val="6C2F13B5"/>
    <w:rsid w:val="6C44332B"/>
    <w:rsid w:val="73BB0416"/>
    <w:rsid w:val="79646E59"/>
    <w:rsid w:val="79BF8B24"/>
    <w:rsid w:val="7F42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5277</Words>
  <Characters>6356</Characters>
  <Lines>160</Lines>
  <Paragraphs>45</Paragraphs>
  <TotalTime>46</TotalTime>
  <ScaleCrop>false</ScaleCrop>
  <LinksUpToDate>false</LinksUpToDate>
  <CharactersWithSpaces>6494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2022-03-04T11:01:00Z</dcterms:created>
  <dc:creator>Administrator</dc:creator>
  <cp:lastModifiedBy>wxak</cp:lastModifiedBy>
  <dcterms:modified xsi:type="dcterms:W3CDTF">2024-06-18T20:16:45Z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0DE9AD87AEA942058ADD5C1567D17311_13</vt:lpwstr>
  </property>
</Properties>
</file>