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6" w:name="_GoBack"/>
      <w:bookmarkEnd w:id="16"/>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0"/>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 xml:space="preserve"> </w:t>
      </w:r>
      <w:r>
        <w:fldChar w:fldCharType="end"/>
      </w:r>
      <w:r>
        <w:rPr>
          <w:rFonts w:hint="eastAsia"/>
          <w:lang w:val="en-US" w:eastAsia="zh-CN"/>
        </w:rPr>
        <w:t>15</w:t>
      </w:r>
    </w:p>
    <w:p>
      <w:pPr>
        <w:pStyle w:val="30"/>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 xml:space="preserve"> </w:t>
      </w:r>
      <w:r>
        <w:fldChar w:fldCharType="end"/>
      </w:r>
      <w:r>
        <w:rPr>
          <w:rFonts w:hint="eastAsia"/>
          <w:lang w:val="en-US" w:eastAsia="zh-CN"/>
        </w:rPr>
        <w:t>16</w:t>
      </w:r>
    </w:p>
    <w:p>
      <w:pPr>
        <w:pStyle w:val="30"/>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 xml:space="preserve"> </w:t>
      </w:r>
      <w:r>
        <w:fldChar w:fldCharType="end"/>
      </w:r>
      <w:r>
        <w:rPr>
          <w:rFonts w:hint="eastAsia"/>
          <w:lang w:val="en-US" w:eastAsia="zh-CN"/>
        </w:rPr>
        <w:t>16</w:t>
      </w:r>
    </w:p>
    <w:p>
      <w:pPr>
        <w:pStyle w:val="30"/>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0</w:t>
      </w:r>
    </w:p>
    <w:p>
      <w:pPr>
        <w:pStyle w:val="30"/>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0</w:t>
      </w:r>
    </w:p>
    <w:p>
      <w:pPr>
        <w:pStyle w:val="30"/>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1</w:t>
      </w:r>
    </w:p>
    <w:p>
      <w:pPr>
        <w:pStyle w:val="30"/>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2</w:t>
      </w:r>
    </w:p>
    <w:p>
      <w:r>
        <w:fldChar w:fldCharType="end"/>
      </w:r>
    </w:p>
    <w:p>
      <w:pPr>
        <w:jc w:val="center"/>
      </w:pPr>
      <w:r>
        <w:rPr>
          <w:rFonts w:ascii="黑体" w:hAnsi="黑体" w:eastAsia="黑体" w:cs="黑体"/>
          <w:b/>
          <w:color w:val="000000"/>
          <w:sz w:val="30"/>
        </w:rPr>
        <w:t>第二部分  部门所属单位预算</w:t>
      </w:r>
    </w:p>
    <w:p>
      <w:pPr>
        <w:pStyle w:val="30"/>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一、魏县供销合作社联合社本级收支预算</w:t>
      </w:r>
      <w:r>
        <w:tab/>
      </w:r>
      <w:r>
        <w:rPr>
          <w:rFonts w:hint="eastAsia"/>
          <w:lang w:val="en-US" w:eastAsia="zh-CN"/>
        </w:rPr>
        <w:t>2</w:t>
      </w:r>
      <w:r>
        <w:fldChar w:fldCharType="end"/>
      </w:r>
      <w:r>
        <w:rPr>
          <w:rFonts w:hint="eastAsia"/>
          <w:lang w:val="en-US" w:eastAsia="zh-CN"/>
        </w:rPr>
        <w:t>3</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975魏县供销合作社联合社</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659.34</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r>
              <w:t>642.05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659.34</w:t>
            </w:r>
          </w:p>
        </w:tc>
        <w:tc>
          <w:tcPr>
            <w:tcW w:w="4535" w:type="dxa"/>
            <w:vAlign w:val="center"/>
          </w:tcPr>
          <w:p>
            <w:pPr>
              <w:pStyle w:val="12"/>
            </w:pPr>
            <w:r>
              <w:t>本年支出合计</w:t>
            </w:r>
          </w:p>
        </w:tc>
        <w:tc>
          <w:tcPr>
            <w:tcW w:w="2126" w:type="dxa"/>
            <w:vAlign w:val="center"/>
          </w:tcPr>
          <w:p>
            <w:pPr>
              <w:pStyle w:val="13"/>
            </w:pPr>
            <w:r>
              <w:t>659.34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659.34</w:t>
            </w:r>
          </w:p>
        </w:tc>
        <w:tc>
          <w:tcPr>
            <w:tcW w:w="4535" w:type="dxa"/>
            <w:vAlign w:val="center"/>
          </w:tcPr>
          <w:p>
            <w:pPr>
              <w:pStyle w:val="12"/>
            </w:pPr>
            <w:r>
              <w:t>支出总计</w:t>
            </w:r>
          </w:p>
        </w:tc>
        <w:tc>
          <w:tcPr>
            <w:tcW w:w="2126" w:type="dxa"/>
            <w:vAlign w:val="center"/>
          </w:tcPr>
          <w:p>
            <w:pPr>
              <w:pStyle w:val="13"/>
            </w:pPr>
            <w:r>
              <w:t>659.34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975魏县供销合作社联合社</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659.34</w:t>
            </w:r>
          </w:p>
        </w:tc>
        <w:tc>
          <w:tcPr>
            <w:tcW w:w="1134" w:type="dxa"/>
            <w:vAlign w:val="center"/>
          </w:tcPr>
          <w:p>
            <w:pPr>
              <w:pStyle w:val="13"/>
            </w:pPr>
            <w:r>
              <w:t>659.34</w:t>
            </w:r>
          </w:p>
        </w:tc>
        <w:tc>
          <w:tcPr>
            <w:tcW w:w="1134" w:type="dxa"/>
            <w:vAlign w:val="center"/>
          </w:tcPr>
          <w:p>
            <w:pPr>
              <w:pStyle w:val="13"/>
            </w:pPr>
            <w:r>
              <w:t>659.34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13.35</w:t>
            </w:r>
          </w:p>
        </w:tc>
        <w:tc>
          <w:tcPr>
            <w:tcW w:w="1134" w:type="dxa"/>
            <w:vAlign w:val="center"/>
          </w:tcPr>
          <w:p>
            <w:pPr>
              <w:pStyle w:val="9"/>
            </w:pPr>
            <w:r>
              <w:t>13.35</w:t>
            </w:r>
          </w:p>
        </w:tc>
        <w:tc>
          <w:tcPr>
            <w:tcW w:w="1134" w:type="dxa"/>
            <w:vAlign w:val="center"/>
          </w:tcPr>
          <w:p>
            <w:pPr>
              <w:pStyle w:val="9"/>
            </w:pPr>
            <w:r>
              <w:t>13.35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13.35</w:t>
            </w:r>
          </w:p>
        </w:tc>
        <w:tc>
          <w:tcPr>
            <w:tcW w:w="1134" w:type="dxa"/>
            <w:vAlign w:val="center"/>
          </w:tcPr>
          <w:p>
            <w:pPr>
              <w:pStyle w:val="9"/>
            </w:pPr>
            <w:r>
              <w:t>13.35</w:t>
            </w:r>
          </w:p>
        </w:tc>
        <w:tc>
          <w:tcPr>
            <w:tcW w:w="1134" w:type="dxa"/>
            <w:vAlign w:val="center"/>
          </w:tcPr>
          <w:p>
            <w:pPr>
              <w:pStyle w:val="9"/>
            </w:pPr>
            <w:r>
              <w:t>13.35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1.89</w:t>
            </w:r>
          </w:p>
        </w:tc>
        <w:tc>
          <w:tcPr>
            <w:tcW w:w="1134" w:type="dxa"/>
            <w:vAlign w:val="center"/>
          </w:tcPr>
          <w:p>
            <w:pPr>
              <w:pStyle w:val="9"/>
            </w:pPr>
            <w:r>
              <w:t>1.89</w:t>
            </w:r>
          </w:p>
        </w:tc>
        <w:tc>
          <w:tcPr>
            <w:tcW w:w="1134" w:type="dxa"/>
            <w:vAlign w:val="center"/>
          </w:tcPr>
          <w:p>
            <w:pPr>
              <w:pStyle w:val="9"/>
            </w:pPr>
            <w:r>
              <w:t>1.89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7.64</w:t>
            </w:r>
          </w:p>
        </w:tc>
        <w:tc>
          <w:tcPr>
            <w:tcW w:w="1134" w:type="dxa"/>
            <w:vAlign w:val="center"/>
          </w:tcPr>
          <w:p>
            <w:pPr>
              <w:pStyle w:val="9"/>
            </w:pPr>
            <w:r>
              <w:t>7.64</w:t>
            </w:r>
          </w:p>
        </w:tc>
        <w:tc>
          <w:tcPr>
            <w:tcW w:w="1134" w:type="dxa"/>
            <w:vAlign w:val="center"/>
          </w:tcPr>
          <w:p>
            <w:pPr>
              <w:pStyle w:val="9"/>
            </w:pPr>
            <w:r>
              <w:t>7.64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3.82</w:t>
            </w:r>
          </w:p>
        </w:tc>
        <w:tc>
          <w:tcPr>
            <w:tcW w:w="1134" w:type="dxa"/>
            <w:vAlign w:val="center"/>
          </w:tcPr>
          <w:p>
            <w:pPr>
              <w:pStyle w:val="9"/>
            </w:pPr>
            <w:r>
              <w:t>3.82</w:t>
            </w:r>
          </w:p>
        </w:tc>
        <w:tc>
          <w:tcPr>
            <w:tcW w:w="1134" w:type="dxa"/>
            <w:vAlign w:val="center"/>
          </w:tcPr>
          <w:p>
            <w:pPr>
              <w:pStyle w:val="9"/>
            </w:pPr>
            <w:r>
              <w:t>3.82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216</w:t>
            </w:r>
          </w:p>
        </w:tc>
        <w:tc>
          <w:tcPr>
            <w:tcW w:w="1559" w:type="dxa"/>
            <w:vAlign w:val="center"/>
          </w:tcPr>
          <w:p>
            <w:pPr>
              <w:pStyle w:val="10"/>
            </w:pPr>
            <w:r>
              <w:t>商业服务业等支出</w:t>
            </w:r>
          </w:p>
        </w:tc>
        <w:tc>
          <w:tcPr>
            <w:tcW w:w="1134" w:type="dxa"/>
            <w:vAlign w:val="center"/>
          </w:tcPr>
          <w:p>
            <w:pPr>
              <w:pStyle w:val="9"/>
            </w:pPr>
            <w:r>
              <w:t>642.05</w:t>
            </w:r>
          </w:p>
        </w:tc>
        <w:tc>
          <w:tcPr>
            <w:tcW w:w="1134" w:type="dxa"/>
            <w:vAlign w:val="center"/>
          </w:tcPr>
          <w:p>
            <w:pPr>
              <w:pStyle w:val="9"/>
            </w:pPr>
            <w:r>
              <w:t>642.05</w:t>
            </w:r>
          </w:p>
        </w:tc>
        <w:tc>
          <w:tcPr>
            <w:tcW w:w="1134" w:type="dxa"/>
            <w:vAlign w:val="center"/>
          </w:tcPr>
          <w:p>
            <w:pPr>
              <w:pStyle w:val="9"/>
            </w:pPr>
            <w:r>
              <w:t>642.05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21602</w:t>
            </w:r>
          </w:p>
        </w:tc>
        <w:tc>
          <w:tcPr>
            <w:tcW w:w="1559" w:type="dxa"/>
            <w:vAlign w:val="center"/>
          </w:tcPr>
          <w:p>
            <w:pPr>
              <w:pStyle w:val="10"/>
            </w:pPr>
            <w:r>
              <w:t>商业流通事务</w:t>
            </w:r>
          </w:p>
        </w:tc>
        <w:tc>
          <w:tcPr>
            <w:tcW w:w="1134" w:type="dxa"/>
            <w:vAlign w:val="center"/>
          </w:tcPr>
          <w:p>
            <w:pPr>
              <w:pStyle w:val="9"/>
            </w:pPr>
            <w:r>
              <w:t>642.05</w:t>
            </w:r>
          </w:p>
        </w:tc>
        <w:tc>
          <w:tcPr>
            <w:tcW w:w="1134" w:type="dxa"/>
            <w:vAlign w:val="center"/>
          </w:tcPr>
          <w:p>
            <w:pPr>
              <w:pStyle w:val="9"/>
            </w:pPr>
            <w:r>
              <w:t>642.05</w:t>
            </w:r>
          </w:p>
        </w:tc>
        <w:tc>
          <w:tcPr>
            <w:tcW w:w="1134" w:type="dxa"/>
            <w:vAlign w:val="center"/>
          </w:tcPr>
          <w:p>
            <w:pPr>
              <w:pStyle w:val="9"/>
            </w:pPr>
            <w:r>
              <w:t>642.05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2160201</w:t>
            </w:r>
          </w:p>
        </w:tc>
        <w:tc>
          <w:tcPr>
            <w:tcW w:w="1559" w:type="dxa"/>
            <w:vAlign w:val="center"/>
          </w:tcPr>
          <w:p>
            <w:pPr>
              <w:pStyle w:val="10"/>
            </w:pPr>
            <w:r>
              <w:t>行政运行</w:t>
            </w:r>
          </w:p>
        </w:tc>
        <w:tc>
          <w:tcPr>
            <w:tcW w:w="1134" w:type="dxa"/>
            <w:vAlign w:val="center"/>
          </w:tcPr>
          <w:p>
            <w:pPr>
              <w:pStyle w:val="9"/>
            </w:pPr>
            <w:r>
              <w:t>256.05</w:t>
            </w:r>
          </w:p>
        </w:tc>
        <w:tc>
          <w:tcPr>
            <w:tcW w:w="1134" w:type="dxa"/>
            <w:vAlign w:val="center"/>
          </w:tcPr>
          <w:p>
            <w:pPr>
              <w:pStyle w:val="9"/>
            </w:pPr>
            <w:r>
              <w:t>256.05</w:t>
            </w:r>
          </w:p>
        </w:tc>
        <w:tc>
          <w:tcPr>
            <w:tcW w:w="1134" w:type="dxa"/>
            <w:vAlign w:val="center"/>
          </w:tcPr>
          <w:p>
            <w:pPr>
              <w:pStyle w:val="9"/>
            </w:pPr>
            <w:r>
              <w:t>256.05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2160299</w:t>
            </w:r>
          </w:p>
        </w:tc>
        <w:tc>
          <w:tcPr>
            <w:tcW w:w="1559" w:type="dxa"/>
            <w:vAlign w:val="center"/>
          </w:tcPr>
          <w:p>
            <w:pPr>
              <w:pStyle w:val="10"/>
            </w:pPr>
            <w:r>
              <w:t>其他商业流通事务支出</w:t>
            </w:r>
          </w:p>
        </w:tc>
        <w:tc>
          <w:tcPr>
            <w:tcW w:w="1134" w:type="dxa"/>
            <w:vAlign w:val="center"/>
          </w:tcPr>
          <w:p>
            <w:pPr>
              <w:pStyle w:val="9"/>
            </w:pPr>
            <w:r>
              <w:t>386.00</w:t>
            </w:r>
          </w:p>
        </w:tc>
        <w:tc>
          <w:tcPr>
            <w:tcW w:w="1134" w:type="dxa"/>
            <w:vAlign w:val="center"/>
          </w:tcPr>
          <w:p>
            <w:pPr>
              <w:pStyle w:val="9"/>
            </w:pPr>
            <w:r>
              <w:t>386.00</w:t>
            </w:r>
          </w:p>
        </w:tc>
        <w:tc>
          <w:tcPr>
            <w:tcW w:w="1134" w:type="dxa"/>
            <w:vAlign w:val="center"/>
          </w:tcPr>
          <w:p>
            <w:pPr>
              <w:pStyle w:val="9"/>
            </w:pPr>
            <w:r>
              <w:t>386.00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975魏县供销合作社联合社</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659.34</w:t>
            </w:r>
          </w:p>
        </w:tc>
        <w:tc>
          <w:tcPr>
            <w:tcW w:w="1361" w:type="dxa"/>
            <w:vAlign w:val="center"/>
          </w:tcPr>
          <w:p>
            <w:pPr>
              <w:pStyle w:val="13"/>
            </w:pPr>
            <w:r>
              <w:t>253.34</w:t>
            </w:r>
          </w:p>
        </w:tc>
        <w:tc>
          <w:tcPr>
            <w:tcW w:w="1361" w:type="dxa"/>
            <w:vAlign w:val="center"/>
          </w:tcPr>
          <w:p>
            <w:pPr>
              <w:pStyle w:val="13"/>
            </w:pPr>
            <w:r>
              <w:t>406.00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13.35</w:t>
            </w:r>
          </w:p>
        </w:tc>
        <w:tc>
          <w:tcPr>
            <w:tcW w:w="1361" w:type="dxa"/>
            <w:vAlign w:val="center"/>
          </w:tcPr>
          <w:p>
            <w:pPr>
              <w:pStyle w:val="9"/>
            </w:pPr>
            <w:r>
              <w:t>13.35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13.35</w:t>
            </w:r>
          </w:p>
        </w:tc>
        <w:tc>
          <w:tcPr>
            <w:tcW w:w="1361" w:type="dxa"/>
            <w:vAlign w:val="center"/>
          </w:tcPr>
          <w:p>
            <w:pPr>
              <w:pStyle w:val="9"/>
            </w:pPr>
            <w:r>
              <w:t>13.35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1.89</w:t>
            </w:r>
          </w:p>
        </w:tc>
        <w:tc>
          <w:tcPr>
            <w:tcW w:w="1361" w:type="dxa"/>
            <w:vAlign w:val="center"/>
          </w:tcPr>
          <w:p>
            <w:pPr>
              <w:pStyle w:val="9"/>
            </w:pPr>
            <w:r>
              <w:t>1.89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7.64</w:t>
            </w:r>
          </w:p>
        </w:tc>
        <w:tc>
          <w:tcPr>
            <w:tcW w:w="1361" w:type="dxa"/>
            <w:vAlign w:val="center"/>
          </w:tcPr>
          <w:p>
            <w:pPr>
              <w:pStyle w:val="9"/>
            </w:pPr>
            <w:r>
              <w:t>7.64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3.82</w:t>
            </w:r>
          </w:p>
        </w:tc>
        <w:tc>
          <w:tcPr>
            <w:tcW w:w="1361" w:type="dxa"/>
            <w:vAlign w:val="center"/>
          </w:tcPr>
          <w:p>
            <w:pPr>
              <w:pStyle w:val="9"/>
            </w:pPr>
            <w:r>
              <w:t>3.82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3.94</w:t>
            </w:r>
          </w:p>
        </w:tc>
        <w:tc>
          <w:tcPr>
            <w:tcW w:w="1361" w:type="dxa"/>
            <w:vAlign w:val="center"/>
          </w:tcPr>
          <w:p>
            <w:pPr>
              <w:pStyle w:val="9"/>
            </w:pPr>
            <w:r>
              <w:t>3.94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3.94</w:t>
            </w:r>
          </w:p>
        </w:tc>
        <w:tc>
          <w:tcPr>
            <w:tcW w:w="1361" w:type="dxa"/>
            <w:vAlign w:val="center"/>
          </w:tcPr>
          <w:p>
            <w:pPr>
              <w:pStyle w:val="9"/>
            </w:pPr>
            <w:r>
              <w:t>3.94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3.94</w:t>
            </w:r>
          </w:p>
        </w:tc>
        <w:tc>
          <w:tcPr>
            <w:tcW w:w="1361" w:type="dxa"/>
            <w:vAlign w:val="center"/>
          </w:tcPr>
          <w:p>
            <w:pPr>
              <w:pStyle w:val="9"/>
            </w:pPr>
            <w:r>
              <w:t>3.94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216</w:t>
            </w:r>
          </w:p>
        </w:tc>
        <w:tc>
          <w:tcPr>
            <w:tcW w:w="4535" w:type="dxa"/>
            <w:vAlign w:val="center"/>
          </w:tcPr>
          <w:p>
            <w:pPr>
              <w:pStyle w:val="10"/>
            </w:pPr>
            <w:r>
              <w:t>商业服务业等支出</w:t>
            </w:r>
          </w:p>
        </w:tc>
        <w:tc>
          <w:tcPr>
            <w:tcW w:w="1361" w:type="dxa"/>
            <w:vAlign w:val="center"/>
          </w:tcPr>
          <w:p>
            <w:pPr>
              <w:pStyle w:val="9"/>
            </w:pPr>
            <w:r>
              <w:t>642.05</w:t>
            </w:r>
          </w:p>
        </w:tc>
        <w:tc>
          <w:tcPr>
            <w:tcW w:w="1361" w:type="dxa"/>
            <w:vAlign w:val="center"/>
          </w:tcPr>
          <w:p>
            <w:pPr>
              <w:pStyle w:val="9"/>
            </w:pPr>
            <w:r>
              <w:t>236.05</w:t>
            </w:r>
          </w:p>
        </w:tc>
        <w:tc>
          <w:tcPr>
            <w:tcW w:w="1361" w:type="dxa"/>
            <w:vAlign w:val="center"/>
          </w:tcPr>
          <w:p>
            <w:pPr>
              <w:pStyle w:val="9"/>
            </w:pPr>
            <w:r>
              <w:t>406.00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21602</w:t>
            </w:r>
          </w:p>
        </w:tc>
        <w:tc>
          <w:tcPr>
            <w:tcW w:w="4535" w:type="dxa"/>
            <w:vAlign w:val="center"/>
          </w:tcPr>
          <w:p>
            <w:pPr>
              <w:pStyle w:val="10"/>
            </w:pPr>
            <w:r>
              <w:t>商业流通事务</w:t>
            </w:r>
          </w:p>
        </w:tc>
        <w:tc>
          <w:tcPr>
            <w:tcW w:w="1361" w:type="dxa"/>
            <w:vAlign w:val="center"/>
          </w:tcPr>
          <w:p>
            <w:pPr>
              <w:pStyle w:val="9"/>
            </w:pPr>
            <w:r>
              <w:t>642.05</w:t>
            </w:r>
          </w:p>
        </w:tc>
        <w:tc>
          <w:tcPr>
            <w:tcW w:w="1361" w:type="dxa"/>
            <w:vAlign w:val="center"/>
          </w:tcPr>
          <w:p>
            <w:pPr>
              <w:pStyle w:val="9"/>
            </w:pPr>
            <w:r>
              <w:t>236.05</w:t>
            </w:r>
          </w:p>
        </w:tc>
        <w:tc>
          <w:tcPr>
            <w:tcW w:w="1361" w:type="dxa"/>
            <w:vAlign w:val="center"/>
          </w:tcPr>
          <w:p>
            <w:pPr>
              <w:pStyle w:val="9"/>
            </w:pPr>
            <w:r>
              <w:t>406.00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2160201</w:t>
            </w:r>
          </w:p>
        </w:tc>
        <w:tc>
          <w:tcPr>
            <w:tcW w:w="4535" w:type="dxa"/>
            <w:vAlign w:val="center"/>
          </w:tcPr>
          <w:p>
            <w:pPr>
              <w:pStyle w:val="10"/>
            </w:pPr>
            <w:r>
              <w:t>行政运行</w:t>
            </w:r>
          </w:p>
        </w:tc>
        <w:tc>
          <w:tcPr>
            <w:tcW w:w="1361" w:type="dxa"/>
            <w:vAlign w:val="center"/>
          </w:tcPr>
          <w:p>
            <w:pPr>
              <w:pStyle w:val="9"/>
            </w:pPr>
            <w:r>
              <w:t>256.05</w:t>
            </w:r>
          </w:p>
        </w:tc>
        <w:tc>
          <w:tcPr>
            <w:tcW w:w="1361" w:type="dxa"/>
            <w:vAlign w:val="center"/>
          </w:tcPr>
          <w:p>
            <w:pPr>
              <w:pStyle w:val="9"/>
            </w:pPr>
            <w:r>
              <w:t>236.05</w:t>
            </w: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2160299</w:t>
            </w:r>
          </w:p>
        </w:tc>
        <w:tc>
          <w:tcPr>
            <w:tcW w:w="4535" w:type="dxa"/>
            <w:vAlign w:val="center"/>
          </w:tcPr>
          <w:p>
            <w:pPr>
              <w:pStyle w:val="10"/>
            </w:pPr>
            <w:r>
              <w:t>其他商业流通事务支出</w:t>
            </w:r>
          </w:p>
        </w:tc>
        <w:tc>
          <w:tcPr>
            <w:tcW w:w="1361" w:type="dxa"/>
            <w:vAlign w:val="center"/>
          </w:tcPr>
          <w:p>
            <w:pPr>
              <w:pStyle w:val="9"/>
            </w:pPr>
            <w:r>
              <w:t>386.00</w:t>
            </w:r>
          </w:p>
        </w:tc>
        <w:tc>
          <w:tcPr>
            <w:tcW w:w="1361" w:type="dxa"/>
            <w:vAlign w:val="center"/>
          </w:tcPr>
          <w:p>
            <w:pPr>
              <w:pStyle w:val="9"/>
            </w:pPr>
          </w:p>
        </w:tc>
        <w:tc>
          <w:tcPr>
            <w:tcW w:w="1361" w:type="dxa"/>
            <w:vAlign w:val="center"/>
          </w:tcPr>
          <w:p>
            <w:pPr>
              <w:pStyle w:val="9"/>
            </w:pPr>
            <w:r>
              <w:t>386.00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975魏县供销合作社联合社</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659.34</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13.35</w:t>
            </w:r>
          </w:p>
        </w:tc>
        <w:tc>
          <w:tcPr>
            <w:tcW w:w="1474" w:type="dxa"/>
            <w:vAlign w:val="center"/>
          </w:tcPr>
          <w:p>
            <w:pPr>
              <w:pStyle w:val="9"/>
            </w:pPr>
            <w:r>
              <w:t>13.35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3.94</w:t>
            </w:r>
          </w:p>
        </w:tc>
        <w:tc>
          <w:tcPr>
            <w:tcW w:w="1474" w:type="dxa"/>
            <w:vAlign w:val="center"/>
          </w:tcPr>
          <w:p>
            <w:pPr>
              <w:pStyle w:val="9"/>
            </w:pPr>
            <w:r>
              <w:t>3.94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r>
              <w:t>642.05</w:t>
            </w:r>
          </w:p>
        </w:tc>
        <w:tc>
          <w:tcPr>
            <w:tcW w:w="1474" w:type="dxa"/>
            <w:vAlign w:val="center"/>
          </w:tcPr>
          <w:p>
            <w:pPr>
              <w:pStyle w:val="9"/>
            </w:pPr>
            <w:r>
              <w:t>642.05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659.34</w:t>
            </w:r>
          </w:p>
        </w:tc>
        <w:tc>
          <w:tcPr>
            <w:tcW w:w="3402" w:type="dxa"/>
            <w:vAlign w:val="center"/>
          </w:tcPr>
          <w:p>
            <w:pPr>
              <w:pStyle w:val="12"/>
            </w:pPr>
            <w:r>
              <w:t>本年支出合计</w:t>
            </w:r>
          </w:p>
        </w:tc>
        <w:tc>
          <w:tcPr>
            <w:tcW w:w="1474" w:type="dxa"/>
            <w:vAlign w:val="center"/>
          </w:tcPr>
          <w:p>
            <w:pPr>
              <w:pStyle w:val="13"/>
            </w:pPr>
            <w:r>
              <w:t>659.34</w:t>
            </w:r>
          </w:p>
        </w:tc>
        <w:tc>
          <w:tcPr>
            <w:tcW w:w="1474" w:type="dxa"/>
            <w:vAlign w:val="center"/>
          </w:tcPr>
          <w:p>
            <w:pPr>
              <w:pStyle w:val="13"/>
            </w:pPr>
            <w:r>
              <w:t>659.34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659.34</w:t>
            </w:r>
          </w:p>
        </w:tc>
        <w:tc>
          <w:tcPr>
            <w:tcW w:w="3402" w:type="dxa"/>
            <w:vAlign w:val="center"/>
          </w:tcPr>
          <w:p>
            <w:pPr>
              <w:pStyle w:val="12"/>
            </w:pPr>
            <w:r>
              <w:t>支出总计</w:t>
            </w:r>
          </w:p>
        </w:tc>
        <w:tc>
          <w:tcPr>
            <w:tcW w:w="1474" w:type="dxa"/>
            <w:vAlign w:val="center"/>
          </w:tcPr>
          <w:p>
            <w:pPr>
              <w:pStyle w:val="13"/>
            </w:pPr>
            <w:r>
              <w:t>659.34</w:t>
            </w:r>
          </w:p>
        </w:tc>
        <w:tc>
          <w:tcPr>
            <w:tcW w:w="1474" w:type="dxa"/>
            <w:vAlign w:val="center"/>
          </w:tcPr>
          <w:p>
            <w:pPr>
              <w:pStyle w:val="13"/>
            </w:pPr>
            <w:r>
              <w:t>659.34</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975魏县供销合作社联合社</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659.34</w:t>
            </w:r>
          </w:p>
        </w:tc>
        <w:tc>
          <w:tcPr>
            <w:tcW w:w="2551" w:type="dxa"/>
            <w:vAlign w:val="center"/>
          </w:tcPr>
          <w:p>
            <w:pPr>
              <w:pStyle w:val="13"/>
            </w:pPr>
            <w:r>
              <w:t>253.34</w:t>
            </w:r>
          </w:p>
        </w:tc>
        <w:tc>
          <w:tcPr>
            <w:tcW w:w="2551" w:type="dxa"/>
            <w:vAlign w:val="center"/>
          </w:tcPr>
          <w:p>
            <w:pPr>
              <w:pStyle w:val="13"/>
            </w:pPr>
            <w:r>
              <w:t>406.00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13.35</w:t>
            </w:r>
          </w:p>
        </w:tc>
        <w:tc>
          <w:tcPr>
            <w:tcW w:w="2551" w:type="dxa"/>
            <w:vAlign w:val="center"/>
          </w:tcPr>
          <w:p>
            <w:pPr>
              <w:pStyle w:val="9"/>
            </w:pPr>
            <w:r>
              <w:t>13.35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13.35</w:t>
            </w:r>
          </w:p>
        </w:tc>
        <w:tc>
          <w:tcPr>
            <w:tcW w:w="2551" w:type="dxa"/>
            <w:vAlign w:val="center"/>
          </w:tcPr>
          <w:p>
            <w:pPr>
              <w:pStyle w:val="9"/>
            </w:pPr>
            <w:r>
              <w:t>13.35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1.89</w:t>
            </w:r>
          </w:p>
        </w:tc>
        <w:tc>
          <w:tcPr>
            <w:tcW w:w="2551" w:type="dxa"/>
            <w:vAlign w:val="center"/>
          </w:tcPr>
          <w:p>
            <w:pPr>
              <w:pStyle w:val="9"/>
            </w:pPr>
            <w:r>
              <w:t>1.89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7.64</w:t>
            </w:r>
          </w:p>
        </w:tc>
        <w:tc>
          <w:tcPr>
            <w:tcW w:w="2551" w:type="dxa"/>
            <w:vAlign w:val="center"/>
          </w:tcPr>
          <w:p>
            <w:pPr>
              <w:pStyle w:val="9"/>
            </w:pPr>
            <w:r>
              <w:t>7.64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3.82</w:t>
            </w:r>
          </w:p>
        </w:tc>
        <w:tc>
          <w:tcPr>
            <w:tcW w:w="2551" w:type="dxa"/>
            <w:vAlign w:val="center"/>
          </w:tcPr>
          <w:p>
            <w:pPr>
              <w:pStyle w:val="9"/>
            </w:pPr>
            <w:r>
              <w:t>3.82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3.94</w:t>
            </w:r>
          </w:p>
        </w:tc>
        <w:tc>
          <w:tcPr>
            <w:tcW w:w="2551" w:type="dxa"/>
            <w:vAlign w:val="center"/>
          </w:tcPr>
          <w:p>
            <w:pPr>
              <w:pStyle w:val="9"/>
            </w:pPr>
            <w:r>
              <w:t>3.94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3.94</w:t>
            </w:r>
          </w:p>
        </w:tc>
        <w:tc>
          <w:tcPr>
            <w:tcW w:w="2551" w:type="dxa"/>
            <w:vAlign w:val="center"/>
          </w:tcPr>
          <w:p>
            <w:pPr>
              <w:pStyle w:val="9"/>
            </w:pPr>
            <w:r>
              <w:t>3.94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3.94</w:t>
            </w:r>
          </w:p>
        </w:tc>
        <w:tc>
          <w:tcPr>
            <w:tcW w:w="2551" w:type="dxa"/>
            <w:vAlign w:val="center"/>
          </w:tcPr>
          <w:p>
            <w:pPr>
              <w:pStyle w:val="9"/>
            </w:pPr>
            <w:r>
              <w:t>3.94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216</w:t>
            </w:r>
          </w:p>
        </w:tc>
        <w:tc>
          <w:tcPr>
            <w:tcW w:w="4535" w:type="dxa"/>
            <w:vAlign w:val="center"/>
          </w:tcPr>
          <w:p>
            <w:pPr>
              <w:pStyle w:val="10"/>
            </w:pPr>
            <w:r>
              <w:t>商业服务业等支出</w:t>
            </w:r>
          </w:p>
        </w:tc>
        <w:tc>
          <w:tcPr>
            <w:tcW w:w="2551" w:type="dxa"/>
            <w:vAlign w:val="center"/>
          </w:tcPr>
          <w:p>
            <w:pPr>
              <w:pStyle w:val="9"/>
            </w:pPr>
            <w:r>
              <w:t>642.05</w:t>
            </w:r>
          </w:p>
        </w:tc>
        <w:tc>
          <w:tcPr>
            <w:tcW w:w="2551" w:type="dxa"/>
            <w:vAlign w:val="center"/>
          </w:tcPr>
          <w:p>
            <w:pPr>
              <w:pStyle w:val="9"/>
            </w:pPr>
            <w:r>
              <w:t>236.05</w:t>
            </w:r>
          </w:p>
        </w:tc>
        <w:tc>
          <w:tcPr>
            <w:tcW w:w="2551" w:type="dxa"/>
            <w:vAlign w:val="center"/>
          </w:tcPr>
          <w:p>
            <w:pPr>
              <w:pStyle w:val="9"/>
            </w:pPr>
            <w:r>
              <w:t>406.00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21602</w:t>
            </w:r>
          </w:p>
        </w:tc>
        <w:tc>
          <w:tcPr>
            <w:tcW w:w="4535" w:type="dxa"/>
            <w:vAlign w:val="center"/>
          </w:tcPr>
          <w:p>
            <w:pPr>
              <w:pStyle w:val="10"/>
            </w:pPr>
            <w:r>
              <w:t>商业流通事务</w:t>
            </w:r>
          </w:p>
        </w:tc>
        <w:tc>
          <w:tcPr>
            <w:tcW w:w="2551" w:type="dxa"/>
            <w:vAlign w:val="center"/>
          </w:tcPr>
          <w:p>
            <w:pPr>
              <w:pStyle w:val="9"/>
            </w:pPr>
            <w:r>
              <w:t>642.05</w:t>
            </w:r>
          </w:p>
        </w:tc>
        <w:tc>
          <w:tcPr>
            <w:tcW w:w="2551" w:type="dxa"/>
            <w:vAlign w:val="center"/>
          </w:tcPr>
          <w:p>
            <w:pPr>
              <w:pStyle w:val="9"/>
            </w:pPr>
            <w:r>
              <w:t>236.05</w:t>
            </w:r>
          </w:p>
        </w:tc>
        <w:tc>
          <w:tcPr>
            <w:tcW w:w="2551" w:type="dxa"/>
            <w:vAlign w:val="center"/>
          </w:tcPr>
          <w:p>
            <w:pPr>
              <w:pStyle w:val="9"/>
            </w:pPr>
            <w:r>
              <w:t>406.00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2160201</w:t>
            </w:r>
          </w:p>
        </w:tc>
        <w:tc>
          <w:tcPr>
            <w:tcW w:w="4535" w:type="dxa"/>
            <w:vAlign w:val="center"/>
          </w:tcPr>
          <w:p>
            <w:pPr>
              <w:pStyle w:val="10"/>
            </w:pPr>
            <w:r>
              <w:t>行政运行</w:t>
            </w:r>
          </w:p>
        </w:tc>
        <w:tc>
          <w:tcPr>
            <w:tcW w:w="2551" w:type="dxa"/>
            <w:vAlign w:val="center"/>
          </w:tcPr>
          <w:p>
            <w:pPr>
              <w:pStyle w:val="9"/>
            </w:pPr>
            <w:r>
              <w:t>256.05</w:t>
            </w:r>
          </w:p>
        </w:tc>
        <w:tc>
          <w:tcPr>
            <w:tcW w:w="2551" w:type="dxa"/>
            <w:vAlign w:val="center"/>
          </w:tcPr>
          <w:p>
            <w:pPr>
              <w:pStyle w:val="9"/>
            </w:pPr>
            <w:r>
              <w:t>236.05</w:t>
            </w: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2160299</w:t>
            </w:r>
          </w:p>
        </w:tc>
        <w:tc>
          <w:tcPr>
            <w:tcW w:w="4535" w:type="dxa"/>
            <w:vAlign w:val="center"/>
          </w:tcPr>
          <w:p>
            <w:pPr>
              <w:pStyle w:val="10"/>
            </w:pPr>
            <w:r>
              <w:t>其他商业流通事务支出</w:t>
            </w:r>
          </w:p>
        </w:tc>
        <w:tc>
          <w:tcPr>
            <w:tcW w:w="2551" w:type="dxa"/>
            <w:vAlign w:val="center"/>
          </w:tcPr>
          <w:p>
            <w:pPr>
              <w:pStyle w:val="9"/>
            </w:pPr>
            <w:r>
              <w:t>386.00</w:t>
            </w:r>
          </w:p>
        </w:tc>
        <w:tc>
          <w:tcPr>
            <w:tcW w:w="2551" w:type="dxa"/>
            <w:vAlign w:val="center"/>
          </w:tcPr>
          <w:p>
            <w:pPr>
              <w:pStyle w:val="9"/>
            </w:pPr>
          </w:p>
        </w:tc>
        <w:tc>
          <w:tcPr>
            <w:tcW w:w="2551" w:type="dxa"/>
            <w:vAlign w:val="center"/>
          </w:tcPr>
          <w:p>
            <w:pPr>
              <w:pStyle w:val="9"/>
            </w:pPr>
            <w:r>
              <w:t>386.00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975魏县供销合作社联合社</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253.34</w:t>
            </w:r>
          </w:p>
        </w:tc>
        <w:tc>
          <w:tcPr>
            <w:tcW w:w="2551" w:type="dxa"/>
            <w:vAlign w:val="center"/>
          </w:tcPr>
          <w:p>
            <w:pPr>
              <w:pStyle w:val="13"/>
            </w:pPr>
            <w:r>
              <w:t>239.82</w:t>
            </w:r>
          </w:p>
        </w:tc>
        <w:tc>
          <w:tcPr>
            <w:tcW w:w="2551" w:type="dxa"/>
            <w:vAlign w:val="center"/>
          </w:tcPr>
          <w:p>
            <w:pPr>
              <w:pStyle w:val="13"/>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237.93</w:t>
            </w:r>
          </w:p>
        </w:tc>
        <w:tc>
          <w:tcPr>
            <w:tcW w:w="2551" w:type="dxa"/>
            <w:vAlign w:val="center"/>
          </w:tcPr>
          <w:p>
            <w:pPr>
              <w:pStyle w:val="9"/>
            </w:pPr>
            <w:r>
              <w:t>237.93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49.48</w:t>
            </w:r>
          </w:p>
        </w:tc>
        <w:tc>
          <w:tcPr>
            <w:tcW w:w="2551" w:type="dxa"/>
            <w:vAlign w:val="center"/>
          </w:tcPr>
          <w:p>
            <w:pPr>
              <w:pStyle w:val="9"/>
            </w:pPr>
            <w:r>
              <w:t>49.48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5.07</w:t>
            </w:r>
          </w:p>
        </w:tc>
        <w:tc>
          <w:tcPr>
            <w:tcW w:w="2551" w:type="dxa"/>
            <w:vAlign w:val="center"/>
          </w:tcPr>
          <w:p>
            <w:pPr>
              <w:pStyle w:val="9"/>
            </w:pPr>
            <w:r>
              <w:t>5.07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7.64</w:t>
            </w:r>
          </w:p>
        </w:tc>
        <w:tc>
          <w:tcPr>
            <w:tcW w:w="2551" w:type="dxa"/>
            <w:vAlign w:val="center"/>
          </w:tcPr>
          <w:p>
            <w:pPr>
              <w:pStyle w:val="9"/>
            </w:pPr>
            <w:r>
              <w:t>7.64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3.82</w:t>
            </w:r>
          </w:p>
        </w:tc>
        <w:tc>
          <w:tcPr>
            <w:tcW w:w="2551" w:type="dxa"/>
            <w:vAlign w:val="center"/>
          </w:tcPr>
          <w:p>
            <w:pPr>
              <w:pStyle w:val="9"/>
            </w:pPr>
            <w:r>
              <w:t>3.82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3.94</w:t>
            </w:r>
          </w:p>
        </w:tc>
        <w:tc>
          <w:tcPr>
            <w:tcW w:w="2551" w:type="dxa"/>
            <w:vAlign w:val="center"/>
          </w:tcPr>
          <w:p>
            <w:pPr>
              <w:pStyle w:val="9"/>
            </w:pPr>
            <w:r>
              <w:t>3.94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167.98</w:t>
            </w:r>
          </w:p>
        </w:tc>
        <w:tc>
          <w:tcPr>
            <w:tcW w:w="2551" w:type="dxa"/>
            <w:vAlign w:val="center"/>
          </w:tcPr>
          <w:p>
            <w:pPr>
              <w:pStyle w:val="9"/>
            </w:pPr>
            <w:r>
              <w:t>167.98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13.52</w:t>
            </w:r>
          </w:p>
        </w:tc>
        <w:tc>
          <w:tcPr>
            <w:tcW w:w="2551" w:type="dxa"/>
            <w:vAlign w:val="center"/>
          </w:tcPr>
          <w:p>
            <w:pPr>
              <w:pStyle w:val="9"/>
            </w:pPr>
          </w:p>
        </w:tc>
        <w:tc>
          <w:tcPr>
            <w:tcW w:w="2551" w:type="dxa"/>
            <w:vAlign w:val="center"/>
          </w:tcPr>
          <w:p>
            <w:pPr>
              <w:pStyle w:val="9"/>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8.00</w:t>
            </w:r>
          </w:p>
        </w:tc>
        <w:tc>
          <w:tcPr>
            <w:tcW w:w="2551" w:type="dxa"/>
            <w:vAlign w:val="center"/>
          </w:tcPr>
          <w:p>
            <w:pPr>
              <w:pStyle w:val="9"/>
            </w:pPr>
          </w:p>
        </w:tc>
        <w:tc>
          <w:tcPr>
            <w:tcW w:w="2551"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5.52</w:t>
            </w:r>
          </w:p>
        </w:tc>
        <w:tc>
          <w:tcPr>
            <w:tcW w:w="2551" w:type="dxa"/>
            <w:vAlign w:val="center"/>
          </w:tcPr>
          <w:p>
            <w:pPr>
              <w:pStyle w:val="9"/>
            </w:pPr>
          </w:p>
        </w:tc>
        <w:tc>
          <w:tcPr>
            <w:tcW w:w="2551" w:type="dxa"/>
            <w:vAlign w:val="center"/>
          </w:tcPr>
          <w:p>
            <w:pPr>
              <w:pStyle w:val="9"/>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1.89</w:t>
            </w:r>
          </w:p>
        </w:tc>
        <w:tc>
          <w:tcPr>
            <w:tcW w:w="2551" w:type="dxa"/>
            <w:vAlign w:val="center"/>
          </w:tcPr>
          <w:p>
            <w:pPr>
              <w:pStyle w:val="9"/>
            </w:pPr>
            <w:r>
              <w:t>1.89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1.89</w:t>
            </w:r>
          </w:p>
        </w:tc>
        <w:tc>
          <w:tcPr>
            <w:tcW w:w="2551" w:type="dxa"/>
            <w:vAlign w:val="center"/>
          </w:tcPr>
          <w:p>
            <w:pPr>
              <w:pStyle w:val="9"/>
            </w:pPr>
            <w:r>
              <w:t>1.89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975魏县供销合作社联合社</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975魏县供销合作社联合社</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975魏县供销合作社联合社</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魏县供销合作社联合社2022年部门预算信息公开情况说明</w:t>
      </w:r>
    </w:p>
    <w:p>
      <w:pPr>
        <w:jc w:val="center"/>
      </w:pPr>
      <w:r>
        <w:rPr>
          <w:rFonts w:ascii="方正小标宋_GBK" w:hAnsi="方正小标宋_GBK" w:eastAsia="方正小标宋_GBK" w:cs="方正小标宋_GBK"/>
          <w:color w:val="000000"/>
          <w:sz w:val="44"/>
        </w:rPr>
        <w:t>魏县供销合作社联合社2022年部门预算信息公开情况说明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、《地方预决算公开操作规程》和《关于进一步推进预算公开工作的实施意见》规定，现将魏县供销合作社联合社2022年部门预算公开如下：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rPr>
          <w:rFonts w:hint="eastAsia"/>
          <w:lang w:val="en-US" w:eastAsia="zh-CN"/>
        </w:rPr>
        <w:t>1</w:t>
      </w:r>
      <w:r>
        <w:t>、负责贯彻落实党和国家、省、市上级供销社有关社会发展和农村工作的方针政策、制</w:t>
      </w:r>
      <w:r>
        <w:rPr>
          <w:rFonts w:hint="eastAsia"/>
          <w:lang w:val="en-US" w:eastAsia="zh-CN"/>
        </w:rPr>
        <w:t>定</w:t>
      </w:r>
      <w:r>
        <w:t>全县供销社的发展战略和发展规划，指导全县供销社的改革与发展。</w:t>
      </w:r>
    </w:p>
    <w:p>
      <w:pPr>
        <w:pStyle w:val="15"/>
      </w:pPr>
      <w:r>
        <w:rPr>
          <w:rFonts w:hint="eastAsia"/>
          <w:lang w:val="en-US" w:eastAsia="zh-CN"/>
        </w:rPr>
        <w:t>2</w:t>
      </w:r>
      <w:r>
        <w:t>、负责对全县农业生产资料化肥、农药供应；农副产品、大宗商品棉花及果品收购和再生资源经营进行组织、协调、管理；</w:t>
      </w:r>
    </w:p>
    <w:p>
      <w:pPr>
        <w:pStyle w:val="15"/>
      </w:pPr>
      <w:r>
        <w:rPr>
          <w:rFonts w:hint="eastAsia"/>
          <w:lang w:val="en-US" w:eastAsia="zh-CN"/>
        </w:rPr>
        <w:t>3</w:t>
      </w:r>
      <w:r>
        <w:t>、负责农资，救灾物资等省、市重要物资的储备工作；</w:t>
      </w:r>
    </w:p>
    <w:p>
      <w:pPr>
        <w:pStyle w:val="15"/>
      </w:pPr>
      <w:r>
        <w:rPr>
          <w:rFonts w:hint="eastAsia"/>
          <w:lang w:val="en-US" w:eastAsia="zh-CN"/>
        </w:rPr>
        <w:t>4</w:t>
      </w:r>
      <w:r>
        <w:t>、按照《河北省食盐加碘缺乏危害监督管理条例》和有关规定，负责食盐专营批发、零售和监督管理</w:t>
      </w:r>
      <w:r>
        <w:rPr>
          <w:rFonts w:hint="eastAsia"/>
          <w:lang w:eastAsia="zh-CN"/>
        </w:rPr>
        <w:t>、</w:t>
      </w:r>
      <w:r>
        <w:t>许可证发放</w:t>
      </w:r>
      <w:r>
        <w:rPr>
          <w:rFonts w:hint="eastAsia"/>
          <w:lang w:eastAsia="zh-CN"/>
        </w:rPr>
        <w:t>、</w:t>
      </w:r>
      <w:r>
        <w:t>市场清理</w:t>
      </w:r>
      <w:r>
        <w:rPr>
          <w:rFonts w:hint="eastAsia"/>
          <w:lang w:eastAsia="zh-CN"/>
        </w:rPr>
        <w:t>、</w:t>
      </w:r>
      <w:r>
        <w:t>工业用盐的归口经营管理工作；</w:t>
      </w:r>
    </w:p>
    <w:p>
      <w:pPr>
        <w:pStyle w:val="15"/>
      </w:pPr>
      <w:r>
        <w:rPr>
          <w:rFonts w:hint="eastAsia"/>
          <w:lang w:val="en-US" w:eastAsia="zh-CN"/>
        </w:rPr>
        <w:t>5</w:t>
      </w:r>
      <w:r>
        <w:t>、负责村镇社区综合服务中心建设以及食盐安全村创建工作；</w:t>
      </w:r>
    </w:p>
    <w:p>
      <w:pPr>
        <w:pStyle w:val="15"/>
      </w:pPr>
      <w:r>
        <w:rPr>
          <w:rFonts w:hint="eastAsia"/>
          <w:lang w:val="en-US" w:eastAsia="zh-CN"/>
        </w:rPr>
        <w:t>6</w:t>
      </w:r>
      <w:r>
        <w:t>、负责对全县供销社社办企业进行管理、企业改革及对所属企业社有资产进行监督管理；</w:t>
      </w:r>
    </w:p>
    <w:p>
      <w:pPr>
        <w:pStyle w:val="15"/>
      </w:pPr>
      <w:r>
        <w:rPr>
          <w:rFonts w:hint="eastAsia"/>
          <w:lang w:val="en-US" w:eastAsia="zh-CN"/>
        </w:rPr>
        <w:t>7</w:t>
      </w:r>
      <w:r>
        <w:t>、承担县委、县政府交办的其他工作。</w:t>
      </w:r>
    </w:p>
    <w:p>
      <w:pPr>
        <w:pStyle w:val="15"/>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pStyle w:val="16"/>
      </w:pPr>
      <w:r>
        <w:t>政府事业机构，正科级事业单位。设7个职级（股）室。1、办公室 ；2、人事股；3、财务股；4、纪检审计股；5、信访保卫股；6、业务股；7、企业股。</w:t>
      </w:r>
    </w:p>
    <w:p>
      <w:pPr>
        <w:ind w:firstLine="640"/>
        <w:rPr>
          <w:rFonts w:ascii="方正楷体_GBK" w:hAnsi="方正楷体_GBK" w:eastAsia="方正楷体_GBK" w:cs="方正楷体_GBK"/>
          <w:b/>
          <w:color w:val="000000"/>
          <w:sz w:val="32"/>
        </w:rPr>
      </w:pP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魏县供销合作社联合社本级</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hint="eastAsia" w:eastAsiaTheme="minorEastAsia"/>
          <w:color w:val="000000"/>
          <w:sz w:val="28"/>
          <w:lang w:eastAsia="zh-CN"/>
        </w:rPr>
      </w:pPr>
      <w:r>
        <w:rPr>
          <w:rFonts w:eastAsia="方正仿宋_GBK"/>
          <w:color w:val="000000"/>
          <w:sz w:val="28"/>
        </w:rPr>
        <w:t>按照预算管理有关规定，目前我</w:t>
      </w:r>
      <w:r>
        <w:rPr>
          <w:rFonts w:hint="eastAsia" w:eastAsia="方正仿宋_GBK"/>
          <w:color w:val="000000"/>
          <w:sz w:val="28"/>
          <w:lang w:val="en-US" w:eastAsia="zh-CN"/>
        </w:rPr>
        <w:t>县</w:t>
      </w:r>
      <w:r>
        <w:rPr>
          <w:rFonts w:eastAsia="方正仿宋_GBK"/>
          <w:color w:val="000000"/>
          <w:sz w:val="28"/>
        </w:rPr>
        <w:t>部门预算的编制实行综合预算管理，即全部收入和支出都反映在预算中。魏县供销合作社联合社机关及所属事业单位的收支包含在部门预算中。</w:t>
      </w:r>
    </w:p>
    <w:p>
      <w:pPr>
        <w:pStyle w:val="16"/>
      </w:pPr>
      <w:r>
        <w:t>按照预算管理有关规定，目前我县部门预算的编制实行综合预算制度，即全部收入和支出都反映</w:t>
      </w:r>
      <w:r>
        <w:rPr>
          <w:rFonts w:hint="eastAsia"/>
          <w:lang w:val="en-US" w:eastAsia="zh-CN"/>
        </w:rPr>
        <w:t>在</w:t>
      </w:r>
      <w:r>
        <w:t>预算中。</w:t>
      </w:r>
    </w:p>
    <w:p>
      <w:pPr>
        <w:pStyle w:val="16"/>
      </w:pPr>
      <w:r>
        <w:t>1、收入说明：2022年收入预算共计659.84万元，全部为财政拨款收入。</w:t>
      </w:r>
    </w:p>
    <w:p>
      <w:pPr>
        <w:pStyle w:val="16"/>
      </w:pPr>
      <w:r>
        <w:t>2、支出说明：2022年支出预算共计659.84万元，其中人员经费支出预算239.84万元，日常公用经费支出预算</w:t>
      </w:r>
      <w:r>
        <w:rPr>
          <w:rFonts w:hint="eastAsia"/>
          <w:lang w:val="en-US" w:eastAsia="zh-CN"/>
        </w:rPr>
        <w:t>13.52</w:t>
      </w:r>
      <w:r>
        <w:t>万元，</w:t>
      </w:r>
      <w:r>
        <w:rPr>
          <w:rFonts w:hint="eastAsia"/>
          <w:lang w:eastAsia="zh-CN"/>
        </w:rPr>
        <w:t>项目支出</w:t>
      </w:r>
      <w:r>
        <w:rPr>
          <w:rFonts w:hint="eastAsia"/>
          <w:lang w:val="en-US" w:eastAsia="zh-CN"/>
        </w:rPr>
        <w:t>406万元（其中：</w:t>
      </w:r>
      <w:r>
        <w:t>农村产权交易经费项目支出20万元，烟花爆竹清库存项目支出386万元</w:t>
      </w:r>
      <w:r>
        <w:rPr>
          <w:rFonts w:hint="eastAsia"/>
          <w:lang w:eastAsia="zh-CN"/>
        </w:rPr>
        <w:t>）</w:t>
      </w:r>
      <w:r>
        <w:t>。</w:t>
      </w:r>
    </w:p>
    <w:p>
      <w:pPr>
        <w:pStyle w:val="16"/>
      </w:pPr>
      <w:r>
        <w:t>3、比上年增减情况：经过对比测算，2022年财政拨款预算比2021年减少95.04万元，主要是专项烟花爆竹清</w:t>
      </w:r>
      <w:r>
        <w:rPr>
          <w:rFonts w:hint="eastAsia"/>
          <w:lang w:val="en-US" w:eastAsia="zh-CN"/>
        </w:rPr>
        <w:t>库</w:t>
      </w:r>
      <w:r>
        <w:t>存资金减少30万元，农业园区经费减少35万元，工作经费减少10万元。</w:t>
      </w:r>
    </w:p>
    <w:p>
      <w:pPr>
        <w:pStyle w:val="16"/>
        <w:rPr>
          <w:rFonts w:hint="eastAsia" w:ascii="黑体" w:hAnsi="黑体" w:eastAsia="黑体" w:cs="黑体"/>
        </w:rPr>
      </w:pPr>
      <w:r>
        <w:rPr>
          <w:rFonts w:hint="eastAsia" w:ascii="黑体" w:hAnsi="黑体" w:eastAsia="黑体" w:cs="黑体"/>
        </w:rPr>
        <w:t>三、机关运行经费安排情况</w:t>
      </w:r>
    </w:p>
    <w:p>
      <w:pPr>
        <w:pStyle w:val="16"/>
      </w:pPr>
      <w:r>
        <w:t>机关运行经费共计安排</w:t>
      </w:r>
      <w:r>
        <w:rPr>
          <w:rFonts w:hint="eastAsia"/>
          <w:lang w:val="en-US" w:eastAsia="zh-CN"/>
        </w:rPr>
        <w:t>13.52</w:t>
      </w:r>
      <w:r>
        <w:t>万元，主要用于保证正常办公的基本需要和维持单位日常业务运转，包括：办公费、印刷费等。</w:t>
      </w:r>
    </w:p>
    <w:p>
      <w:pPr>
        <w:pStyle w:val="16"/>
      </w:pPr>
    </w:p>
    <w:p>
      <w:pPr>
        <w:pStyle w:val="16"/>
        <w:rPr>
          <w:rFonts w:hint="eastAsia" w:ascii="黑体" w:hAnsi="黑体" w:eastAsia="黑体" w:cs="黑体"/>
        </w:rPr>
      </w:pPr>
      <w:r>
        <w:rPr>
          <w:rFonts w:hint="eastAsia" w:ascii="黑体" w:hAnsi="黑体" w:eastAsia="黑体" w:cs="黑体"/>
        </w:rPr>
        <w:t>四、财政拨款“三公”经费预算情况</w:t>
      </w:r>
    </w:p>
    <w:p>
      <w:pPr>
        <w:pStyle w:val="16"/>
        <w:rPr>
          <w:rFonts w:hint="default" w:eastAsia="方正仿宋_GBK"/>
          <w:lang w:val="en-US" w:eastAsia="zh-CN"/>
        </w:rPr>
      </w:pPr>
      <w:r>
        <w:t>2022年，财政拨款“三公”经费预算安排0万元，</w:t>
      </w:r>
      <w:r>
        <w:rPr>
          <w:rFonts w:hint="eastAsia"/>
          <w:lang w:eastAsia="zh-CN"/>
        </w:rPr>
        <w:t>各项</w:t>
      </w:r>
      <w:r>
        <w:t>与2021年相比无增减变化。</w:t>
      </w:r>
      <w:r>
        <w:rPr>
          <w:rFonts w:hint="eastAsia"/>
          <w:lang w:val="en-US" w:eastAsia="zh-CN"/>
        </w:rPr>
        <w:t>原因：2021年度和2022年度没有发生财政拨款“三公”经费支出。</w:t>
      </w:r>
    </w:p>
    <w:p>
      <w:pPr>
        <w:pStyle w:val="16"/>
      </w:pPr>
    </w:p>
    <w:p>
      <w:pPr>
        <w:spacing w:before="10" w:after="10" w:line="360" w:lineRule="auto"/>
        <w:ind w:firstLine="640"/>
        <w:outlineLvl w:val="2"/>
      </w:pPr>
      <w:r>
        <w:rPr>
          <w:rFonts w:ascii="黑体" w:hAnsi="黑体" w:eastAsia="黑体" w:cs="黑体"/>
          <w:color w:val="000000"/>
          <w:sz w:val="32"/>
        </w:rPr>
        <w:t>五、预算绩效信息</w:t>
      </w:r>
    </w:p>
    <w:p>
      <w:pPr>
        <w:ind w:firstLine="640"/>
        <w:rPr>
          <w:rFonts w:hint="eastAsia" w:ascii="黑体" w:hAnsi="黑体" w:eastAsia="黑体" w:cs="黑体"/>
        </w:rPr>
      </w:pPr>
      <w:r>
        <w:rPr>
          <w:rFonts w:ascii="方正楷体_GBK" w:hAnsi="方正楷体_GBK" w:eastAsia="方正楷体_GBK" w:cs="方正楷体_GBK"/>
          <w:b/>
          <w:color w:val="000000"/>
          <w:sz w:val="32"/>
        </w:rPr>
        <w:t>第一部分 部门整体绩效目标</w:t>
      </w:r>
    </w:p>
    <w:p>
      <w:pPr>
        <w:pStyle w:val="16"/>
      </w:pPr>
      <w:r>
        <w:t>（一）总体绩效目标</w:t>
      </w:r>
    </w:p>
    <w:p>
      <w:pPr>
        <w:pStyle w:val="16"/>
      </w:pPr>
      <w:r>
        <w:t xml:space="preserve">1、供销流通管理：贯彻上级方针政策，管理运营县级社有资产，行使出资人职能。 </w:t>
      </w:r>
    </w:p>
    <w:p>
      <w:pPr>
        <w:pStyle w:val="16"/>
      </w:pPr>
      <w:r>
        <w:t>2、服务三农事务管理：以供销社体系为依托，自下而</w:t>
      </w:r>
      <w:r>
        <w:rPr>
          <w:rFonts w:hint="eastAsia"/>
          <w:lang w:val="en-US" w:eastAsia="zh-CN"/>
        </w:rPr>
        <w:t>上</w:t>
      </w:r>
      <w:r>
        <w:t xml:space="preserve">组建创新组织服务体系。 </w:t>
      </w:r>
    </w:p>
    <w:p>
      <w:pPr>
        <w:pStyle w:val="16"/>
      </w:pPr>
      <w:r>
        <w:t xml:space="preserve">3、物资储备管理：负责重要物资的储备工作。   </w:t>
      </w:r>
    </w:p>
    <w:p>
      <w:pPr>
        <w:pStyle w:val="16"/>
      </w:pPr>
      <w:r>
        <w:t>4、供销合作政务管理：负</w:t>
      </w:r>
      <w:r>
        <w:rPr>
          <w:rFonts w:hint="eastAsia"/>
          <w:lang w:val="en-US" w:eastAsia="zh-CN"/>
        </w:rPr>
        <w:t>责</w:t>
      </w:r>
      <w:r>
        <w:t>供销社系统综合业务管理和机关综合事务管理。</w:t>
      </w:r>
    </w:p>
    <w:p>
      <w:pPr>
        <w:pStyle w:val="16"/>
      </w:pPr>
      <w:r>
        <w:t>（二）分项绩效目标</w:t>
      </w:r>
    </w:p>
    <w:p>
      <w:pPr>
        <w:pStyle w:val="16"/>
      </w:pPr>
      <w:r>
        <w:t>1、发展现代化流通网络建设及管理。指导系统流通网络建设、发挥供销社连接城乡、农村的桥梁作用，建设商贸、物流、信息相统一的城乡双向流通网络。</w:t>
      </w:r>
    </w:p>
    <w:p>
      <w:pPr>
        <w:pStyle w:val="16"/>
      </w:pPr>
      <w:r>
        <w:t xml:space="preserve">2、社属企业运营管理及建设。管理运营县社社有资产、行使出资人职责、确保社有资产的安全和增值。 </w:t>
      </w:r>
    </w:p>
    <w:p>
      <w:pPr>
        <w:pStyle w:val="16"/>
      </w:pPr>
      <w:r>
        <w:t xml:space="preserve">3、组织体系建设。以供销合作社体系为依托，自下而上组建农民合作社联合社，成立村级供销社。 </w:t>
      </w:r>
    </w:p>
    <w:p>
      <w:pPr>
        <w:pStyle w:val="16"/>
      </w:pPr>
      <w:r>
        <w:t>4、服务体系建设。构建具有供销社特色的“三农”工作社会化服务体系，围绕供销社改革，实现供销社业务下沉。利用县为农服务中心平台，落实供销社改革及市考核目</w:t>
      </w:r>
      <w:r>
        <w:rPr>
          <w:rFonts w:hint="eastAsia"/>
          <w:lang w:val="en-US" w:eastAsia="zh-CN"/>
        </w:rPr>
        <w:t>标；</w:t>
      </w:r>
      <w:r>
        <w:t>加快土地托管服务进程，加大农村产权交易平台建设，强力推进村级供销社建设，继续建设好供销社超市，搞好农副产品对接，扩大农副产品销售渠道。发挥供销社832平台优势。</w:t>
      </w:r>
    </w:p>
    <w:p>
      <w:pPr>
        <w:pStyle w:val="16"/>
      </w:pPr>
      <w:r>
        <w:t>5、综合业务管理。认真做好供销物流</w:t>
      </w:r>
      <w:r>
        <w:rPr>
          <w:rFonts w:hint="eastAsia"/>
          <w:lang w:val="en-US" w:eastAsia="zh-CN"/>
        </w:rPr>
        <w:t>项目</w:t>
      </w:r>
      <w:r>
        <w:t>、产权交易平台</w:t>
      </w:r>
      <w:r>
        <w:rPr>
          <w:rFonts w:hint="eastAsia"/>
          <w:lang w:eastAsia="zh-CN"/>
        </w:rPr>
        <w:t>、</w:t>
      </w:r>
      <w:r>
        <w:rPr>
          <w:rFonts w:hint="eastAsia"/>
          <w:lang w:val="en-US" w:eastAsia="zh-CN"/>
        </w:rPr>
        <w:t>五级为农服务平台</w:t>
      </w:r>
      <w:r>
        <w:t>建设。</w:t>
      </w:r>
    </w:p>
    <w:p>
      <w:pPr>
        <w:pStyle w:val="16"/>
      </w:pPr>
      <w:r>
        <w:t>6、做好重要商品物资储备及监管。</w:t>
      </w:r>
    </w:p>
    <w:p>
      <w:pPr>
        <w:pStyle w:val="16"/>
      </w:pPr>
      <w:r>
        <w:t>（三）工作保障措施</w:t>
      </w:r>
    </w:p>
    <w:p>
      <w:pPr>
        <w:pStyle w:val="16"/>
      </w:pPr>
      <w:r>
        <w:t>1、扎实开展党的理论教育学习，不断围绕新问题深入开展学习大讨论，提升党员干部职工思想。</w:t>
      </w:r>
    </w:p>
    <w:p>
      <w:pPr>
        <w:pStyle w:val="16"/>
      </w:pPr>
      <w:r>
        <w:t>2、以县政府文件</w:t>
      </w:r>
      <w:r>
        <w:rPr>
          <w:rFonts w:hint="eastAsia"/>
          <w:lang w:val="en-US" w:eastAsia="zh-CN"/>
        </w:rPr>
        <w:t>要求</w:t>
      </w:r>
      <w:r>
        <w:t>规范开展土地半托管服务工作，建立健全“为农服务中心”三级服务体系，开展多种形式的托管服务。通过“一社一策”提供有针对性的土地托管服务，取得</w:t>
      </w:r>
      <w:r>
        <w:rPr>
          <w:rFonts w:hint="eastAsia"/>
          <w:lang w:eastAsia="zh-CN"/>
        </w:rPr>
        <w:t>实际效果</w:t>
      </w:r>
      <w:r>
        <w:t>。</w:t>
      </w:r>
    </w:p>
    <w:p>
      <w:pPr>
        <w:pStyle w:val="16"/>
      </w:pPr>
      <w:r>
        <w:t>3、搞好全县农村产权交易中心工作，认真研究工作措施，谋划工作新路，在流转过程中，坚持农民自愿原则，由村委会协调，明确双方的权利和义务。</w:t>
      </w:r>
    </w:p>
    <w:p>
      <w:pPr>
        <w:pStyle w:val="16"/>
      </w:pPr>
      <w:r>
        <w:t>4、坚持排查问题隐患不间断，认真排查信</w:t>
      </w:r>
      <w:r>
        <w:rPr>
          <w:rFonts w:hint="eastAsia"/>
          <w:lang w:val="en-US" w:eastAsia="zh-CN"/>
        </w:rPr>
        <w:t>访</w:t>
      </w:r>
      <w:r>
        <w:t>隐患，掌握信访动向，把信访隐患消灭在萌芽状态。</w:t>
      </w:r>
    </w:p>
    <w:p>
      <w:pPr>
        <w:pStyle w:val="16"/>
      </w:pPr>
      <w:r>
        <w:t>5、下沉基层供销社服务，积极打造村级供销社，打通服务群众最后一公里。</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val="0"/>
          <w:bCs/>
          <w:color w:val="000000"/>
          <w:sz w:val="28"/>
          <w:szCs w:val="28"/>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28"/>
          <w:szCs w:val="28"/>
          <w:lang w:eastAsia="zh-CN"/>
        </w:rPr>
        <w:t>无</w:t>
      </w: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ind w:firstLine="562" w:firstLineChars="200"/>
      </w:pPr>
      <w:r>
        <w:rPr>
          <w:rFonts w:ascii="方正仿宋_GBK" w:hAnsi="方正仿宋_GBK" w:eastAsia="方正仿宋_GBK" w:cs="方正仿宋_GBK"/>
          <w:b/>
          <w:color w:val="000000"/>
          <w:sz w:val="28"/>
        </w:rPr>
        <w:t>1、农村权交易经费绩效目标表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1.目标内容1、规定农村产权交易行为，在全县建立村级服务点449个，乡镇级服务站22家，帮助农户土地流转45000亩，争取交易额达到8.5亿元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建立村级服务点</w:t>
            </w:r>
          </w:p>
        </w:tc>
        <w:tc>
          <w:tcPr>
            <w:tcW w:w="2835" w:type="dxa"/>
            <w:vAlign w:val="center"/>
          </w:tcPr>
          <w:p>
            <w:pPr>
              <w:pStyle w:val="10"/>
            </w:pPr>
            <w:r>
              <w:t>在全县建立村级服务点449个</w:t>
            </w:r>
          </w:p>
        </w:tc>
        <w:tc>
          <w:tcPr>
            <w:tcW w:w="2551" w:type="dxa"/>
            <w:vAlign w:val="center"/>
          </w:tcPr>
          <w:p>
            <w:pPr>
              <w:pStyle w:val="10"/>
            </w:pPr>
            <w:r>
              <w:t>449个</w:t>
            </w:r>
          </w:p>
        </w:tc>
        <w:tc>
          <w:tcPr>
            <w:tcW w:w="2268" w:type="dxa"/>
            <w:vAlign w:val="center"/>
          </w:tcPr>
          <w:p>
            <w:pPr>
              <w:pStyle w:val="10"/>
            </w:pPr>
            <w: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建立乡级服务站</w:t>
            </w:r>
          </w:p>
        </w:tc>
        <w:tc>
          <w:tcPr>
            <w:tcW w:w="2835" w:type="dxa"/>
            <w:vAlign w:val="center"/>
          </w:tcPr>
          <w:p>
            <w:pPr>
              <w:pStyle w:val="10"/>
            </w:pPr>
            <w:r>
              <w:t>在全县设立服务站22家</w:t>
            </w:r>
          </w:p>
        </w:tc>
        <w:tc>
          <w:tcPr>
            <w:tcW w:w="2551" w:type="dxa"/>
            <w:vAlign w:val="center"/>
          </w:tcPr>
          <w:p>
            <w:pPr>
              <w:pStyle w:val="10"/>
            </w:pPr>
            <w:r>
              <w:t>22家</w:t>
            </w:r>
          </w:p>
        </w:tc>
        <w:tc>
          <w:tcPr>
            <w:tcW w:w="2268" w:type="dxa"/>
            <w:vAlign w:val="center"/>
          </w:tcPr>
          <w:p>
            <w:pPr>
              <w:pStyle w:val="10"/>
            </w:pPr>
            <w: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交易额</w:t>
            </w:r>
          </w:p>
        </w:tc>
        <w:tc>
          <w:tcPr>
            <w:tcW w:w="2835" w:type="dxa"/>
            <w:vAlign w:val="center"/>
          </w:tcPr>
          <w:p>
            <w:pPr>
              <w:pStyle w:val="10"/>
            </w:pPr>
            <w:r>
              <w:t>产权交易额完成8.5亿元</w:t>
            </w:r>
          </w:p>
        </w:tc>
        <w:tc>
          <w:tcPr>
            <w:tcW w:w="2551" w:type="dxa"/>
            <w:vAlign w:val="center"/>
          </w:tcPr>
          <w:p>
            <w:pPr>
              <w:pStyle w:val="10"/>
            </w:pPr>
            <w:r>
              <w:t>≥8.5亿</w:t>
            </w:r>
          </w:p>
        </w:tc>
        <w:tc>
          <w:tcPr>
            <w:tcW w:w="2268" w:type="dxa"/>
            <w:vAlign w:val="center"/>
          </w:tcPr>
          <w:p>
            <w:pPr>
              <w:pStyle w:val="10"/>
            </w:pPr>
            <w:r>
              <w:t>运行系统记录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控制成本 </w:t>
            </w:r>
          </w:p>
        </w:tc>
        <w:tc>
          <w:tcPr>
            <w:tcW w:w="2835" w:type="dxa"/>
            <w:vAlign w:val="center"/>
          </w:tcPr>
          <w:p>
            <w:pPr>
              <w:pStyle w:val="10"/>
            </w:pPr>
            <w:r>
              <w:t>严格控制交易成本全年支出不超过20万元</w:t>
            </w:r>
          </w:p>
        </w:tc>
        <w:tc>
          <w:tcPr>
            <w:tcW w:w="2551" w:type="dxa"/>
            <w:vAlign w:val="center"/>
          </w:tcPr>
          <w:p>
            <w:pPr>
              <w:pStyle w:val="10"/>
            </w:pPr>
            <w:r>
              <w:t>20万元</w:t>
            </w:r>
          </w:p>
        </w:tc>
        <w:tc>
          <w:tcPr>
            <w:tcW w:w="2268" w:type="dxa"/>
            <w:vAlign w:val="center"/>
          </w:tcPr>
          <w:p>
            <w:pPr>
              <w:pStyle w:val="10"/>
            </w:pPr>
            <w:r>
              <w:t xml:space="preserve">根据资金支付情况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按时完成</w:t>
            </w:r>
          </w:p>
        </w:tc>
        <w:tc>
          <w:tcPr>
            <w:tcW w:w="2835" w:type="dxa"/>
            <w:vAlign w:val="center"/>
          </w:tcPr>
          <w:p>
            <w:pPr>
              <w:pStyle w:val="10"/>
            </w:pPr>
            <w:r>
              <w:t>年内按时完成上级下达任务</w:t>
            </w:r>
          </w:p>
        </w:tc>
        <w:tc>
          <w:tcPr>
            <w:tcW w:w="2551" w:type="dxa"/>
            <w:vAlign w:val="center"/>
          </w:tcPr>
          <w:p>
            <w:pPr>
              <w:pStyle w:val="10"/>
            </w:pPr>
            <w:r>
              <w:t>≤12月</w:t>
            </w:r>
          </w:p>
        </w:tc>
        <w:tc>
          <w:tcPr>
            <w:tcW w:w="2268" w:type="dxa"/>
            <w:vAlign w:val="center"/>
          </w:tcPr>
          <w:p>
            <w:pPr>
              <w:pStyle w:val="10"/>
            </w:pPr>
            <w:r>
              <w:t>根据年度考核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推动市场</w:t>
            </w:r>
          </w:p>
        </w:tc>
        <w:tc>
          <w:tcPr>
            <w:tcW w:w="2835" w:type="dxa"/>
            <w:vAlign w:val="center"/>
          </w:tcPr>
          <w:p>
            <w:pPr>
              <w:pStyle w:val="10"/>
            </w:pPr>
            <w:r>
              <w:t>推动农村产权交易要素有序流动</w:t>
            </w:r>
          </w:p>
        </w:tc>
        <w:tc>
          <w:tcPr>
            <w:tcW w:w="2551" w:type="dxa"/>
            <w:vAlign w:val="center"/>
          </w:tcPr>
          <w:p>
            <w:pPr>
              <w:pStyle w:val="10"/>
            </w:pPr>
            <w:r>
              <w:t>宣传政策成功案例</w:t>
            </w:r>
          </w:p>
        </w:tc>
        <w:tc>
          <w:tcPr>
            <w:tcW w:w="2268" w:type="dxa"/>
            <w:vAlign w:val="center"/>
          </w:tcPr>
          <w:p>
            <w:pPr>
              <w:pStyle w:val="10"/>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增加收入</w:t>
            </w:r>
          </w:p>
        </w:tc>
        <w:tc>
          <w:tcPr>
            <w:tcW w:w="2835" w:type="dxa"/>
            <w:vAlign w:val="center"/>
          </w:tcPr>
          <w:p>
            <w:pPr>
              <w:pStyle w:val="10"/>
            </w:pPr>
            <w:r>
              <w:t>增加农民收入，提高农民幸福感</w:t>
            </w:r>
          </w:p>
        </w:tc>
        <w:tc>
          <w:tcPr>
            <w:tcW w:w="2551" w:type="dxa"/>
            <w:vAlign w:val="center"/>
          </w:tcPr>
          <w:p>
            <w:pPr>
              <w:pStyle w:val="10"/>
            </w:pPr>
            <w:r>
              <w:t>增加收入</w:t>
            </w:r>
          </w:p>
        </w:tc>
        <w:tc>
          <w:tcPr>
            <w:tcW w:w="2268" w:type="dxa"/>
            <w:vAlign w:val="center"/>
          </w:tcPr>
          <w:p>
            <w:pPr>
              <w:pStyle w:val="10"/>
            </w:pPr>
            <w:r>
              <w:t>根据流转鉴证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有效带动</w:t>
            </w:r>
          </w:p>
        </w:tc>
        <w:tc>
          <w:tcPr>
            <w:tcW w:w="2835" w:type="dxa"/>
            <w:vAlign w:val="center"/>
          </w:tcPr>
          <w:p>
            <w:pPr>
              <w:pStyle w:val="10"/>
            </w:pPr>
            <w:r>
              <w:t xml:space="preserve">有效带动农村产权交易 </w:t>
            </w:r>
          </w:p>
        </w:tc>
        <w:tc>
          <w:tcPr>
            <w:tcW w:w="2551" w:type="dxa"/>
            <w:vAlign w:val="center"/>
          </w:tcPr>
          <w:p>
            <w:pPr>
              <w:pStyle w:val="10"/>
            </w:pPr>
            <w:r>
              <w:t>带动农村产权交易</w:t>
            </w:r>
          </w:p>
        </w:tc>
        <w:tc>
          <w:tcPr>
            <w:tcW w:w="2268" w:type="dxa"/>
            <w:vAlign w:val="center"/>
          </w:tcPr>
          <w:p>
            <w:pPr>
              <w:pStyle w:val="10"/>
            </w:pPr>
            <w:r>
              <w:t xml:space="preserve">根据有关文件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调查周边群众满意度</w:t>
            </w:r>
          </w:p>
        </w:tc>
        <w:tc>
          <w:tcPr>
            <w:tcW w:w="2835" w:type="dxa"/>
            <w:vAlign w:val="center"/>
          </w:tcPr>
          <w:p>
            <w:pPr>
              <w:pStyle w:val="10"/>
            </w:pPr>
            <w:r>
              <w:t>调查周边群众满意度</w:t>
            </w:r>
          </w:p>
        </w:tc>
        <w:tc>
          <w:tcPr>
            <w:tcW w:w="2551" w:type="dxa"/>
            <w:vAlign w:val="center"/>
          </w:tcPr>
          <w:p>
            <w:pPr>
              <w:pStyle w:val="10"/>
            </w:pPr>
            <w:r>
              <w:t>≥95%</w:t>
            </w:r>
          </w:p>
        </w:tc>
        <w:tc>
          <w:tcPr>
            <w:tcW w:w="2268" w:type="dxa"/>
            <w:vAlign w:val="center"/>
          </w:tcPr>
          <w:p>
            <w:pPr>
              <w:pStyle w:val="10"/>
            </w:pPr>
            <w:r>
              <w:t>根据有关报表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2、2022年烟花爆竹清库存补助资金绩效目标表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1.目标内容1、积极做好清库存损失补贴相关工作。付商户退货款26户，付厂家货款13家，及装卸费等386元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退商户</w:t>
            </w:r>
          </w:p>
        </w:tc>
        <w:tc>
          <w:tcPr>
            <w:tcW w:w="2835" w:type="dxa"/>
            <w:vAlign w:val="center"/>
          </w:tcPr>
          <w:p>
            <w:pPr>
              <w:pStyle w:val="10"/>
            </w:pPr>
            <w:r>
              <w:t>已退货商户26户</w:t>
            </w:r>
          </w:p>
        </w:tc>
        <w:tc>
          <w:tcPr>
            <w:tcW w:w="2551" w:type="dxa"/>
            <w:vAlign w:val="center"/>
          </w:tcPr>
          <w:p>
            <w:pPr>
              <w:pStyle w:val="10"/>
            </w:pPr>
            <w:r>
              <w:t>26户</w:t>
            </w:r>
          </w:p>
        </w:tc>
        <w:tc>
          <w:tcPr>
            <w:tcW w:w="2268" w:type="dxa"/>
            <w:vAlign w:val="center"/>
          </w:tcPr>
          <w:p>
            <w:pPr>
              <w:pStyle w:val="10"/>
            </w:pPr>
            <w:r>
              <w:t>按有关报表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退厂家</w:t>
            </w:r>
          </w:p>
        </w:tc>
        <w:tc>
          <w:tcPr>
            <w:tcW w:w="2835" w:type="dxa"/>
            <w:vAlign w:val="center"/>
          </w:tcPr>
          <w:p>
            <w:pPr>
              <w:pStyle w:val="10"/>
            </w:pPr>
            <w:r>
              <w:t>已退货厂家13家</w:t>
            </w:r>
          </w:p>
        </w:tc>
        <w:tc>
          <w:tcPr>
            <w:tcW w:w="2551" w:type="dxa"/>
            <w:vAlign w:val="center"/>
          </w:tcPr>
          <w:p>
            <w:pPr>
              <w:pStyle w:val="10"/>
            </w:pPr>
            <w:r>
              <w:t>13家</w:t>
            </w:r>
          </w:p>
        </w:tc>
        <w:tc>
          <w:tcPr>
            <w:tcW w:w="2268" w:type="dxa"/>
            <w:vAlign w:val="center"/>
          </w:tcPr>
          <w:p>
            <w:pPr>
              <w:pStyle w:val="10"/>
            </w:pPr>
            <w:r>
              <w:t>按有关报表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符合标准</w:t>
            </w:r>
          </w:p>
        </w:tc>
        <w:tc>
          <w:tcPr>
            <w:tcW w:w="2835" w:type="dxa"/>
            <w:vAlign w:val="center"/>
          </w:tcPr>
          <w:p>
            <w:pPr>
              <w:pStyle w:val="10"/>
            </w:pPr>
            <w:r>
              <w:t>按照规定按时按要求完成</w:t>
            </w:r>
          </w:p>
        </w:tc>
        <w:tc>
          <w:tcPr>
            <w:tcW w:w="2551" w:type="dxa"/>
            <w:vAlign w:val="center"/>
          </w:tcPr>
          <w:p>
            <w:pPr>
              <w:pStyle w:val="10"/>
            </w:pPr>
            <w:r>
              <w:t>符合相关要求</w:t>
            </w:r>
          </w:p>
        </w:tc>
        <w:tc>
          <w:tcPr>
            <w:tcW w:w="2268" w:type="dxa"/>
            <w:vAlign w:val="center"/>
          </w:tcPr>
          <w:p>
            <w:pPr>
              <w:pStyle w:val="10"/>
            </w:pPr>
            <w:r>
              <w:t>按有关报表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按时支付</w:t>
            </w:r>
          </w:p>
        </w:tc>
        <w:tc>
          <w:tcPr>
            <w:tcW w:w="2835" w:type="dxa"/>
            <w:vAlign w:val="center"/>
          </w:tcPr>
          <w:p>
            <w:pPr>
              <w:pStyle w:val="10"/>
            </w:pPr>
            <w:r>
              <w:t>资金到位后第一时间支付</w:t>
            </w:r>
          </w:p>
        </w:tc>
        <w:tc>
          <w:tcPr>
            <w:tcW w:w="2551" w:type="dxa"/>
            <w:vAlign w:val="center"/>
          </w:tcPr>
          <w:p>
            <w:pPr>
              <w:pStyle w:val="10"/>
            </w:pPr>
            <w:r>
              <w:t xml:space="preserve">≤20日 </w:t>
            </w:r>
          </w:p>
        </w:tc>
        <w:tc>
          <w:tcPr>
            <w:tcW w:w="2268" w:type="dxa"/>
            <w:vAlign w:val="center"/>
          </w:tcPr>
          <w:p>
            <w:pPr>
              <w:pStyle w:val="10"/>
            </w:pPr>
            <w:r>
              <w:t>按有关报表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资金总额 </w:t>
            </w:r>
          </w:p>
        </w:tc>
        <w:tc>
          <w:tcPr>
            <w:tcW w:w="2835" w:type="dxa"/>
            <w:vAlign w:val="center"/>
          </w:tcPr>
          <w:p>
            <w:pPr>
              <w:pStyle w:val="10"/>
            </w:pPr>
            <w:r>
              <w:t>2022年清库存共需支付386.23万元</w:t>
            </w:r>
          </w:p>
        </w:tc>
        <w:tc>
          <w:tcPr>
            <w:tcW w:w="2551" w:type="dxa"/>
            <w:vAlign w:val="center"/>
          </w:tcPr>
          <w:p>
            <w:pPr>
              <w:pStyle w:val="10"/>
            </w:pPr>
            <w:r>
              <w:t>386万元</w:t>
            </w:r>
          </w:p>
        </w:tc>
        <w:tc>
          <w:tcPr>
            <w:tcW w:w="2268" w:type="dxa"/>
            <w:vAlign w:val="center"/>
          </w:tcPr>
          <w:p>
            <w:pPr>
              <w:pStyle w:val="10"/>
            </w:pPr>
            <w:r>
              <w:t>按有关报表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增加补贴额</w:t>
            </w:r>
          </w:p>
        </w:tc>
        <w:tc>
          <w:tcPr>
            <w:tcW w:w="2835" w:type="dxa"/>
            <w:vAlign w:val="center"/>
          </w:tcPr>
          <w:p>
            <w:pPr>
              <w:pStyle w:val="10"/>
            </w:pPr>
            <w:r>
              <w:t>增加补贴额减少损失</w:t>
            </w:r>
          </w:p>
        </w:tc>
        <w:tc>
          <w:tcPr>
            <w:tcW w:w="2551" w:type="dxa"/>
            <w:vAlign w:val="center"/>
          </w:tcPr>
          <w:p>
            <w:pPr>
              <w:pStyle w:val="10"/>
            </w:pPr>
            <w:r>
              <w:t>补贴到位企业减少损失</w:t>
            </w:r>
          </w:p>
        </w:tc>
        <w:tc>
          <w:tcPr>
            <w:tcW w:w="2268" w:type="dxa"/>
            <w:vAlign w:val="center"/>
          </w:tcPr>
          <w:p>
            <w:pPr>
              <w:pStyle w:val="10"/>
            </w:pPr>
            <w:r>
              <w:t>按有关统计数据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优化环境</w:t>
            </w:r>
          </w:p>
        </w:tc>
        <w:tc>
          <w:tcPr>
            <w:tcW w:w="2835" w:type="dxa"/>
            <w:vAlign w:val="center"/>
          </w:tcPr>
          <w:p>
            <w:pPr>
              <w:pStyle w:val="10"/>
            </w:pPr>
            <w:r>
              <w:t>防治大气污染，改装空气质量</w:t>
            </w:r>
          </w:p>
        </w:tc>
        <w:tc>
          <w:tcPr>
            <w:tcW w:w="2551" w:type="dxa"/>
            <w:vAlign w:val="center"/>
          </w:tcPr>
          <w:p>
            <w:pPr>
              <w:pStyle w:val="10"/>
            </w:pPr>
            <w:r>
              <w:t>改善空气质量</w:t>
            </w:r>
          </w:p>
        </w:tc>
        <w:tc>
          <w:tcPr>
            <w:tcW w:w="2268" w:type="dxa"/>
            <w:vAlign w:val="center"/>
          </w:tcPr>
          <w:p>
            <w:pPr>
              <w:pStyle w:val="10"/>
            </w:pPr>
            <w:r>
              <w:t>按有关统计数据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倡导文明新风</w:t>
            </w:r>
          </w:p>
        </w:tc>
        <w:tc>
          <w:tcPr>
            <w:tcW w:w="2835" w:type="dxa"/>
            <w:vAlign w:val="center"/>
          </w:tcPr>
          <w:p>
            <w:pPr>
              <w:pStyle w:val="10"/>
            </w:pPr>
            <w:r>
              <w:t>禁售禁燃降低公共风险，维护群众健康安全</w:t>
            </w:r>
          </w:p>
        </w:tc>
        <w:tc>
          <w:tcPr>
            <w:tcW w:w="2551" w:type="dxa"/>
            <w:vAlign w:val="center"/>
          </w:tcPr>
          <w:p>
            <w:pPr>
              <w:pStyle w:val="10"/>
            </w:pPr>
            <w:r>
              <w:t>群众健康安全</w:t>
            </w:r>
          </w:p>
        </w:tc>
        <w:tc>
          <w:tcPr>
            <w:tcW w:w="2268" w:type="dxa"/>
            <w:vAlign w:val="center"/>
          </w:tcPr>
          <w:p>
            <w:pPr>
              <w:pStyle w:val="10"/>
            </w:pPr>
            <w:r>
              <w:t>按有关统计数据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调查企业满意度</w:t>
            </w:r>
          </w:p>
        </w:tc>
        <w:tc>
          <w:tcPr>
            <w:tcW w:w="2835" w:type="dxa"/>
            <w:vAlign w:val="center"/>
          </w:tcPr>
          <w:p>
            <w:pPr>
              <w:pStyle w:val="10"/>
            </w:pPr>
            <w:r>
              <w:t>补贴到位对企业开展满意调查</w:t>
            </w:r>
          </w:p>
        </w:tc>
        <w:tc>
          <w:tcPr>
            <w:tcW w:w="2551" w:type="dxa"/>
            <w:vAlign w:val="center"/>
          </w:tcPr>
          <w:p>
            <w:pPr>
              <w:pStyle w:val="10"/>
            </w:pPr>
            <w:r>
              <w:t>≥95%</w:t>
            </w:r>
          </w:p>
        </w:tc>
        <w:tc>
          <w:tcPr>
            <w:tcW w:w="2268" w:type="dxa"/>
            <w:vAlign w:val="center"/>
          </w:tcPr>
          <w:p>
            <w:pPr>
              <w:pStyle w:val="10"/>
            </w:pPr>
            <w:r>
              <w:t xml:space="preserve">按有关调查数据 </w:t>
            </w:r>
          </w:p>
        </w:tc>
      </w:tr>
    </w:tbl>
    <w:p>
      <w:pPr>
        <w:sectPr>
          <w:pgSz w:w="16840" w:h="11900" w:orient="landscape"/>
          <w:pgMar w:top="1361" w:right="1020" w:bottom="1134" w:left="1020" w:header="720" w:footer="720" w:gutter="0"/>
          <w:cols w:space="720" w:num="1"/>
        </w:sectPr>
      </w:pPr>
    </w:p>
    <w:p>
      <w:pPr>
        <w:pStyle w:val="16"/>
      </w:pPr>
    </w:p>
    <w:p>
      <w:pPr>
        <w:pStyle w:val="16"/>
      </w:pPr>
    </w:p>
    <w:p>
      <w:pPr>
        <w:spacing w:before="10" w:after="10"/>
        <w:ind w:firstLine="640"/>
        <w:outlineLvl w:val="2"/>
      </w:pPr>
      <w:bookmarkStart w:id="11" w:name="_Toc_3_3_0000000015"/>
      <w:r>
        <w:rPr>
          <w:rFonts w:ascii="黑体" w:hAnsi="黑体" w:eastAsia="黑体" w:cs="黑体"/>
          <w:color w:val="000000"/>
          <w:sz w:val="32"/>
        </w:rPr>
        <w:t>六、政府采购预算情况</w:t>
      </w:r>
      <w:bookmarkEnd w:id="11"/>
    </w:p>
    <w:p>
      <w:pPr>
        <w:spacing w:line="500" w:lineRule="exact"/>
        <w:ind w:firstLine="560"/>
      </w:pPr>
      <w:r>
        <w:rPr>
          <w:rFonts w:eastAsia="方正仿宋_GBK"/>
          <w:color w:val="000000"/>
          <w:sz w:val="28"/>
        </w:rPr>
        <w:t>2022年，魏县供销合作社联合社安排政府采购预算0.00万元。具体内容见下表。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975魏县供销合作社联合社</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2" w:name="_Toc_3_3_0000000016"/>
      <w:r>
        <w:rPr>
          <w:rFonts w:ascii="黑体" w:hAnsi="黑体" w:eastAsia="黑体" w:cs="黑体"/>
          <w:color w:val="000000"/>
          <w:sz w:val="32"/>
        </w:rPr>
        <w:t>七、国有资产信息</w:t>
      </w:r>
      <w:bookmarkEnd w:id="12"/>
    </w:p>
    <w:p>
      <w:pPr>
        <w:spacing w:line="500" w:lineRule="exact"/>
        <w:ind w:firstLine="560"/>
      </w:pPr>
      <w:r>
        <w:rPr>
          <w:rFonts w:eastAsia="方正仿宋_GBK"/>
          <w:color w:val="000000"/>
          <w:sz w:val="28"/>
        </w:rPr>
        <w:t>魏县供销合作社联合社（含所属单位）上年末固定资产金额为0.00万元（详见下表）。本年度拟购置固定资产总额为0.00万元，已按要求列入政府采购预算，详见政府采购预算表。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975魏县供销合作社联合社</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3" w:name="_Toc_3_3_0000000017"/>
      <w:r>
        <w:rPr>
          <w:rFonts w:ascii="黑体" w:hAnsi="黑体" w:eastAsia="黑体" w:cs="黑体"/>
          <w:color w:val="000000"/>
          <w:sz w:val="32"/>
        </w:rPr>
        <w:t>八、名词解释</w:t>
      </w:r>
      <w:bookmarkEnd w:id="1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w:t>
      </w:r>
      <w:r>
        <w:rPr>
          <w:rFonts w:hint="eastAsia" w:eastAsia="方正仿宋_GBK"/>
          <w:color w:val="000000"/>
          <w:sz w:val="28"/>
          <w:lang w:val="en-US" w:eastAsia="zh-CN"/>
        </w:rPr>
        <w:t>项</w:t>
      </w:r>
      <w:r>
        <w:rPr>
          <w:rFonts w:eastAsia="方正仿宋_GBK"/>
          <w:color w:val="000000"/>
          <w:sz w:val="28"/>
        </w:rPr>
        <w:t>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w:t>
      </w:r>
      <w:r>
        <w:rPr>
          <w:rFonts w:hint="eastAsia" w:eastAsia="方正仿宋_GBK"/>
          <w:color w:val="000000"/>
          <w:sz w:val="28"/>
          <w:lang w:val="en-US"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4" w:name="_Toc_3_3_0000000018"/>
      <w:r>
        <w:rPr>
          <w:rFonts w:ascii="黑体" w:hAnsi="黑体" w:eastAsia="黑体" w:cs="黑体"/>
          <w:color w:val="000000"/>
          <w:sz w:val="32"/>
        </w:rPr>
        <w:t>九、其他需要说明的事项</w:t>
      </w:r>
      <w:bookmarkEnd w:id="14"/>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5" w:name="_Toc_4_4_0000000019"/>
      <w:r>
        <w:rPr>
          <w:rFonts w:ascii="方正小标宋_GBK" w:hAnsi="方正小标宋_GBK" w:eastAsia="方正小标宋_GBK" w:cs="方正小标宋_GBK"/>
          <w:color w:val="000000"/>
          <w:sz w:val="44"/>
        </w:rPr>
        <w:t>一、魏县供销合作社联合社本级收支预算</w:t>
      </w:r>
      <w:bookmarkEnd w:id="15"/>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659.34</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r>
              <w:t>642.05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659.34</w:t>
            </w:r>
          </w:p>
        </w:tc>
        <w:tc>
          <w:tcPr>
            <w:tcW w:w="4535" w:type="dxa"/>
            <w:vAlign w:val="center"/>
          </w:tcPr>
          <w:p>
            <w:pPr>
              <w:pStyle w:val="12"/>
            </w:pPr>
            <w:r>
              <w:t>本年支出合计</w:t>
            </w:r>
          </w:p>
        </w:tc>
        <w:tc>
          <w:tcPr>
            <w:tcW w:w="2126" w:type="dxa"/>
            <w:vAlign w:val="center"/>
          </w:tcPr>
          <w:p>
            <w:pPr>
              <w:pStyle w:val="13"/>
            </w:pPr>
            <w:r>
              <w:t>659.34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659.34</w:t>
            </w:r>
          </w:p>
        </w:tc>
        <w:tc>
          <w:tcPr>
            <w:tcW w:w="4535" w:type="dxa"/>
            <w:vAlign w:val="center"/>
          </w:tcPr>
          <w:p>
            <w:pPr>
              <w:pStyle w:val="12"/>
            </w:pPr>
            <w:r>
              <w:t>支出总计</w:t>
            </w:r>
          </w:p>
        </w:tc>
        <w:tc>
          <w:tcPr>
            <w:tcW w:w="2126" w:type="dxa"/>
            <w:vAlign w:val="center"/>
          </w:tcPr>
          <w:p>
            <w:pPr>
              <w:pStyle w:val="13"/>
            </w:pPr>
            <w:r>
              <w:t>659.34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659.34</w:t>
            </w:r>
          </w:p>
        </w:tc>
        <w:tc>
          <w:tcPr>
            <w:tcW w:w="1134" w:type="dxa"/>
            <w:vAlign w:val="center"/>
          </w:tcPr>
          <w:p>
            <w:pPr>
              <w:pStyle w:val="13"/>
            </w:pPr>
            <w:r>
              <w:t>659.34</w:t>
            </w:r>
          </w:p>
        </w:tc>
        <w:tc>
          <w:tcPr>
            <w:tcW w:w="1134" w:type="dxa"/>
            <w:vAlign w:val="center"/>
          </w:tcPr>
          <w:p>
            <w:pPr>
              <w:pStyle w:val="13"/>
            </w:pPr>
            <w:r>
              <w:t>659.34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13.35</w:t>
            </w:r>
          </w:p>
        </w:tc>
        <w:tc>
          <w:tcPr>
            <w:tcW w:w="1134" w:type="dxa"/>
            <w:vAlign w:val="center"/>
          </w:tcPr>
          <w:p>
            <w:pPr>
              <w:pStyle w:val="9"/>
            </w:pPr>
            <w:r>
              <w:t>13.35</w:t>
            </w:r>
          </w:p>
        </w:tc>
        <w:tc>
          <w:tcPr>
            <w:tcW w:w="1134" w:type="dxa"/>
            <w:vAlign w:val="center"/>
          </w:tcPr>
          <w:p>
            <w:pPr>
              <w:pStyle w:val="9"/>
            </w:pPr>
            <w:r>
              <w:t>13.35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13.35</w:t>
            </w:r>
          </w:p>
        </w:tc>
        <w:tc>
          <w:tcPr>
            <w:tcW w:w="1134" w:type="dxa"/>
            <w:vAlign w:val="center"/>
          </w:tcPr>
          <w:p>
            <w:pPr>
              <w:pStyle w:val="9"/>
            </w:pPr>
            <w:r>
              <w:t>13.35</w:t>
            </w:r>
          </w:p>
        </w:tc>
        <w:tc>
          <w:tcPr>
            <w:tcW w:w="1134" w:type="dxa"/>
            <w:vAlign w:val="center"/>
          </w:tcPr>
          <w:p>
            <w:pPr>
              <w:pStyle w:val="9"/>
            </w:pPr>
            <w:r>
              <w:t>13.35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1.89</w:t>
            </w:r>
          </w:p>
        </w:tc>
        <w:tc>
          <w:tcPr>
            <w:tcW w:w="1134" w:type="dxa"/>
            <w:vAlign w:val="center"/>
          </w:tcPr>
          <w:p>
            <w:pPr>
              <w:pStyle w:val="9"/>
            </w:pPr>
            <w:r>
              <w:t>1.89</w:t>
            </w:r>
          </w:p>
        </w:tc>
        <w:tc>
          <w:tcPr>
            <w:tcW w:w="1134" w:type="dxa"/>
            <w:vAlign w:val="center"/>
          </w:tcPr>
          <w:p>
            <w:pPr>
              <w:pStyle w:val="9"/>
            </w:pPr>
            <w:r>
              <w:t>1.89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7.64</w:t>
            </w:r>
          </w:p>
        </w:tc>
        <w:tc>
          <w:tcPr>
            <w:tcW w:w="1134" w:type="dxa"/>
            <w:vAlign w:val="center"/>
          </w:tcPr>
          <w:p>
            <w:pPr>
              <w:pStyle w:val="9"/>
            </w:pPr>
            <w:r>
              <w:t>7.64</w:t>
            </w:r>
          </w:p>
        </w:tc>
        <w:tc>
          <w:tcPr>
            <w:tcW w:w="1134" w:type="dxa"/>
            <w:vAlign w:val="center"/>
          </w:tcPr>
          <w:p>
            <w:pPr>
              <w:pStyle w:val="9"/>
            </w:pPr>
            <w:r>
              <w:t>7.64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3.82</w:t>
            </w:r>
          </w:p>
        </w:tc>
        <w:tc>
          <w:tcPr>
            <w:tcW w:w="1134" w:type="dxa"/>
            <w:vAlign w:val="center"/>
          </w:tcPr>
          <w:p>
            <w:pPr>
              <w:pStyle w:val="9"/>
            </w:pPr>
            <w:r>
              <w:t>3.82</w:t>
            </w:r>
          </w:p>
        </w:tc>
        <w:tc>
          <w:tcPr>
            <w:tcW w:w="1134" w:type="dxa"/>
            <w:vAlign w:val="center"/>
          </w:tcPr>
          <w:p>
            <w:pPr>
              <w:pStyle w:val="9"/>
            </w:pPr>
            <w:r>
              <w:t>3.82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216</w:t>
            </w:r>
          </w:p>
        </w:tc>
        <w:tc>
          <w:tcPr>
            <w:tcW w:w="1559" w:type="dxa"/>
            <w:vAlign w:val="center"/>
          </w:tcPr>
          <w:p>
            <w:pPr>
              <w:pStyle w:val="10"/>
            </w:pPr>
            <w:r>
              <w:t>商业服务业等支出</w:t>
            </w:r>
          </w:p>
        </w:tc>
        <w:tc>
          <w:tcPr>
            <w:tcW w:w="1134" w:type="dxa"/>
            <w:vAlign w:val="center"/>
          </w:tcPr>
          <w:p>
            <w:pPr>
              <w:pStyle w:val="9"/>
            </w:pPr>
            <w:r>
              <w:t>642.05</w:t>
            </w:r>
          </w:p>
        </w:tc>
        <w:tc>
          <w:tcPr>
            <w:tcW w:w="1134" w:type="dxa"/>
            <w:vAlign w:val="center"/>
          </w:tcPr>
          <w:p>
            <w:pPr>
              <w:pStyle w:val="9"/>
            </w:pPr>
            <w:r>
              <w:t>642.05</w:t>
            </w:r>
          </w:p>
        </w:tc>
        <w:tc>
          <w:tcPr>
            <w:tcW w:w="1134" w:type="dxa"/>
            <w:vAlign w:val="center"/>
          </w:tcPr>
          <w:p>
            <w:pPr>
              <w:pStyle w:val="9"/>
            </w:pPr>
            <w:r>
              <w:t>642.05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21602</w:t>
            </w:r>
          </w:p>
        </w:tc>
        <w:tc>
          <w:tcPr>
            <w:tcW w:w="1559" w:type="dxa"/>
            <w:vAlign w:val="center"/>
          </w:tcPr>
          <w:p>
            <w:pPr>
              <w:pStyle w:val="10"/>
            </w:pPr>
            <w:r>
              <w:t>商业流通事务</w:t>
            </w:r>
          </w:p>
        </w:tc>
        <w:tc>
          <w:tcPr>
            <w:tcW w:w="1134" w:type="dxa"/>
            <w:vAlign w:val="center"/>
          </w:tcPr>
          <w:p>
            <w:pPr>
              <w:pStyle w:val="9"/>
            </w:pPr>
            <w:r>
              <w:t>642.05</w:t>
            </w:r>
          </w:p>
        </w:tc>
        <w:tc>
          <w:tcPr>
            <w:tcW w:w="1134" w:type="dxa"/>
            <w:vAlign w:val="center"/>
          </w:tcPr>
          <w:p>
            <w:pPr>
              <w:pStyle w:val="9"/>
            </w:pPr>
            <w:r>
              <w:t>642.05</w:t>
            </w:r>
          </w:p>
        </w:tc>
        <w:tc>
          <w:tcPr>
            <w:tcW w:w="1134" w:type="dxa"/>
            <w:vAlign w:val="center"/>
          </w:tcPr>
          <w:p>
            <w:pPr>
              <w:pStyle w:val="9"/>
            </w:pPr>
            <w:r>
              <w:t>642.05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2160201</w:t>
            </w:r>
          </w:p>
        </w:tc>
        <w:tc>
          <w:tcPr>
            <w:tcW w:w="1559" w:type="dxa"/>
            <w:vAlign w:val="center"/>
          </w:tcPr>
          <w:p>
            <w:pPr>
              <w:pStyle w:val="10"/>
            </w:pPr>
            <w:r>
              <w:t>行政运行</w:t>
            </w:r>
          </w:p>
        </w:tc>
        <w:tc>
          <w:tcPr>
            <w:tcW w:w="1134" w:type="dxa"/>
            <w:vAlign w:val="center"/>
          </w:tcPr>
          <w:p>
            <w:pPr>
              <w:pStyle w:val="9"/>
            </w:pPr>
            <w:r>
              <w:t>256.05</w:t>
            </w:r>
          </w:p>
        </w:tc>
        <w:tc>
          <w:tcPr>
            <w:tcW w:w="1134" w:type="dxa"/>
            <w:vAlign w:val="center"/>
          </w:tcPr>
          <w:p>
            <w:pPr>
              <w:pStyle w:val="9"/>
            </w:pPr>
            <w:r>
              <w:t>256.05</w:t>
            </w:r>
          </w:p>
        </w:tc>
        <w:tc>
          <w:tcPr>
            <w:tcW w:w="1134" w:type="dxa"/>
            <w:vAlign w:val="center"/>
          </w:tcPr>
          <w:p>
            <w:pPr>
              <w:pStyle w:val="9"/>
            </w:pPr>
            <w:r>
              <w:t>256.05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2160299</w:t>
            </w:r>
          </w:p>
        </w:tc>
        <w:tc>
          <w:tcPr>
            <w:tcW w:w="1559" w:type="dxa"/>
            <w:vAlign w:val="center"/>
          </w:tcPr>
          <w:p>
            <w:pPr>
              <w:pStyle w:val="10"/>
            </w:pPr>
            <w:r>
              <w:t>其他商业流通事务支出</w:t>
            </w:r>
          </w:p>
        </w:tc>
        <w:tc>
          <w:tcPr>
            <w:tcW w:w="1134" w:type="dxa"/>
            <w:vAlign w:val="center"/>
          </w:tcPr>
          <w:p>
            <w:pPr>
              <w:pStyle w:val="9"/>
            </w:pPr>
            <w:r>
              <w:t>386.00</w:t>
            </w:r>
          </w:p>
        </w:tc>
        <w:tc>
          <w:tcPr>
            <w:tcW w:w="1134" w:type="dxa"/>
            <w:vAlign w:val="center"/>
          </w:tcPr>
          <w:p>
            <w:pPr>
              <w:pStyle w:val="9"/>
            </w:pPr>
            <w:r>
              <w:t>386.00</w:t>
            </w:r>
          </w:p>
        </w:tc>
        <w:tc>
          <w:tcPr>
            <w:tcW w:w="1134" w:type="dxa"/>
            <w:vAlign w:val="center"/>
          </w:tcPr>
          <w:p>
            <w:pPr>
              <w:pStyle w:val="9"/>
            </w:pPr>
            <w:r>
              <w:t>386.00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659.34</w:t>
            </w:r>
          </w:p>
        </w:tc>
        <w:tc>
          <w:tcPr>
            <w:tcW w:w="1361" w:type="dxa"/>
            <w:vAlign w:val="center"/>
          </w:tcPr>
          <w:p>
            <w:pPr>
              <w:pStyle w:val="13"/>
            </w:pPr>
            <w:r>
              <w:t>253.34</w:t>
            </w:r>
          </w:p>
        </w:tc>
        <w:tc>
          <w:tcPr>
            <w:tcW w:w="1361" w:type="dxa"/>
            <w:vAlign w:val="center"/>
          </w:tcPr>
          <w:p>
            <w:pPr>
              <w:pStyle w:val="13"/>
            </w:pPr>
            <w:r>
              <w:t>406.00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13.35</w:t>
            </w:r>
          </w:p>
        </w:tc>
        <w:tc>
          <w:tcPr>
            <w:tcW w:w="1361" w:type="dxa"/>
            <w:vAlign w:val="center"/>
          </w:tcPr>
          <w:p>
            <w:pPr>
              <w:pStyle w:val="9"/>
            </w:pPr>
            <w:r>
              <w:t>13.35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13.35</w:t>
            </w:r>
          </w:p>
        </w:tc>
        <w:tc>
          <w:tcPr>
            <w:tcW w:w="1361" w:type="dxa"/>
            <w:vAlign w:val="center"/>
          </w:tcPr>
          <w:p>
            <w:pPr>
              <w:pStyle w:val="9"/>
            </w:pPr>
            <w:r>
              <w:t>13.35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1.89</w:t>
            </w:r>
          </w:p>
        </w:tc>
        <w:tc>
          <w:tcPr>
            <w:tcW w:w="1361" w:type="dxa"/>
            <w:vAlign w:val="center"/>
          </w:tcPr>
          <w:p>
            <w:pPr>
              <w:pStyle w:val="9"/>
            </w:pPr>
            <w:r>
              <w:t>1.89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7.64</w:t>
            </w:r>
          </w:p>
        </w:tc>
        <w:tc>
          <w:tcPr>
            <w:tcW w:w="1361" w:type="dxa"/>
            <w:vAlign w:val="center"/>
          </w:tcPr>
          <w:p>
            <w:pPr>
              <w:pStyle w:val="9"/>
            </w:pPr>
            <w:r>
              <w:t>7.64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3.82</w:t>
            </w:r>
          </w:p>
        </w:tc>
        <w:tc>
          <w:tcPr>
            <w:tcW w:w="1361" w:type="dxa"/>
            <w:vAlign w:val="center"/>
          </w:tcPr>
          <w:p>
            <w:pPr>
              <w:pStyle w:val="9"/>
            </w:pPr>
            <w:r>
              <w:t>3.82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3.94</w:t>
            </w:r>
          </w:p>
        </w:tc>
        <w:tc>
          <w:tcPr>
            <w:tcW w:w="1361" w:type="dxa"/>
            <w:vAlign w:val="center"/>
          </w:tcPr>
          <w:p>
            <w:pPr>
              <w:pStyle w:val="9"/>
            </w:pPr>
            <w:r>
              <w:t>3.94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3.94</w:t>
            </w:r>
          </w:p>
        </w:tc>
        <w:tc>
          <w:tcPr>
            <w:tcW w:w="1361" w:type="dxa"/>
            <w:vAlign w:val="center"/>
          </w:tcPr>
          <w:p>
            <w:pPr>
              <w:pStyle w:val="9"/>
            </w:pPr>
            <w:r>
              <w:t>3.94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3.94</w:t>
            </w:r>
          </w:p>
        </w:tc>
        <w:tc>
          <w:tcPr>
            <w:tcW w:w="1361" w:type="dxa"/>
            <w:vAlign w:val="center"/>
          </w:tcPr>
          <w:p>
            <w:pPr>
              <w:pStyle w:val="9"/>
            </w:pPr>
            <w:r>
              <w:t>3.94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216</w:t>
            </w:r>
          </w:p>
        </w:tc>
        <w:tc>
          <w:tcPr>
            <w:tcW w:w="4535" w:type="dxa"/>
            <w:vAlign w:val="center"/>
          </w:tcPr>
          <w:p>
            <w:pPr>
              <w:pStyle w:val="10"/>
            </w:pPr>
            <w:r>
              <w:t>商业服务业等支出</w:t>
            </w:r>
          </w:p>
        </w:tc>
        <w:tc>
          <w:tcPr>
            <w:tcW w:w="1361" w:type="dxa"/>
            <w:vAlign w:val="center"/>
          </w:tcPr>
          <w:p>
            <w:pPr>
              <w:pStyle w:val="9"/>
            </w:pPr>
            <w:r>
              <w:t>642.05</w:t>
            </w:r>
          </w:p>
        </w:tc>
        <w:tc>
          <w:tcPr>
            <w:tcW w:w="1361" w:type="dxa"/>
            <w:vAlign w:val="center"/>
          </w:tcPr>
          <w:p>
            <w:pPr>
              <w:pStyle w:val="9"/>
            </w:pPr>
            <w:r>
              <w:t>236.05</w:t>
            </w:r>
          </w:p>
        </w:tc>
        <w:tc>
          <w:tcPr>
            <w:tcW w:w="1361" w:type="dxa"/>
            <w:vAlign w:val="center"/>
          </w:tcPr>
          <w:p>
            <w:pPr>
              <w:pStyle w:val="9"/>
            </w:pPr>
            <w:r>
              <w:t>406.00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21602</w:t>
            </w:r>
          </w:p>
        </w:tc>
        <w:tc>
          <w:tcPr>
            <w:tcW w:w="4535" w:type="dxa"/>
            <w:vAlign w:val="center"/>
          </w:tcPr>
          <w:p>
            <w:pPr>
              <w:pStyle w:val="10"/>
            </w:pPr>
            <w:r>
              <w:t>商业流通事务</w:t>
            </w:r>
          </w:p>
        </w:tc>
        <w:tc>
          <w:tcPr>
            <w:tcW w:w="1361" w:type="dxa"/>
            <w:vAlign w:val="center"/>
          </w:tcPr>
          <w:p>
            <w:pPr>
              <w:pStyle w:val="9"/>
            </w:pPr>
            <w:r>
              <w:t>642.05</w:t>
            </w:r>
          </w:p>
        </w:tc>
        <w:tc>
          <w:tcPr>
            <w:tcW w:w="1361" w:type="dxa"/>
            <w:vAlign w:val="center"/>
          </w:tcPr>
          <w:p>
            <w:pPr>
              <w:pStyle w:val="9"/>
            </w:pPr>
            <w:r>
              <w:t>236.05</w:t>
            </w:r>
          </w:p>
        </w:tc>
        <w:tc>
          <w:tcPr>
            <w:tcW w:w="1361" w:type="dxa"/>
            <w:vAlign w:val="center"/>
          </w:tcPr>
          <w:p>
            <w:pPr>
              <w:pStyle w:val="9"/>
            </w:pPr>
            <w:r>
              <w:t>406.00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2160201</w:t>
            </w:r>
          </w:p>
        </w:tc>
        <w:tc>
          <w:tcPr>
            <w:tcW w:w="4535" w:type="dxa"/>
            <w:vAlign w:val="center"/>
          </w:tcPr>
          <w:p>
            <w:pPr>
              <w:pStyle w:val="10"/>
            </w:pPr>
            <w:r>
              <w:t>行政运行</w:t>
            </w:r>
          </w:p>
        </w:tc>
        <w:tc>
          <w:tcPr>
            <w:tcW w:w="1361" w:type="dxa"/>
            <w:vAlign w:val="center"/>
          </w:tcPr>
          <w:p>
            <w:pPr>
              <w:pStyle w:val="9"/>
            </w:pPr>
            <w:r>
              <w:t>256.05</w:t>
            </w:r>
          </w:p>
        </w:tc>
        <w:tc>
          <w:tcPr>
            <w:tcW w:w="1361" w:type="dxa"/>
            <w:vAlign w:val="center"/>
          </w:tcPr>
          <w:p>
            <w:pPr>
              <w:pStyle w:val="9"/>
            </w:pPr>
            <w:r>
              <w:t>236.05</w:t>
            </w: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2160299</w:t>
            </w:r>
          </w:p>
        </w:tc>
        <w:tc>
          <w:tcPr>
            <w:tcW w:w="4535" w:type="dxa"/>
            <w:vAlign w:val="center"/>
          </w:tcPr>
          <w:p>
            <w:pPr>
              <w:pStyle w:val="10"/>
            </w:pPr>
            <w:r>
              <w:t>其他商业流通事务支出</w:t>
            </w:r>
          </w:p>
        </w:tc>
        <w:tc>
          <w:tcPr>
            <w:tcW w:w="1361" w:type="dxa"/>
            <w:vAlign w:val="center"/>
          </w:tcPr>
          <w:p>
            <w:pPr>
              <w:pStyle w:val="9"/>
            </w:pPr>
            <w:r>
              <w:t>386.00</w:t>
            </w:r>
          </w:p>
        </w:tc>
        <w:tc>
          <w:tcPr>
            <w:tcW w:w="1361" w:type="dxa"/>
            <w:vAlign w:val="center"/>
          </w:tcPr>
          <w:p>
            <w:pPr>
              <w:pStyle w:val="9"/>
            </w:pPr>
          </w:p>
        </w:tc>
        <w:tc>
          <w:tcPr>
            <w:tcW w:w="1361" w:type="dxa"/>
            <w:vAlign w:val="center"/>
          </w:tcPr>
          <w:p>
            <w:pPr>
              <w:pStyle w:val="9"/>
            </w:pPr>
            <w:r>
              <w:t>386.00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659.34</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13.35</w:t>
            </w:r>
          </w:p>
        </w:tc>
        <w:tc>
          <w:tcPr>
            <w:tcW w:w="1474" w:type="dxa"/>
            <w:vAlign w:val="center"/>
          </w:tcPr>
          <w:p>
            <w:pPr>
              <w:pStyle w:val="9"/>
            </w:pPr>
            <w:r>
              <w:t>13.35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3.94</w:t>
            </w:r>
          </w:p>
        </w:tc>
        <w:tc>
          <w:tcPr>
            <w:tcW w:w="1474" w:type="dxa"/>
            <w:vAlign w:val="center"/>
          </w:tcPr>
          <w:p>
            <w:pPr>
              <w:pStyle w:val="9"/>
            </w:pPr>
            <w:r>
              <w:t>3.94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r>
              <w:t>642.05</w:t>
            </w:r>
          </w:p>
        </w:tc>
        <w:tc>
          <w:tcPr>
            <w:tcW w:w="1474" w:type="dxa"/>
            <w:vAlign w:val="center"/>
          </w:tcPr>
          <w:p>
            <w:pPr>
              <w:pStyle w:val="9"/>
            </w:pPr>
            <w:r>
              <w:t>642.05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659.34</w:t>
            </w:r>
          </w:p>
        </w:tc>
        <w:tc>
          <w:tcPr>
            <w:tcW w:w="3402" w:type="dxa"/>
            <w:vAlign w:val="center"/>
          </w:tcPr>
          <w:p>
            <w:pPr>
              <w:pStyle w:val="12"/>
            </w:pPr>
            <w:r>
              <w:t>本年支出合计</w:t>
            </w:r>
          </w:p>
        </w:tc>
        <w:tc>
          <w:tcPr>
            <w:tcW w:w="1474" w:type="dxa"/>
            <w:vAlign w:val="center"/>
          </w:tcPr>
          <w:p>
            <w:pPr>
              <w:pStyle w:val="13"/>
            </w:pPr>
            <w:r>
              <w:t>659.34</w:t>
            </w:r>
          </w:p>
        </w:tc>
        <w:tc>
          <w:tcPr>
            <w:tcW w:w="1474" w:type="dxa"/>
            <w:vAlign w:val="center"/>
          </w:tcPr>
          <w:p>
            <w:pPr>
              <w:pStyle w:val="13"/>
            </w:pPr>
            <w:r>
              <w:t>659.34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659.34</w:t>
            </w:r>
          </w:p>
        </w:tc>
        <w:tc>
          <w:tcPr>
            <w:tcW w:w="3402" w:type="dxa"/>
            <w:vAlign w:val="center"/>
          </w:tcPr>
          <w:p>
            <w:pPr>
              <w:pStyle w:val="12"/>
            </w:pPr>
            <w:r>
              <w:t>支出总计</w:t>
            </w:r>
          </w:p>
        </w:tc>
        <w:tc>
          <w:tcPr>
            <w:tcW w:w="1474" w:type="dxa"/>
            <w:vAlign w:val="center"/>
          </w:tcPr>
          <w:p>
            <w:pPr>
              <w:pStyle w:val="13"/>
            </w:pPr>
            <w:r>
              <w:t>659.34</w:t>
            </w:r>
          </w:p>
        </w:tc>
        <w:tc>
          <w:tcPr>
            <w:tcW w:w="1474" w:type="dxa"/>
            <w:vAlign w:val="center"/>
          </w:tcPr>
          <w:p>
            <w:pPr>
              <w:pStyle w:val="13"/>
            </w:pPr>
            <w:r>
              <w:t>659.34</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659.34</w:t>
            </w:r>
          </w:p>
        </w:tc>
        <w:tc>
          <w:tcPr>
            <w:tcW w:w="2551" w:type="dxa"/>
            <w:vAlign w:val="center"/>
          </w:tcPr>
          <w:p>
            <w:pPr>
              <w:pStyle w:val="13"/>
            </w:pPr>
            <w:r>
              <w:t>253.34</w:t>
            </w:r>
          </w:p>
        </w:tc>
        <w:tc>
          <w:tcPr>
            <w:tcW w:w="2551" w:type="dxa"/>
            <w:vAlign w:val="center"/>
          </w:tcPr>
          <w:p>
            <w:pPr>
              <w:pStyle w:val="13"/>
            </w:pPr>
            <w:r>
              <w:t>406.00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13.35</w:t>
            </w:r>
          </w:p>
        </w:tc>
        <w:tc>
          <w:tcPr>
            <w:tcW w:w="2551" w:type="dxa"/>
            <w:vAlign w:val="center"/>
          </w:tcPr>
          <w:p>
            <w:pPr>
              <w:pStyle w:val="9"/>
            </w:pPr>
            <w:r>
              <w:t>13.35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13.35</w:t>
            </w:r>
          </w:p>
        </w:tc>
        <w:tc>
          <w:tcPr>
            <w:tcW w:w="2551" w:type="dxa"/>
            <w:vAlign w:val="center"/>
          </w:tcPr>
          <w:p>
            <w:pPr>
              <w:pStyle w:val="9"/>
            </w:pPr>
            <w:r>
              <w:t>13.35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1.89</w:t>
            </w:r>
          </w:p>
        </w:tc>
        <w:tc>
          <w:tcPr>
            <w:tcW w:w="2551" w:type="dxa"/>
            <w:vAlign w:val="center"/>
          </w:tcPr>
          <w:p>
            <w:pPr>
              <w:pStyle w:val="9"/>
            </w:pPr>
            <w:r>
              <w:t>1.89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7.64</w:t>
            </w:r>
          </w:p>
        </w:tc>
        <w:tc>
          <w:tcPr>
            <w:tcW w:w="2551" w:type="dxa"/>
            <w:vAlign w:val="center"/>
          </w:tcPr>
          <w:p>
            <w:pPr>
              <w:pStyle w:val="9"/>
            </w:pPr>
            <w:r>
              <w:t>7.64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3.82</w:t>
            </w:r>
          </w:p>
        </w:tc>
        <w:tc>
          <w:tcPr>
            <w:tcW w:w="2551" w:type="dxa"/>
            <w:vAlign w:val="center"/>
          </w:tcPr>
          <w:p>
            <w:pPr>
              <w:pStyle w:val="9"/>
            </w:pPr>
            <w:r>
              <w:t>3.82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3.94</w:t>
            </w:r>
          </w:p>
        </w:tc>
        <w:tc>
          <w:tcPr>
            <w:tcW w:w="2551" w:type="dxa"/>
            <w:vAlign w:val="center"/>
          </w:tcPr>
          <w:p>
            <w:pPr>
              <w:pStyle w:val="9"/>
            </w:pPr>
            <w:r>
              <w:t>3.94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3.94</w:t>
            </w:r>
          </w:p>
        </w:tc>
        <w:tc>
          <w:tcPr>
            <w:tcW w:w="2551" w:type="dxa"/>
            <w:vAlign w:val="center"/>
          </w:tcPr>
          <w:p>
            <w:pPr>
              <w:pStyle w:val="9"/>
            </w:pPr>
            <w:r>
              <w:t>3.94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3.94</w:t>
            </w:r>
          </w:p>
        </w:tc>
        <w:tc>
          <w:tcPr>
            <w:tcW w:w="2551" w:type="dxa"/>
            <w:vAlign w:val="center"/>
          </w:tcPr>
          <w:p>
            <w:pPr>
              <w:pStyle w:val="9"/>
            </w:pPr>
            <w:r>
              <w:t>3.94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216</w:t>
            </w:r>
          </w:p>
        </w:tc>
        <w:tc>
          <w:tcPr>
            <w:tcW w:w="4535" w:type="dxa"/>
            <w:vAlign w:val="center"/>
          </w:tcPr>
          <w:p>
            <w:pPr>
              <w:pStyle w:val="10"/>
            </w:pPr>
            <w:r>
              <w:t>商业服务业等支出</w:t>
            </w:r>
          </w:p>
        </w:tc>
        <w:tc>
          <w:tcPr>
            <w:tcW w:w="2551" w:type="dxa"/>
            <w:vAlign w:val="center"/>
          </w:tcPr>
          <w:p>
            <w:pPr>
              <w:pStyle w:val="9"/>
            </w:pPr>
            <w:r>
              <w:t>642.05</w:t>
            </w:r>
          </w:p>
        </w:tc>
        <w:tc>
          <w:tcPr>
            <w:tcW w:w="2551" w:type="dxa"/>
            <w:vAlign w:val="center"/>
          </w:tcPr>
          <w:p>
            <w:pPr>
              <w:pStyle w:val="9"/>
            </w:pPr>
            <w:r>
              <w:t>236.05</w:t>
            </w:r>
          </w:p>
        </w:tc>
        <w:tc>
          <w:tcPr>
            <w:tcW w:w="2551" w:type="dxa"/>
            <w:vAlign w:val="center"/>
          </w:tcPr>
          <w:p>
            <w:pPr>
              <w:pStyle w:val="9"/>
            </w:pPr>
            <w:r>
              <w:t>406.00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21602</w:t>
            </w:r>
          </w:p>
        </w:tc>
        <w:tc>
          <w:tcPr>
            <w:tcW w:w="4535" w:type="dxa"/>
            <w:vAlign w:val="center"/>
          </w:tcPr>
          <w:p>
            <w:pPr>
              <w:pStyle w:val="10"/>
            </w:pPr>
            <w:r>
              <w:t>商业流通事务</w:t>
            </w:r>
          </w:p>
        </w:tc>
        <w:tc>
          <w:tcPr>
            <w:tcW w:w="2551" w:type="dxa"/>
            <w:vAlign w:val="center"/>
          </w:tcPr>
          <w:p>
            <w:pPr>
              <w:pStyle w:val="9"/>
            </w:pPr>
            <w:r>
              <w:t>642.05</w:t>
            </w:r>
          </w:p>
        </w:tc>
        <w:tc>
          <w:tcPr>
            <w:tcW w:w="2551" w:type="dxa"/>
            <w:vAlign w:val="center"/>
          </w:tcPr>
          <w:p>
            <w:pPr>
              <w:pStyle w:val="9"/>
            </w:pPr>
            <w:r>
              <w:t>236.05</w:t>
            </w:r>
          </w:p>
        </w:tc>
        <w:tc>
          <w:tcPr>
            <w:tcW w:w="2551" w:type="dxa"/>
            <w:vAlign w:val="center"/>
          </w:tcPr>
          <w:p>
            <w:pPr>
              <w:pStyle w:val="9"/>
            </w:pPr>
            <w:r>
              <w:t>406.00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2160201</w:t>
            </w:r>
          </w:p>
        </w:tc>
        <w:tc>
          <w:tcPr>
            <w:tcW w:w="4535" w:type="dxa"/>
            <w:vAlign w:val="center"/>
          </w:tcPr>
          <w:p>
            <w:pPr>
              <w:pStyle w:val="10"/>
            </w:pPr>
            <w:r>
              <w:t>行政运行</w:t>
            </w:r>
          </w:p>
        </w:tc>
        <w:tc>
          <w:tcPr>
            <w:tcW w:w="2551" w:type="dxa"/>
            <w:vAlign w:val="center"/>
          </w:tcPr>
          <w:p>
            <w:pPr>
              <w:pStyle w:val="9"/>
            </w:pPr>
            <w:r>
              <w:t>256.05</w:t>
            </w:r>
          </w:p>
        </w:tc>
        <w:tc>
          <w:tcPr>
            <w:tcW w:w="2551" w:type="dxa"/>
            <w:vAlign w:val="center"/>
          </w:tcPr>
          <w:p>
            <w:pPr>
              <w:pStyle w:val="9"/>
            </w:pPr>
            <w:r>
              <w:t>236.05</w:t>
            </w: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2160299</w:t>
            </w:r>
          </w:p>
        </w:tc>
        <w:tc>
          <w:tcPr>
            <w:tcW w:w="4535" w:type="dxa"/>
            <w:vAlign w:val="center"/>
          </w:tcPr>
          <w:p>
            <w:pPr>
              <w:pStyle w:val="10"/>
            </w:pPr>
            <w:r>
              <w:t>其他商业流通事务支出</w:t>
            </w:r>
          </w:p>
        </w:tc>
        <w:tc>
          <w:tcPr>
            <w:tcW w:w="2551" w:type="dxa"/>
            <w:vAlign w:val="center"/>
          </w:tcPr>
          <w:p>
            <w:pPr>
              <w:pStyle w:val="9"/>
            </w:pPr>
            <w:r>
              <w:t>386.00</w:t>
            </w:r>
          </w:p>
        </w:tc>
        <w:tc>
          <w:tcPr>
            <w:tcW w:w="2551" w:type="dxa"/>
            <w:vAlign w:val="center"/>
          </w:tcPr>
          <w:p>
            <w:pPr>
              <w:pStyle w:val="9"/>
            </w:pPr>
          </w:p>
        </w:tc>
        <w:tc>
          <w:tcPr>
            <w:tcW w:w="2551" w:type="dxa"/>
            <w:vAlign w:val="center"/>
          </w:tcPr>
          <w:p>
            <w:pPr>
              <w:pStyle w:val="9"/>
            </w:pPr>
            <w:r>
              <w:t>386.00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253.34</w:t>
            </w:r>
          </w:p>
        </w:tc>
        <w:tc>
          <w:tcPr>
            <w:tcW w:w="2551" w:type="dxa"/>
            <w:vAlign w:val="center"/>
          </w:tcPr>
          <w:p>
            <w:pPr>
              <w:pStyle w:val="13"/>
            </w:pPr>
            <w:r>
              <w:t>239.82</w:t>
            </w:r>
          </w:p>
        </w:tc>
        <w:tc>
          <w:tcPr>
            <w:tcW w:w="2551" w:type="dxa"/>
            <w:vAlign w:val="center"/>
          </w:tcPr>
          <w:p>
            <w:pPr>
              <w:pStyle w:val="13"/>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237.93</w:t>
            </w:r>
          </w:p>
        </w:tc>
        <w:tc>
          <w:tcPr>
            <w:tcW w:w="2551" w:type="dxa"/>
            <w:vAlign w:val="center"/>
          </w:tcPr>
          <w:p>
            <w:pPr>
              <w:pStyle w:val="9"/>
            </w:pPr>
            <w:r>
              <w:t>237.93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49.48</w:t>
            </w:r>
          </w:p>
        </w:tc>
        <w:tc>
          <w:tcPr>
            <w:tcW w:w="2551" w:type="dxa"/>
            <w:vAlign w:val="center"/>
          </w:tcPr>
          <w:p>
            <w:pPr>
              <w:pStyle w:val="9"/>
            </w:pPr>
            <w:r>
              <w:t>49.48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1"/>
            </w:pPr>
            <w:r>
              <w:t>4</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5.07</w:t>
            </w:r>
          </w:p>
        </w:tc>
        <w:tc>
          <w:tcPr>
            <w:tcW w:w="2551" w:type="dxa"/>
            <w:vAlign w:val="center"/>
          </w:tcPr>
          <w:p>
            <w:pPr>
              <w:pStyle w:val="9"/>
            </w:pPr>
            <w:r>
              <w:t>5.07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7.64</w:t>
            </w:r>
          </w:p>
        </w:tc>
        <w:tc>
          <w:tcPr>
            <w:tcW w:w="2551" w:type="dxa"/>
            <w:vAlign w:val="center"/>
          </w:tcPr>
          <w:p>
            <w:pPr>
              <w:pStyle w:val="9"/>
            </w:pPr>
            <w:r>
              <w:t>7.64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3.82</w:t>
            </w:r>
          </w:p>
        </w:tc>
        <w:tc>
          <w:tcPr>
            <w:tcW w:w="2551" w:type="dxa"/>
            <w:vAlign w:val="center"/>
          </w:tcPr>
          <w:p>
            <w:pPr>
              <w:pStyle w:val="9"/>
            </w:pPr>
            <w:r>
              <w:t>3.82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3.94</w:t>
            </w:r>
          </w:p>
        </w:tc>
        <w:tc>
          <w:tcPr>
            <w:tcW w:w="2551" w:type="dxa"/>
            <w:vAlign w:val="center"/>
          </w:tcPr>
          <w:p>
            <w:pPr>
              <w:pStyle w:val="9"/>
            </w:pPr>
            <w:r>
              <w:t>3.94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1"/>
            </w:pPr>
            <w:r>
              <w:t>8</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167.98</w:t>
            </w:r>
          </w:p>
        </w:tc>
        <w:tc>
          <w:tcPr>
            <w:tcW w:w="2551" w:type="dxa"/>
            <w:vAlign w:val="center"/>
          </w:tcPr>
          <w:p>
            <w:pPr>
              <w:pStyle w:val="9"/>
            </w:pPr>
            <w:r>
              <w:t>167.98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13.52</w:t>
            </w:r>
          </w:p>
        </w:tc>
        <w:tc>
          <w:tcPr>
            <w:tcW w:w="2551" w:type="dxa"/>
            <w:vAlign w:val="center"/>
          </w:tcPr>
          <w:p>
            <w:pPr>
              <w:pStyle w:val="9"/>
            </w:pPr>
          </w:p>
        </w:tc>
        <w:tc>
          <w:tcPr>
            <w:tcW w:w="2551" w:type="dxa"/>
            <w:vAlign w:val="center"/>
          </w:tcPr>
          <w:p>
            <w:pPr>
              <w:pStyle w:val="9"/>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8.00</w:t>
            </w:r>
          </w:p>
        </w:tc>
        <w:tc>
          <w:tcPr>
            <w:tcW w:w="2551" w:type="dxa"/>
            <w:vAlign w:val="center"/>
          </w:tcPr>
          <w:p>
            <w:pPr>
              <w:pStyle w:val="9"/>
            </w:pPr>
          </w:p>
        </w:tc>
        <w:tc>
          <w:tcPr>
            <w:tcW w:w="2551"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5.52</w:t>
            </w:r>
          </w:p>
        </w:tc>
        <w:tc>
          <w:tcPr>
            <w:tcW w:w="2551" w:type="dxa"/>
            <w:vAlign w:val="center"/>
          </w:tcPr>
          <w:p>
            <w:pPr>
              <w:pStyle w:val="9"/>
            </w:pPr>
          </w:p>
        </w:tc>
        <w:tc>
          <w:tcPr>
            <w:tcW w:w="2551" w:type="dxa"/>
            <w:vAlign w:val="center"/>
          </w:tcPr>
          <w:p>
            <w:pPr>
              <w:pStyle w:val="9"/>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1"/>
            </w:pPr>
            <w:r>
              <w:t>12</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1.89</w:t>
            </w:r>
          </w:p>
        </w:tc>
        <w:tc>
          <w:tcPr>
            <w:tcW w:w="2551" w:type="dxa"/>
            <w:vAlign w:val="center"/>
          </w:tcPr>
          <w:p>
            <w:pPr>
              <w:pStyle w:val="9"/>
            </w:pPr>
            <w:r>
              <w:t>1.89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1.89</w:t>
            </w:r>
          </w:p>
        </w:tc>
        <w:tc>
          <w:tcPr>
            <w:tcW w:w="2551" w:type="dxa"/>
            <w:vAlign w:val="center"/>
          </w:tcPr>
          <w:p>
            <w:pPr>
              <w:pStyle w:val="9"/>
            </w:pPr>
            <w:r>
              <w:t>1.89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魏县供销合作社联合社本级2022年单位预算信息公开情况说明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、《地方预决算公开操作规程》和《关于进一步推进预算公开工作的实施意见》规定，现将魏县供销合作社联合社本级2022年单位预算公开如下：</w:t>
      </w:r>
    </w:p>
    <w:p>
      <w:pPr>
        <w:spacing w:before="10" w:after="10" w:line="360" w:lineRule="auto"/>
        <w:ind w:firstLine="640"/>
        <w:outlineLvl w:val="2"/>
      </w:pPr>
      <w:r>
        <w:rPr>
          <w:rFonts w:ascii="黑体" w:hAnsi="黑体" w:eastAsia="黑体" w:cs="黑体"/>
          <w:color w:val="000000"/>
          <w:sz w:val="32"/>
        </w:rPr>
        <w:t>一、部门职责及机构设置情况</w:t>
      </w:r>
    </w:p>
    <w:p>
      <w:pPr>
        <w:ind w:firstLine="640"/>
      </w:pPr>
      <w:r>
        <w:rPr>
          <w:rFonts w:ascii="方正楷体_GBK" w:hAnsi="方正楷体_GBK" w:eastAsia="方正楷体_GBK" w:cs="方正楷体_GBK"/>
          <w:b/>
          <w:color w:val="000000"/>
          <w:sz w:val="32"/>
        </w:rPr>
        <w:t>部门职责：</w:t>
      </w:r>
    </w:p>
    <w:p>
      <w:pPr>
        <w:pStyle w:val="15"/>
      </w:pPr>
      <w:r>
        <w:rPr>
          <w:rFonts w:hint="eastAsia"/>
          <w:lang w:val="en-US" w:eastAsia="zh-CN"/>
        </w:rPr>
        <w:t>1</w:t>
      </w:r>
      <w:r>
        <w:t>、负责贯彻落实党和国家、省、市上级供销社有关社会发展和农村工作的方针政策、制订全县供销社的发展战略和发展规划，指导全县供销社的改革与发展。</w:t>
      </w:r>
    </w:p>
    <w:p>
      <w:pPr>
        <w:pStyle w:val="15"/>
      </w:pPr>
      <w:r>
        <w:rPr>
          <w:rFonts w:hint="eastAsia"/>
          <w:lang w:val="en-US" w:eastAsia="zh-CN"/>
        </w:rPr>
        <w:t>2</w:t>
      </w:r>
      <w:r>
        <w:t>、负责对全县农业生产资料化肥、农药供应；农副产品、大宗商品棉花及果品收购和再生资源经营进行组织、协调、管理；</w:t>
      </w:r>
    </w:p>
    <w:p>
      <w:pPr>
        <w:pStyle w:val="15"/>
      </w:pPr>
      <w:r>
        <w:rPr>
          <w:rFonts w:hint="eastAsia"/>
          <w:lang w:val="en-US" w:eastAsia="zh-CN"/>
        </w:rPr>
        <w:t>3</w:t>
      </w:r>
      <w:r>
        <w:t>、负责农资，救灾物资等省、市重要物资的储备工作；</w:t>
      </w:r>
    </w:p>
    <w:p>
      <w:pPr>
        <w:pStyle w:val="15"/>
      </w:pPr>
      <w:r>
        <w:rPr>
          <w:rFonts w:hint="eastAsia"/>
          <w:lang w:val="en-US" w:eastAsia="zh-CN"/>
        </w:rPr>
        <w:t>4</w:t>
      </w:r>
      <w:r>
        <w:t>、按照《河北省食盐加碘缺乏危害监督管理条例》和有关规定，负责食盐专营批发、零售和监督管理，许可证发放，市场清理，工业用盐的归口经营管理工作；</w:t>
      </w:r>
    </w:p>
    <w:p>
      <w:pPr>
        <w:pStyle w:val="15"/>
      </w:pPr>
      <w:r>
        <w:rPr>
          <w:rFonts w:hint="eastAsia"/>
          <w:lang w:val="en-US" w:eastAsia="zh-CN"/>
        </w:rPr>
        <w:t>5</w:t>
      </w:r>
      <w:r>
        <w:t>、负责村镇社区综合服务中心建设以及食盐安全村创建工作；</w:t>
      </w:r>
    </w:p>
    <w:p>
      <w:pPr>
        <w:pStyle w:val="15"/>
      </w:pPr>
      <w:r>
        <w:rPr>
          <w:rFonts w:hint="eastAsia"/>
          <w:lang w:val="en-US" w:eastAsia="zh-CN"/>
        </w:rPr>
        <w:t>6</w:t>
      </w:r>
      <w:r>
        <w:t>、负责对全县供销社社办企业进行管理、企业改革及对所属企业社有资产进行监督管理；</w:t>
      </w:r>
    </w:p>
    <w:p>
      <w:pPr>
        <w:pStyle w:val="15"/>
      </w:pPr>
      <w:r>
        <w:rPr>
          <w:rFonts w:hint="eastAsia"/>
          <w:lang w:val="en-US" w:eastAsia="zh-CN"/>
        </w:rPr>
        <w:t>7</w:t>
      </w:r>
      <w:r>
        <w:t>、承担县委、县政府交办的其他工作。</w:t>
      </w:r>
    </w:p>
    <w:p>
      <w:pPr>
        <w:pStyle w:val="15"/>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pStyle w:val="16"/>
      </w:pPr>
      <w:r>
        <w:t>政府事业机构，正科级事业单位。设7个职级（股）室。1、办公室 ；2、人事股；3、财务股；4、纪检审计股；5、信访保卫股；6、业务股；7、企业股。</w:t>
      </w:r>
    </w:p>
    <w:p>
      <w:pPr>
        <w:ind w:firstLine="640"/>
        <w:rPr>
          <w:rFonts w:ascii="方正楷体_GBK" w:hAnsi="方正楷体_GBK" w:eastAsia="方正楷体_GBK" w:cs="方正楷体_GBK"/>
          <w:b/>
          <w:color w:val="000000"/>
          <w:sz w:val="32"/>
        </w:rPr>
      </w:pP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魏县供销合作社联合社本级</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rPr>
          <w:rFonts w:hint="eastAsia" w:eastAsiaTheme="minorEastAsia"/>
          <w:color w:val="000000"/>
          <w:sz w:val="28"/>
          <w:lang w:eastAsia="zh-CN"/>
        </w:rPr>
      </w:pPr>
      <w:r>
        <w:rPr>
          <w:rFonts w:eastAsia="方正仿宋_GBK"/>
          <w:color w:val="000000"/>
          <w:sz w:val="28"/>
        </w:rPr>
        <w:t>按照预算管理有关规定，目前我</w:t>
      </w:r>
      <w:r>
        <w:rPr>
          <w:rFonts w:hint="eastAsia" w:eastAsia="方正仿宋_GBK"/>
          <w:color w:val="000000"/>
          <w:sz w:val="28"/>
          <w:lang w:val="en-US" w:eastAsia="zh-CN"/>
        </w:rPr>
        <w:t>县</w:t>
      </w:r>
      <w:r>
        <w:rPr>
          <w:rFonts w:eastAsia="方正仿宋_GBK"/>
          <w:color w:val="000000"/>
          <w:sz w:val="28"/>
        </w:rPr>
        <w:t>部门预算的编制实行综合预算管理，即全部收入和支出都反映在预算中。魏县供销合作社联合社机关及所属事业单位的收支包含在部门预算中。</w:t>
      </w:r>
    </w:p>
    <w:p>
      <w:pPr>
        <w:pStyle w:val="16"/>
      </w:pPr>
      <w:r>
        <w:t>按照预算管理有关规定，目前我县部门预算的编制实行综合预算制度，即全部收入和支出都反映的预算中。</w:t>
      </w:r>
    </w:p>
    <w:p>
      <w:pPr>
        <w:pStyle w:val="16"/>
      </w:pPr>
      <w:r>
        <w:t>1、收入说明：2022年收入预算共计659.84万元，全部为财政拨款收入。</w:t>
      </w:r>
    </w:p>
    <w:p>
      <w:pPr>
        <w:pStyle w:val="16"/>
      </w:pPr>
      <w:r>
        <w:t>2、支出说明：2022年支出预算共计659.84万元，其中人员经费支出预算239.84万元，日常公用经费支出预算</w:t>
      </w:r>
      <w:r>
        <w:rPr>
          <w:rFonts w:hint="eastAsia"/>
          <w:lang w:val="en-US" w:eastAsia="zh-CN"/>
        </w:rPr>
        <w:t>13.52</w:t>
      </w:r>
      <w:r>
        <w:t>万元，</w:t>
      </w:r>
      <w:r>
        <w:rPr>
          <w:rFonts w:hint="eastAsia"/>
          <w:lang w:eastAsia="zh-CN"/>
        </w:rPr>
        <w:t>项目支出</w:t>
      </w:r>
      <w:r>
        <w:rPr>
          <w:rFonts w:hint="eastAsia"/>
          <w:lang w:val="en-US" w:eastAsia="zh-CN"/>
        </w:rPr>
        <w:t>406万元（其中：</w:t>
      </w:r>
      <w:r>
        <w:t>农村产权交易经费项目支出20万元，烟花爆竹清库存项目支出386万元</w:t>
      </w:r>
      <w:r>
        <w:rPr>
          <w:rFonts w:hint="eastAsia"/>
          <w:lang w:eastAsia="zh-CN"/>
        </w:rPr>
        <w:t>）</w:t>
      </w:r>
      <w:r>
        <w:t>。</w:t>
      </w:r>
    </w:p>
    <w:p>
      <w:pPr>
        <w:pStyle w:val="16"/>
      </w:pPr>
      <w:r>
        <w:t>3、比上年增减情况：经过对比测算，2022年财政拨款预算比2021年减少95.04万元，主要是专项烟花爆竹清存资金减少30万元，农业园区经费减少35万元，工作经费减少10万元。</w:t>
      </w:r>
    </w:p>
    <w:p>
      <w:pPr>
        <w:pStyle w:val="16"/>
        <w:rPr>
          <w:rFonts w:hint="eastAsia" w:ascii="黑体" w:hAnsi="黑体" w:eastAsia="黑体" w:cs="黑体"/>
        </w:rPr>
      </w:pPr>
      <w:r>
        <w:rPr>
          <w:rFonts w:hint="eastAsia" w:ascii="黑体" w:hAnsi="黑体" w:eastAsia="黑体" w:cs="黑体"/>
        </w:rPr>
        <w:t>三、机关运行经费安排情况</w:t>
      </w:r>
    </w:p>
    <w:p>
      <w:pPr>
        <w:pStyle w:val="16"/>
      </w:pPr>
      <w:r>
        <w:t>机关运行经费共计安排</w:t>
      </w:r>
      <w:r>
        <w:rPr>
          <w:rFonts w:hint="eastAsia"/>
          <w:lang w:val="en-US" w:eastAsia="zh-CN"/>
        </w:rPr>
        <w:t>13.52</w:t>
      </w:r>
      <w:r>
        <w:t>万元，主要用于保证正常办公的基本需要和维持单位日常业务运转，包括：办公费、印刷费等。</w:t>
      </w:r>
    </w:p>
    <w:p>
      <w:pPr>
        <w:pStyle w:val="16"/>
      </w:pPr>
    </w:p>
    <w:p>
      <w:pPr>
        <w:pStyle w:val="16"/>
        <w:rPr>
          <w:rFonts w:hint="eastAsia" w:ascii="黑体" w:hAnsi="黑体" w:eastAsia="黑体" w:cs="黑体"/>
        </w:rPr>
      </w:pPr>
      <w:r>
        <w:rPr>
          <w:rFonts w:hint="eastAsia" w:ascii="黑体" w:hAnsi="黑体" w:eastAsia="黑体" w:cs="黑体"/>
        </w:rPr>
        <w:t>四、财政拨款“三公”经费预算情况</w:t>
      </w:r>
    </w:p>
    <w:p>
      <w:pPr>
        <w:pStyle w:val="16"/>
      </w:pPr>
      <w:r>
        <w:t>2022年，财政拨款“三公”经费预算安排0万元，</w:t>
      </w:r>
      <w:r>
        <w:rPr>
          <w:rFonts w:hint="eastAsia"/>
          <w:lang w:eastAsia="zh-CN"/>
        </w:rPr>
        <w:t>各项</w:t>
      </w:r>
      <w:r>
        <w:t>与2021年相比无增减变化。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1、农村权交易经费绩效目标表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1.目标内容1、规定农村产权交易行为，在全县建立村级服务点449个，乡镇级服务站22家，帮助农户土地流转45000亩，争取交易额达到8.5亿元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建立村级服务点</w:t>
            </w:r>
          </w:p>
        </w:tc>
        <w:tc>
          <w:tcPr>
            <w:tcW w:w="2835" w:type="dxa"/>
            <w:vAlign w:val="center"/>
          </w:tcPr>
          <w:p>
            <w:pPr>
              <w:pStyle w:val="10"/>
            </w:pPr>
            <w:r>
              <w:t>在全县建立村级服务点449个</w:t>
            </w:r>
          </w:p>
        </w:tc>
        <w:tc>
          <w:tcPr>
            <w:tcW w:w="2551" w:type="dxa"/>
            <w:vAlign w:val="center"/>
          </w:tcPr>
          <w:p>
            <w:pPr>
              <w:pStyle w:val="10"/>
            </w:pPr>
            <w:r>
              <w:t>449个</w:t>
            </w:r>
          </w:p>
        </w:tc>
        <w:tc>
          <w:tcPr>
            <w:tcW w:w="2268" w:type="dxa"/>
            <w:vAlign w:val="center"/>
          </w:tcPr>
          <w:p>
            <w:pPr>
              <w:pStyle w:val="10"/>
            </w:pPr>
            <w: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建立乡级服务站</w:t>
            </w:r>
          </w:p>
        </w:tc>
        <w:tc>
          <w:tcPr>
            <w:tcW w:w="2835" w:type="dxa"/>
            <w:vAlign w:val="center"/>
          </w:tcPr>
          <w:p>
            <w:pPr>
              <w:pStyle w:val="10"/>
            </w:pPr>
            <w:r>
              <w:t>在全县设立服务站22家</w:t>
            </w:r>
          </w:p>
        </w:tc>
        <w:tc>
          <w:tcPr>
            <w:tcW w:w="2551" w:type="dxa"/>
            <w:vAlign w:val="center"/>
          </w:tcPr>
          <w:p>
            <w:pPr>
              <w:pStyle w:val="10"/>
            </w:pPr>
            <w:r>
              <w:t>22家</w:t>
            </w:r>
          </w:p>
        </w:tc>
        <w:tc>
          <w:tcPr>
            <w:tcW w:w="2268" w:type="dxa"/>
            <w:vAlign w:val="center"/>
          </w:tcPr>
          <w:p>
            <w:pPr>
              <w:pStyle w:val="10"/>
            </w:pPr>
            <w: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交易额</w:t>
            </w:r>
          </w:p>
        </w:tc>
        <w:tc>
          <w:tcPr>
            <w:tcW w:w="2835" w:type="dxa"/>
            <w:vAlign w:val="center"/>
          </w:tcPr>
          <w:p>
            <w:pPr>
              <w:pStyle w:val="10"/>
            </w:pPr>
            <w:r>
              <w:t>产权交易额完成8.5亿元</w:t>
            </w:r>
          </w:p>
        </w:tc>
        <w:tc>
          <w:tcPr>
            <w:tcW w:w="2551" w:type="dxa"/>
            <w:vAlign w:val="center"/>
          </w:tcPr>
          <w:p>
            <w:pPr>
              <w:pStyle w:val="10"/>
            </w:pPr>
            <w:r>
              <w:t>≥8.5亿</w:t>
            </w:r>
          </w:p>
        </w:tc>
        <w:tc>
          <w:tcPr>
            <w:tcW w:w="2268" w:type="dxa"/>
            <w:vAlign w:val="center"/>
          </w:tcPr>
          <w:p>
            <w:pPr>
              <w:pStyle w:val="10"/>
            </w:pPr>
            <w:r>
              <w:t>运行系统记录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控制成本 </w:t>
            </w:r>
          </w:p>
        </w:tc>
        <w:tc>
          <w:tcPr>
            <w:tcW w:w="2835" w:type="dxa"/>
            <w:vAlign w:val="center"/>
          </w:tcPr>
          <w:p>
            <w:pPr>
              <w:pStyle w:val="10"/>
            </w:pPr>
            <w:r>
              <w:t>严格控制交易成本全年支出不超过20万元</w:t>
            </w:r>
          </w:p>
        </w:tc>
        <w:tc>
          <w:tcPr>
            <w:tcW w:w="2551" w:type="dxa"/>
            <w:vAlign w:val="center"/>
          </w:tcPr>
          <w:p>
            <w:pPr>
              <w:pStyle w:val="10"/>
            </w:pPr>
            <w:r>
              <w:t>20万元</w:t>
            </w:r>
          </w:p>
        </w:tc>
        <w:tc>
          <w:tcPr>
            <w:tcW w:w="2268" w:type="dxa"/>
            <w:vAlign w:val="center"/>
          </w:tcPr>
          <w:p>
            <w:pPr>
              <w:pStyle w:val="10"/>
            </w:pPr>
            <w:r>
              <w:t xml:space="preserve">根据资金支付情况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按时完成</w:t>
            </w:r>
          </w:p>
        </w:tc>
        <w:tc>
          <w:tcPr>
            <w:tcW w:w="2835" w:type="dxa"/>
            <w:vAlign w:val="center"/>
          </w:tcPr>
          <w:p>
            <w:pPr>
              <w:pStyle w:val="10"/>
            </w:pPr>
            <w:r>
              <w:t>年内按时完成上级下达任务</w:t>
            </w:r>
          </w:p>
        </w:tc>
        <w:tc>
          <w:tcPr>
            <w:tcW w:w="2551" w:type="dxa"/>
            <w:vAlign w:val="center"/>
          </w:tcPr>
          <w:p>
            <w:pPr>
              <w:pStyle w:val="10"/>
            </w:pPr>
            <w:r>
              <w:t>≤12月</w:t>
            </w:r>
          </w:p>
        </w:tc>
        <w:tc>
          <w:tcPr>
            <w:tcW w:w="2268" w:type="dxa"/>
            <w:vAlign w:val="center"/>
          </w:tcPr>
          <w:p>
            <w:pPr>
              <w:pStyle w:val="10"/>
            </w:pPr>
            <w:r>
              <w:t>根据年度考核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推动市场</w:t>
            </w:r>
          </w:p>
        </w:tc>
        <w:tc>
          <w:tcPr>
            <w:tcW w:w="2835" w:type="dxa"/>
            <w:vAlign w:val="center"/>
          </w:tcPr>
          <w:p>
            <w:pPr>
              <w:pStyle w:val="10"/>
            </w:pPr>
            <w:r>
              <w:t>推动农村产权交易要素有序流动</w:t>
            </w:r>
          </w:p>
        </w:tc>
        <w:tc>
          <w:tcPr>
            <w:tcW w:w="2551" w:type="dxa"/>
            <w:vAlign w:val="center"/>
          </w:tcPr>
          <w:p>
            <w:pPr>
              <w:pStyle w:val="10"/>
            </w:pPr>
            <w:r>
              <w:t>宣传政策成功案例</w:t>
            </w:r>
          </w:p>
        </w:tc>
        <w:tc>
          <w:tcPr>
            <w:tcW w:w="2268" w:type="dxa"/>
            <w:vAlign w:val="center"/>
          </w:tcPr>
          <w:p>
            <w:pPr>
              <w:pStyle w:val="10"/>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增加收入</w:t>
            </w:r>
          </w:p>
        </w:tc>
        <w:tc>
          <w:tcPr>
            <w:tcW w:w="2835" w:type="dxa"/>
            <w:vAlign w:val="center"/>
          </w:tcPr>
          <w:p>
            <w:pPr>
              <w:pStyle w:val="10"/>
            </w:pPr>
            <w:r>
              <w:t>增加农民收入，提高农民幸福感</w:t>
            </w:r>
          </w:p>
        </w:tc>
        <w:tc>
          <w:tcPr>
            <w:tcW w:w="2551" w:type="dxa"/>
            <w:vAlign w:val="center"/>
          </w:tcPr>
          <w:p>
            <w:pPr>
              <w:pStyle w:val="10"/>
            </w:pPr>
            <w:r>
              <w:t>增加收入</w:t>
            </w:r>
          </w:p>
        </w:tc>
        <w:tc>
          <w:tcPr>
            <w:tcW w:w="2268" w:type="dxa"/>
            <w:vAlign w:val="center"/>
          </w:tcPr>
          <w:p>
            <w:pPr>
              <w:pStyle w:val="10"/>
            </w:pPr>
            <w:r>
              <w:t>根据流转鉴证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有效带动</w:t>
            </w:r>
          </w:p>
        </w:tc>
        <w:tc>
          <w:tcPr>
            <w:tcW w:w="2835" w:type="dxa"/>
            <w:vAlign w:val="center"/>
          </w:tcPr>
          <w:p>
            <w:pPr>
              <w:pStyle w:val="10"/>
            </w:pPr>
            <w:r>
              <w:t xml:space="preserve">有效带动农村产权交易 </w:t>
            </w:r>
          </w:p>
        </w:tc>
        <w:tc>
          <w:tcPr>
            <w:tcW w:w="2551" w:type="dxa"/>
            <w:vAlign w:val="center"/>
          </w:tcPr>
          <w:p>
            <w:pPr>
              <w:pStyle w:val="10"/>
            </w:pPr>
            <w:r>
              <w:t>带动农村产权交易</w:t>
            </w:r>
          </w:p>
        </w:tc>
        <w:tc>
          <w:tcPr>
            <w:tcW w:w="2268" w:type="dxa"/>
            <w:vAlign w:val="center"/>
          </w:tcPr>
          <w:p>
            <w:pPr>
              <w:pStyle w:val="10"/>
            </w:pPr>
            <w:r>
              <w:t xml:space="preserve">根据有关文件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调查周边群众满意度</w:t>
            </w:r>
          </w:p>
        </w:tc>
        <w:tc>
          <w:tcPr>
            <w:tcW w:w="2835" w:type="dxa"/>
            <w:vAlign w:val="center"/>
          </w:tcPr>
          <w:p>
            <w:pPr>
              <w:pStyle w:val="10"/>
            </w:pPr>
            <w:r>
              <w:t>调查周边群众满意度</w:t>
            </w:r>
          </w:p>
        </w:tc>
        <w:tc>
          <w:tcPr>
            <w:tcW w:w="2551" w:type="dxa"/>
            <w:vAlign w:val="center"/>
          </w:tcPr>
          <w:p>
            <w:pPr>
              <w:pStyle w:val="10"/>
            </w:pPr>
            <w:r>
              <w:t>≥95%</w:t>
            </w:r>
          </w:p>
        </w:tc>
        <w:tc>
          <w:tcPr>
            <w:tcW w:w="2268" w:type="dxa"/>
            <w:vAlign w:val="center"/>
          </w:tcPr>
          <w:p>
            <w:pPr>
              <w:pStyle w:val="10"/>
            </w:pPr>
            <w:r>
              <w:t>根据有关报表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2、2022年烟花爆竹清库存补助资金绩效目标表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1.目标内容1、积极做好清库存损失补贴相关工作。付商户退货款26户，付厂家货款13家，及装卸费等386元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退商户</w:t>
            </w:r>
          </w:p>
        </w:tc>
        <w:tc>
          <w:tcPr>
            <w:tcW w:w="2835" w:type="dxa"/>
            <w:vAlign w:val="center"/>
          </w:tcPr>
          <w:p>
            <w:pPr>
              <w:pStyle w:val="10"/>
            </w:pPr>
            <w:r>
              <w:t>已退货商户26户</w:t>
            </w:r>
          </w:p>
        </w:tc>
        <w:tc>
          <w:tcPr>
            <w:tcW w:w="2551" w:type="dxa"/>
            <w:vAlign w:val="center"/>
          </w:tcPr>
          <w:p>
            <w:pPr>
              <w:pStyle w:val="10"/>
            </w:pPr>
            <w:r>
              <w:t>26户</w:t>
            </w:r>
          </w:p>
        </w:tc>
        <w:tc>
          <w:tcPr>
            <w:tcW w:w="2268" w:type="dxa"/>
            <w:vAlign w:val="center"/>
          </w:tcPr>
          <w:p>
            <w:pPr>
              <w:pStyle w:val="10"/>
            </w:pPr>
            <w:r>
              <w:t>按有关报表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退厂家</w:t>
            </w:r>
          </w:p>
        </w:tc>
        <w:tc>
          <w:tcPr>
            <w:tcW w:w="2835" w:type="dxa"/>
            <w:vAlign w:val="center"/>
          </w:tcPr>
          <w:p>
            <w:pPr>
              <w:pStyle w:val="10"/>
            </w:pPr>
            <w:r>
              <w:t>已退货厂家13家</w:t>
            </w:r>
          </w:p>
        </w:tc>
        <w:tc>
          <w:tcPr>
            <w:tcW w:w="2551" w:type="dxa"/>
            <w:vAlign w:val="center"/>
          </w:tcPr>
          <w:p>
            <w:pPr>
              <w:pStyle w:val="10"/>
            </w:pPr>
            <w:r>
              <w:t>13家</w:t>
            </w:r>
          </w:p>
        </w:tc>
        <w:tc>
          <w:tcPr>
            <w:tcW w:w="2268" w:type="dxa"/>
            <w:vAlign w:val="center"/>
          </w:tcPr>
          <w:p>
            <w:pPr>
              <w:pStyle w:val="10"/>
            </w:pPr>
            <w:r>
              <w:t>按有关报表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符合标准</w:t>
            </w:r>
          </w:p>
        </w:tc>
        <w:tc>
          <w:tcPr>
            <w:tcW w:w="2835" w:type="dxa"/>
            <w:vAlign w:val="center"/>
          </w:tcPr>
          <w:p>
            <w:pPr>
              <w:pStyle w:val="10"/>
            </w:pPr>
            <w:r>
              <w:t>按照规定按时按要求完成</w:t>
            </w:r>
          </w:p>
        </w:tc>
        <w:tc>
          <w:tcPr>
            <w:tcW w:w="2551" w:type="dxa"/>
            <w:vAlign w:val="center"/>
          </w:tcPr>
          <w:p>
            <w:pPr>
              <w:pStyle w:val="10"/>
            </w:pPr>
            <w:r>
              <w:t>符合相关要求</w:t>
            </w:r>
          </w:p>
        </w:tc>
        <w:tc>
          <w:tcPr>
            <w:tcW w:w="2268" w:type="dxa"/>
            <w:vAlign w:val="center"/>
          </w:tcPr>
          <w:p>
            <w:pPr>
              <w:pStyle w:val="10"/>
            </w:pPr>
            <w:r>
              <w:t>按有关报表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按时支付</w:t>
            </w:r>
          </w:p>
        </w:tc>
        <w:tc>
          <w:tcPr>
            <w:tcW w:w="2835" w:type="dxa"/>
            <w:vAlign w:val="center"/>
          </w:tcPr>
          <w:p>
            <w:pPr>
              <w:pStyle w:val="10"/>
            </w:pPr>
            <w:r>
              <w:t>资金到位后第一时间支付</w:t>
            </w:r>
          </w:p>
        </w:tc>
        <w:tc>
          <w:tcPr>
            <w:tcW w:w="2551" w:type="dxa"/>
            <w:vAlign w:val="center"/>
          </w:tcPr>
          <w:p>
            <w:pPr>
              <w:pStyle w:val="10"/>
            </w:pPr>
            <w:r>
              <w:t xml:space="preserve">≤20日 </w:t>
            </w:r>
          </w:p>
        </w:tc>
        <w:tc>
          <w:tcPr>
            <w:tcW w:w="2268" w:type="dxa"/>
            <w:vAlign w:val="center"/>
          </w:tcPr>
          <w:p>
            <w:pPr>
              <w:pStyle w:val="10"/>
            </w:pPr>
            <w:r>
              <w:t>按有关报表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资金总额 </w:t>
            </w:r>
          </w:p>
        </w:tc>
        <w:tc>
          <w:tcPr>
            <w:tcW w:w="2835" w:type="dxa"/>
            <w:vAlign w:val="center"/>
          </w:tcPr>
          <w:p>
            <w:pPr>
              <w:pStyle w:val="10"/>
            </w:pPr>
            <w:r>
              <w:t>2022年清库存共需支付386.23万元</w:t>
            </w:r>
          </w:p>
        </w:tc>
        <w:tc>
          <w:tcPr>
            <w:tcW w:w="2551" w:type="dxa"/>
            <w:vAlign w:val="center"/>
          </w:tcPr>
          <w:p>
            <w:pPr>
              <w:pStyle w:val="10"/>
            </w:pPr>
            <w:r>
              <w:t>386万元</w:t>
            </w:r>
          </w:p>
        </w:tc>
        <w:tc>
          <w:tcPr>
            <w:tcW w:w="2268" w:type="dxa"/>
            <w:vAlign w:val="center"/>
          </w:tcPr>
          <w:p>
            <w:pPr>
              <w:pStyle w:val="10"/>
            </w:pPr>
            <w:r>
              <w:t>按有关报表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增加补贴额</w:t>
            </w:r>
          </w:p>
        </w:tc>
        <w:tc>
          <w:tcPr>
            <w:tcW w:w="2835" w:type="dxa"/>
            <w:vAlign w:val="center"/>
          </w:tcPr>
          <w:p>
            <w:pPr>
              <w:pStyle w:val="10"/>
            </w:pPr>
            <w:r>
              <w:t>增加补贴额减少损失</w:t>
            </w:r>
          </w:p>
        </w:tc>
        <w:tc>
          <w:tcPr>
            <w:tcW w:w="2551" w:type="dxa"/>
            <w:vAlign w:val="center"/>
          </w:tcPr>
          <w:p>
            <w:pPr>
              <w:pStyle w:val="10"/>
            </w:pPr>
            <w:r>
              <w:t>补贴到位企业减少损失</w:t>
            </w:r>
          </w:p>
        </w:tc>
        <w:tc>
          <w:tcPr>
            <w:tcW w:w="2268" w:type="dxa"/>
            <w:vAlign w:val="center"/>
          </w:tcPr>
          <w:p>
            <w:pPr>
              <w:pStyle w:val="10"/>
            </w:pPr>
            <w:r>
              <w:t>按有关统计数据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优化环境</w:t>
            </w:r>
          </w:p>
        </w:tc>
        <w:tc>
          <w:tcPr>
            <w:tcW w:w="2835" w:type="dxa"/>
            <w:vAlign w:val="center"/>
          </w:tcPr>
          <w:p>
            <w:pPr>
              <w:pStyle w:val="10"/>
            </w:pPr>
            <w:r>
              <w:t>防治大气污染，改装空气质量</w:t>
            </w:r>
          </w:p>
        </w:tc>
        <w:tc>
          <w:tcPr>
            <w:tcW w:w="2551" w:type="dxa"/>
            <w:vAlign w:val="center"/>
          </w:tcPr>
          <w:p>
            <w:pPr>
              <w:pStyle w:val="10"/>
            </w:pPr>
            <w:r>
              <w:t>改善空气质量</w:t>
            </w:r>
          </w:p>
        </w:tc>
        <w:tc>
          <w:tcPr>
            <w:tcW w:w="2268" w:type="dxa"/>
            <w:vAlign w:val="center"/>
          </w:tcPr>
          <w:p>
            <w:pPr>
              <w:pStyle w:val="10"/>
            </w:pPr>
            <w:r>
              <w:t>按有关统计数据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倡导文明新风</w:t>
            </w:r>
          </w:p>
        </w:tc>
        <w:tc>
          <w:tcPr>
            <w:tcW w:w="2835" w:type="dxa"/>
            <w:vAlign w:val="center"/>
          </w:tcPr>
          <w:p>
            <w:pPr>
              <w:pStyle w:val="10"/>
            </w:pPr>
            <w:r>
              <w:t>禁售禁燃降低公共风险，维护群众健康安全</w:t>
            </w:r>
          </w:p>
        </w:tc>
        <w:tc>
          <w:tcPr>
            <w:tcW w:w="2551" w:type="dxa"/>
            <w:vAlign w:val="center"/>
          </w:tcPr>
          <w:p>
            <w:pPr>
              <w:pStyle w:val="10"/>
            </w:pPr>
            <w:r>
              <w:t>群众健康安全</w:t>
            </w:r>
          </w:p>
        </w:tc>
        <w:tc>
          <w:tcPr>
            <w:tcW w:w="2268" w:type="dxa"/>
            <w:vAlign w:val="center"/>
          </w:tcPr>
          <w:p>
            <w:pPr>
              <w:pStyle w:val="10"/>
            </w:pPr>
            <w:r>
              <w:t>按有关统计数据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调查企业满意度</w:t>
            </w:r>
          </w:p>
        </w:tc>
        <w:tc>
          <w:tcPr>
            <w:tcW w:w="2835" w:type="dxa"/>
            <w:vAlign w:val="center"/>
          </w:tcPr>
          <w:p>
            <w:pPr>
              <w:pStyle w:val="10"/>
            </w:pPr>
            <w:r>
              <w:t>补贴到位对企业开展满意调查</w:t>
            </w:r>
          </w:p>
        </w:tc>
        <w:tc>
          <w:tcPr>
            <w:tcW w:w="2551" w:type="dxa"/>
            <w:vAlign w:val="center"/>
          </w:tcPr>
          <w:p>
            <w:pPr>
              <w:pStyle w:val="10"/>
            </w:pPr>
            <w:r>
              <w:t>≥95%</w:t>
            </w:r>
          </w:p>
        </w:tc>
        <w:tc>
          <w:tcPr>
            <w:tcW w:w="2268" w:type="dxa"/>
            <w:vAlign w:val="center"/>
          </w:tcPr>
          <w:p>
            <w:pPr>
              <w:pStyle w:val="10"/>
            </w:pPr>
            <w:r>
              <w:t xml:space="preserve">按有关调查数据 </w:t>
            </w:r>
          </w:p>
        </w:tc>
      </w:tr>
    </w:tbl>
    <w:p>
      <w:pPr>
        <w:sectPr>
          <w:pgSz w:w="16840" w:h="11900" w:orient="landscape"/>
          <w:pgMar w:top="1361" w:right="1020" w:bottom="1134" w:left="1020" w:header="720" w:footer="720" w:gutter="0"/>
          <w:cols w:space="720" w:num="1"/>
        </w:sectPr>
      </w:pPr>
    </w:p>
    <w:p>
      <w:pPr>
        <w:pStyle w:val="16"/>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2022年，魏县供销合作社联合社安排政府采购预算0.00万元。具体内容见下表。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975魏县供销合作社联合社</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魏县供销合作社联合社（含所属单位）上年末固定资产金额为0.00万元（详见下表）。本年度拟购置固定资产总额为0.00万元，已按要求列入政府采购预算，详见政府采购预算表。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975魏县供销合作社联合社</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pStyle w:val="23"/>
        <w:rPr>
          <w:rFonts w:hint="eastAsia" w:ascii="黑体" w:hAnsi="黑体" w:eastAsia="黑体" w:cs="黑体"/>
        </w:rPr>
      </w:pPr>
      <w:r>
        <w:rPr>
          <w:rFonts w:hint="eastAsia" w:ascii="黑体" w:hAnsi="黑体" w:eastAsia="黑体" w:cs="黑体"/>
        </w:rPr>
        <w:t>八、专业名词解释</w:t>
      </w:r>
    </w:p>
    <w:p>
      <w:pPr>
        <w:pStyle w:val="23"/>
      </w:pPr>
      <w:r>
        <w:t>1、一般共预算拨款收入：指</w:t>
      </w:r>
      <w:r>
        <w:rPr>
          <w:rFonts w:hint="eastAsia"/>
          <w:lang w:val="en-US" w:eastAsia="zh-CN"/>
        </w:rPr>
        <w:t>县级</w:t>
      </w:r>
      <w:r>
        <w:t>财政当年拨付的资金。</w:t>
      </w:r>
    </w:p>
    <w:p>
      <w:pPr>
        <w:pStyle w:val="23"/>
      </w:pPr>
      <w:r>
        <w:t>2、事业收入：指事业单位开展专业业务活动及辅助活动所取得的收入。如：注册会计师协会、注册资产评估师协会收取的会费收入等。</w:t>
      </w:r>
    </w:p>
    <w:p>
      <w:pPr>
        <w:pStyle w:val="23"/>
      </w:pPr>
      <w:r>
        <w:t>3、其他收入：指除上述“财政拨款收入”、“事业收入”等以外的收入。主要是按规定动用的租房收入、存款利息收入、中国清洁发展基金拨入的管理费等。</w:t>
      </w:r>
    </w:p>
    <w:p>
      <w:pPr>
        <w:pStyle w:val="23"/>
      </w:pPr>
      <w:r>
        <w:t>4、基本支出：指为保障机构正常运转、完成日常工作任务而发生的人员支出和公用支出。</w:t>
      </w:r>
    </w:p>
    <w:p>
      <w:pPr>
        <w:pStyle w:val="23"/>
      </w:pPr>
      <w:r>
        <w:t>5、项目支出：指在基本支出之外为完成特定行政任务和事业发展目标所发生的支出。</w:t>
      </w:r>
    </w:p>
    <w:p>
      <w:pPr>
        <w:pStyle w:val="23"/>
      </w:pPr>
      <w:r>
        <w:t>6、上缴上级支出：指所属单位上缴上级的支出。</w:t>
      </w:r>
    </w:p>
    <w:p>
      <w:pPr>
        <w:pStyle w:val="23"/>
      </w:pPr>
      <w:r>
        <w:t>7、“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3"/>
      </w:pPr>
      <w: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pPr>
    </w:p>
    <w:p>
      <w:pPr>
        <w:pStyle w:val="23"/>
        <w:rPr>
          <w:rFonts w:hint="eastAsia" w:ascii="黑体" w:hAnsi="黑体" w:eastAsia="黑体" w:cs="黑体"/>
        </w:rPr>
      </w:pPr>
      <w:r>
        <w:rPr>
          <w:rFonts w:hint="eastAsia" w:ascii="黑体" w:hAnsi="黑体" w:eastAsia="黑体" w:cs="黑体"/>
        </w:rPr>
        <w:t>九、其他需说明的事项</w:t>
      </w:r>
    </w:p>
    <w:p>
      <w:pPr>
        <w:pStyle w:val="23"/>
      </w:pPr>
      <w:r>
        <w:t>无其他特别说明事项。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52F4E"/>
    <w:multiLevelType w:val="singleLevel"/>
    <w:tmpl w:val="5FF52F4E"/>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ZTRjMmMxMjcyMmJjMmEyNWJmMGVmMzJhNmU5YTUifQ=="/>
  </w:docVars>
  <w:rsids>
    <w:rsidRoot w:val="006C397B"/>
    <w:rsid w:val="00225B1B"/>
    <w:rsid w:val="006C397B"/>
    <w:rsid w:val="009F63FF"/>
    <w:rsid w:val="00A42498"/>
    <w:rsid w:val="00DE7A9F"/>
    <w:rsid w:val="00E83117"/>
    <w:rsid w:val="00EE7CAD"/>
    <w:rsid w:val="01025C5A"/>
    <w:rsid w:val="0A206DCD"/>
    <w:rsid w:val="0F400589"/>
    <w:rsid w:val="14520E3D"/>
    <w:rsid w:val="19163FAF"/>
    <w:rsid w:val="256E4A38"/>
    <w:rsid w:val="274F03A9"/>
    <w:rsid w:val="28335AC5"/>
    <w:rsid w:val="2C245E51"/>
    <w:rsid w:val="3D934A80"/>
    <w:rsid w:val="3E9E1A93"/>
    <w:rsid w:val="4A905231"/>
    <w:rsid w:val="4CAA52BD"/>
    <w:rsid w:val="5DBD6E2E"/>
    <w:rsid w:val="5FDB3D8C"/>
    <w:rsid w:val="6076078B"/>
    <w:rsid w:val="668B1C92"/>
    <w:rsid w:val="66EF082E"/>
    <w:rsid w:val="6C2F13B5"/>
    <w:rsid w:val="6C44332B"/>
    <w:rsid w:val="6CA703A3"/>
    <w:rsid w:val="6F1653A4"/>
    <w:rsid w:val="73BB0416"/>
    <w:rsid w:val="79646E59"/>
    <w:rsid w:val="7F426221"/>
    <w:rsid w:val="9F3FF5BC"/>
    <w:rsid w:val="EFEE9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11790</Words>
  <Characters>13932</Characters>
  <Lines>160</Lines>
  <Paragraphs>45</Paragraphs>
  <TotalTime>0</TotalTime>
  <ScaleCrop>false</ScaleCrop>
  <LinksUpToDate>false</LinksUpToDate>
  <CharactersWithSpaces>14232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2022-03-04T19:01:00Z</dcterms:created>
  <dc:creator>Administrator</dc:creator>
  <cp:lastModifiedBy>wxak</cp:lastModifiedBy>
  <cp:lastPrinted>2023-04-25T22:22:00Z</cp:lastPrinted>
  <dcterms:modified xsi:type="dcterms:W3CDTF">2024-06-18T20:17:14Z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AB988FD3C98FDFD4453B4B65A44A8E86</vt:lpwstr>
  </property>
</Properties>
</file>