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8" w:name="_GoBack"/>
      <w:bookmarkEnd w:id="18"/>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fldChar w:fldCharType="end"/>
      </w:r>
      <w: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318</w:t>
            </w:r>
            <w:r>
              <w:rPr>
                <w:rFonts w:hint="eastAsia"/>
              </w:rPr>
              <w:t>魏县财政局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rPr>
                <w:lang w:eastAsia="zh-CN"/>
              </w:rPr>
            </w:pPr>
            <w:r>
              <w:rPr>
                <w:rFonts w:hint="eastAsia"/>
                <w:lang w:eastAsia="zh-CN"/>
              </w:rPr>
              <w:t>6743.07</w:t>
            </w:r>
          </w:p>
        </w:tc>
        <w:tc>
          <w:tcPr>
            <w:tcW w:w="4535" w:type="dxa"/>
            <w:vAlign w:val="center"/>
          </w:tcPr>
          <w:p>
            <w:pPr>
              <w:pStyle w:val="16"/>
            </w:pPr>
            <w:r>
              <w:rPr>
                <w:rFonts w:hint="eastAsia"/>
              </w:rPr>
              <w:t>一、一般公共服务支出</w:t>
            </w:r>
          </w:p>
        </w:tc>
        <w:tc>
          <w:tcPr>
            <w:tcW w:w="2126" w:type="dxa"/>
            <w:vAlign w:val="center"/>
          </w:tcPr>
          <w:p>
            <w:pPr>
              <w:pStyle w:val="15"/>
            </w:pPr>
            <w:r>
              <w:t>2389.45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r>
              <w:rPr>
                <w:rFonts w:hint="eastAsia"/>
                <w:lang w:eastAsia="zh-CN"/>
              </w:rPr>
              <w:t>4829</w:t>
            </w:r>
            <w:r>
              <w:t>.00</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209.68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r>
              <w:t>4829.00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4094.39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rPr>
              <w:t>本年收入合计</w:t>
            </w:r>
          </w:p>
        </w:tc>
        <w:tc>
          <w:tcPr>
            <w:tcW w:w="2126" w:type="dxa"/>
            <w:vAlign w:val="center"/>
          </w:tcPr>
          <w:p>
            <w:pPr>
              <w:pStyle w:val="19"/>
            </w:pPr>
            <w:r>
              <w:rPr>
                <w:rFonts w:hint="eastAsia"/>
                <w:lang w:eastAsia="zh-CN"/>
              </w:rPr>
              <w:t>11572</w:t>
            </w:r>
            <w:r>
              <w:t>.07</w:t>
            </w:r>
          </w:p>
        </w:tc>
        <w:tc>
          <w:tcPr>
            <w:tcW w:w="4535" w:type="dxa"/>
            <w:vAlign w:val="center"/>
          </w:tcPr>
          <w:p>
            <w:pPr>
              <w:pStyle w:val="18"/>
            </w:pPr>
            <w:r>
              <w:rPr>
                <w:rFonts w:hint="eastAsia"/>
              </w:rPr>
              <w:t>本年支出合计</w:t>
            </w:r>
          </w:p>
        </w:tc>
        <w:tc>
          <w:tcPr>
            <w:tcW w:w="2126" w:type="dxa"/>
            <w:vAlign w:val="center"/>
          </w:tcPr>
          <w:p>
            <w:pPr>
              <w:pStyle w:val="19"/>
              <w:rPr>
                <w:lang w:eastAsia="zh-CN"/>
              </w:rPr>
            </w:pPr>
            <w:r>
              <w:rPr>
                <w:rFonts w:hint="eastAsia"/>
                <w:lang w:eastAsia="zh-CN"/>
              </w:rPr>
              <w:t>11572.07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rPr>
              <w:t>收入总计</w:t>
            </w:r>
          </w:p>
        </w:tc>
        <w:tc>
          <w:tcPr>
            <w:tcW w:w="2126" w:type="dxa"/>
            <w:vAlign w:val="center"/>
          </w:tcPr>
          <w:p>
            <w:pPr>
              <w:pStyle w:val="19"/>
            </w:pPr>
            <w:r>
              <w:rPr>
                <w:rFonts w:hint="eastAsia"/>
                <w:lang w:eastAsia="zh-CN"/>
              </w:rPr>
              <w:t>11572</w:t>
            </w:r>
            <w:r>
              <w:t>.07</w:t>
            </w:r>
          </w:p>
        </w:tc>
        <w:tc>
          <w:tcPr>
            <w:tcW w:w="4535" w:type="dxa"/>
            <w:vAlign w:val="center"/>
          </w:tcPr>
          <w:p>
            <w:pPr>
              <w:pStyle w:val="18"/>
            </w:pPr>
            <w:r>
              <w:rPr>
                <w:rFonts w:hint="eastAsia"/>
              </w:rPr>
              <w:t>支出总计</w:t>
            </w:r>
          </w:p>
        </w:tc>
        <w:tc>
          <w:tcPr>
            <w:tcW w:w="2126" w:type="dxa"/>
            <w:vAlign w:val="center"/>
          </w:tcPr>
          <w:p>
            <w:pPr>
              <w:pStyle w:val="19"/>
            </w:pPr>
            <w:r>
              <w:rPr>
                <w:rFonts w:hint="eastAsia"/>
                <w:lang w:eastAsia="zh-CN"/>
              </w:rPr>
              <w:t>11572</w:t>
            </w:r>
            <w:r>
              <w:t>.07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318</w:t>
            </w:r>
            <w:r>
              <w:rPr>
                <w:rFonts w:hint="eastAsia"/>
              </w:rPr>
              <w:t>魏县财政局</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670"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2"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rPr>
                <w:rFonts w:hint="eastAsia"/>
                <w:lang w:eastAsia="zh-CN"/>
              </w:rPr>
              <w:t>11572</w:t>
            </w:r>
            <w:r>
              <w:t>.07</w:t>
            </w:r>
          </w:p>
        </w:tc>
        <w:tc>
          <w:tcPr>
            <w:tcW w:w="1134" w:type="dxa"/>
            <w:vAlign w:val="center"/>
          </w:tcPr>
          <w:p>
            <w:pPr>
              <w:pStyle w:val="19"/>
            </w:pPr>
            <w:r>
              <w:rPr>
                <w:rFonts w:hint="eastAsia"/>
                <w:lang w:eastAsia="zh-CN"/>
              </w:rPr>
              <w:t>11572</w:t>
            </w:r>
            <w:r>
              <w:t>.07</w:t>
            </w:r>
          </w:p>
        </w:tc>
        <w:tc>
          <w:tcPr>
            <w:tcW w:w="1134" w:type="dxa"/>
            <w:vAlign w:val="center"/>
          </w:tcPr>
          <w:p>
            <w:pPr>
              <w:pStyle w:val="19"/>
            </w:pPr>
            <w:r>
              <w:rPr>
                <w:rFonts w:hint="eastAsia"/>
                <w:lang w:eastAsia="zh-CN"/>
              </w:rPr>
              <w:t>1157</w:t>
            </w:r>
            <w:r>
              <w:t>2.07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2389.45</w:t>
            </w:r>
          </w:p>
        </w:tc>
        <w:tc>
          <w:tcPr>
            <w:tcW w:w="1134" w:type="dxa"/>
            <w:vAlign w:val="center"/>
          </w:tcPr>
          <w:p>
            <w:pPr>
              <w:pStyle w:val="15"/>
            </w:pPr>
            <w:r>
              <w:t>2389.45</w:t>
            </w:r>
          </w:p>
        </w:tc>
        <w:tc>
          <w:tcPr>
            <w:tcW w:w="1134" w:type="dxa"/>
            <w:vAlign w:val="center"/>
          </w:tcPr>
          <w:p>
            <w:pPr>
              <w:pStyle w:val="15"/>
            </w:pPr>
            <w:r>
              <w:t>2389.45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20106</w:t>
            </w:r>
          </w:p>
        </w:tc>
        <w:tc>
          <w:tcPr>
            <w:tcW w:w="1559" w:type="dxa"/>
            <w:vAlign w:val="center"/>
          </w:tcPr>
          <w:p>
            <w:pPr>
              <w:pStyle w:val="16"/>
            </w:pPr>
            <w:r>
              <w:rPr>
                <w:rFonts w:hint="eastAsia"/>
              </w:rPr>
              <w:t>财政事务</w:t>
            </w:r>
          </w:p>
        </w:tc>
        <w:tc>
          <w:tcPr>
            <w:tcW w:w="1134" w:type="dxa"/>
            <w:vAlign w:val="center"/>
          </w:tcPr>
          <w:p>
            <w:pPr>
              <w:pStyle w:val="15"/>
            </w:pPr>
            <w:r>
              <w:t>2389.45</w:t>
            </w:r>
          </w:p>
        </w:tc>
        <w:tc>
          <w:tcPr>
            <w:tcW w:w="1134" w:type="dxa"/>
            <w:vAlign w:val="center"/>
          </w:tcPr>
          <w:p>
            <w:pPr>
              <w:pStyle w:val="15"/>
            </w:pPr>
            <w:r>
              <w:t>2389.45</w:t>
            </w:r>
          </w:p>
        </w:tc>
        <w:tc>
          <w:tcPr>
            <w:tcW w:w="1134" w:type="dxa"/>
            <w:vAlign w:val="center"/>
          </w:tcPr>
          <w:p>
            <w:pPr>
              <w:pStyle w:val="15"/>
            </w:pPr>
            <w:r>
              <w:t>2389.45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2010601</w:t>
            </w:r>
          </w:p>
        </w:tc>
        <w:tc>
          <w:tcPr>
            <w:tcW w:w="1559" w:type="dxa"/>
            <w:vAlign w:val="center"/>
          </w:tcPr>
          <w:p>
            <w:pPr>
              <w:pStyle w:val="16"/>
            </w:pPr>
            <w:r>
              <w:rPr>
                <w:rFonts w:hint="eastAsia"/>
              </w:rPr>
              <w:t>行政运行</w:t>
            </w:r>
          </w:p>
        </w:tc>
        <w:tc>
          <w:tcPr>
            <w:tcW w:w="1134" w:type="dxa"/>
            <w:vAlign w:val="center"/>
          </w:tcPr>
          <w:p>
            <w:pPr>
              <w:pStyle w:val="15"/>
            </w:pPr>
            <w:r>
              <w:t>1561.30</w:t>
            </w:r>
          </w:p>
        </w:tc>
        <w:tc>
          <w:tcPr>
            <w:tcW w:w="1134" w:type="dxa"/>
            <w:vAlign w:val="center"/>
          </w:tcPr>
          <w:p>
            <w:pPr>
              <w:pStyle w:val="15"/>
            </w:pPr>
            <w:r>
              <w:t>1561.30</w:t>
            </w:r>
          </w:p>
        </w:tc>
        <w:tc>
          <w:tcPr>
            <w:tcW w:w="1134" w:type="dxa"/>
            <w:vAlign w:val="center"/>
          </w:tcPr>
          <w:p>
            <w:pPr>
              <w:pStyle w:val="15"/>
            </w:pPr>
            <w:r>
              <w:t>1561.30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2010602</w:t>
            </w:r>
          </w:p>
        </w:tc>
        <w:tc>
          <w:tcPr>
            <w:tcW w:w="1559" w:type="dxa"/>
            <w:vAlign w:val="center"/>
          </w:tcPr>
          <w:p>
            <w:pPr>
              <w:pStyle w:val="16"/>
            </w:pPr>
            <w:r>
              <w:rPr>
                <w:rFonts w:hint="eastAsia"/>
              </w:rPr>
              <w:t>一般行政管理事务</w:t>
            </w:r>
          </w:p>
        </w:tc>
        <w:tc>
          <w:tcPr>
            <w:tcW w:w="1134" w:type="dxa"/>
            <w:vAlign w:val="center"/>
          </w:tcPr>
          <w:p>
            <w:pPr>
              <w:pStyle w:val="15"/>
            </w:pPr>
            <w:r>
              <w:t>328.15</w:t>
            </w:r>
          </w:p>
        </w:tc>
        <w:tc>
          <w:tcPr>
            <w:tcW w:w="1134" w:type="dxa"/>
            <w:vAlign w:val="center"/>
          </w:tcPr>
          <w:p>
            <w:pPr>
              <w:pStyle w:val="15"/>
            </w:pPr>
            <w:r>
              <w:t>328.15</w:t>
            </w:r>
          </w:p>
        </w:tc>
        <w:tc>
          <w:tcPr>
            <w:tcW w:w="1134" w:type="dxa"/>
            <w:vAlign w:val="center"/>
          </w:tcPr>
          <w:p>
            <w:pPr>
              <w:pStyle w:val="15"/>
            </w:pPr>
            <w:r>
              <w:t>328.15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2010607</w:t>
            </w:r>
          </w:p>
        </w:tc>
        <w:tc>
          <w:tcPr>
            <w:tcW w:w="1559" w:type="dxa"/>
            <w:vAlign w:val="center"/>
          </w:tcPr>
          <w:p>
            <w:pPr>
              <w:pStyle w:val="16"/>
            </w:pPr>
            <w:r>
              <w:rPr>
                <w:rFonts w:hint="eastAsia"/>
              </w:rPr>
              <w:t>信息化建设</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2010699</w:t>
            </w:r>
          </w:p>
        </w:tc>
        <w:tc>
          <w:tcPr>
            <w:tcW w:w="1559" w:type="dxa"/>
            <w:vAlign w:val="center"/>
          </w:tcPr>
          <w:p>
            <w:pPr>
              <w:pStyle w:val="16"/>
            </w:pPr>
            <w:r>
              <w:rPr>
                <w:rFonts w:hint="eastAsia"/>
              </w:rPr>
              <w:t>其他财政事务支出</w:t>
            </w:r>
          </w:p>
        </w:tc>
        <w:tc>
          <w:tcPr>
            <w:tcW w:w="1134" w:type="dxa"/>
            <w:vAlign w:val="center"/>
          </w:tcPr>
          <w:p>
            <w:pPr>
              <w:pStyle w:val="15"/>
            </w:pPr>
            <w:r>
              <w:t>485.00</w:t>
            </w:r>
          </w:p>
        </w:tc>
        <w:tc>
          <w:tcPr>
            <w:tcW w:w="1134" w:type="dxa"/>
            <w:vAlign w:val="center"/>
          </w:tcPr>
          <w:p>
            <w:pPr>
              <w:pStyle w:val="15"/>
            </w:pPr>
            <w:r>
              <w:t>485.00</w:t>
            </w:r>
          </w:p>
        </w:tc>
        <w:tc>
          <w:tcPr>
            <w:tcW w:w="1134" w:type="dxa"/>
            <w:vAlign w:val="center"/>
          </w:tcPr>
          <w:p>
            <w:pPr>
              <w:pStyle w:val="15"/>
            </w:pPr>
            <w:r>
              <w:t>485.00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209.68</w:t>
            </w:r>
          </w:p>
        </w:tc>
        <w:tc>
          <w:tcPr>
            <w:tcW w:w="1134" w:type="dxa"/>
            <w:vAlign w:val="center"/>
          </w:tcPr>
          <w:p>
            <w:pPr>
              <w:pStyle w:val="15"/>
            </w:pPr>
            <w:r>
              <w:t>209.68</w:t>
            </w:r>
          </w:p>
        </w:tc>
        <w:tc>
          <w:tcPr>
            <w:tcW w:w="1134" w:type="dxa"/>
            <w:vAlign w:val="center"/>
          </w:tcPr>
          <w:p>
            <w:pPr>
              <w:pStyle w:val="15"/>
            </w:pPr>
            <w:r>
              <w:t>209.68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209.68</w:t>
            </w:r>
          </w:p>
        </w:tc>
        <w:tc>
          <w:tcPr>
            <w:tcW w:w="1134" w:type="dxa"/>
            <w:vAlign w:val="center"/>
          </w:tcPr>
          <w:p>
            <w:pPr>
              <w:pStyle w:val="15"/>
            </w:pPr>
            <w:r>
              <w:t>209.68</w:t>
            </w:r>
          </w:p>
        </w:tc>
        <w:tc>
          <w:tcPr>
            <w:tcW w:w="1134" w:type="dxa"/>
            <w:vAlign w:val="center"/>
          </w:tcPr>
          <w:p>
            <w:pPr>
              <w:pStyle w:val="15"/>
            </w:pPr>
            <w:r>
              <w:t>209.68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54.26</w:t>
            </w:r>
          </w:p>
        </w:tc>
        <w:tc>
          <w:tcPr>
            <w:tcW w:w="1134" w:type="dxa"/>
            <w:vAlign w:val="center"/>
          </w:tcPr>
          <w:p>
            <w:pPr>
              <w:pStyle w:val="15"/>
            </w:pPr>
            <w:r>
              <w:t>54.26</w:t>
            </w:r>
          </w:p>
        </w:tc>
        <w:tc>
          <w:tcPr>
            <w:tcW w:w="1134" w:type="dxa"/>
            <w:vAlign w:val="center"/>
          </w:tcPr>
          <w:p>
            <w:pPr>
              <w:pStyle w:val="15"/>
            </w:pPr>
            <w:r>
              <w:t>54.26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103.61</w:t>
            </w:r>
          </w:p>
        </w:tc>
        <w:tc>
          <w:tcPr>
            <w:tcW w:w="1134" w:type="dxa"/>
            <w:vAlign w:val="center"/>
          </w:tcPr>
          <w:p>
            <w:pPr>
              <w:pStyle w:val="15"/>
            </w:pPr>
            <w:r>
              <w:t>103.61</w:t>
            </w:r>
          </w:p>
        </w:tc>
        <w:tc>
          <w:tcPr>
            <w:tcW w:w="1134" w:type="dxa"/>
            <w:vAlign w:val="center"/>
          </w:tcPr>
          <w:p>
            <w:pPr>
              <w:pStyle w:val="15"/>
            </w:pPr>
            <w:r>
              <w:t>103.61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51.81</w:t>
            </w:r>
          </w:p>
        </w:tc>
        <w:tc>
          <w:tcPr>
            <w:tcW w:w="1134" w:type="dxa"/>
            <w:vAlign w:val="center"/>
          </w:tcPr>
          <w:p>
            <w:pPr>
              <w:pStyle w:val="15"/>
            </w:pPr>
            <w:r>
              <w:t>51.81</w:t>
            </w:r>
          </w:p>
        </w:tc>
        <w:tc>
          <w:tcPr>
            <w:tcW w:w="1134" w:type="dxa"/>
            <w:vAlign w:val="center"/>
          </w:tcPr>
          <w:p>
            <w:pPr>
              <w:pStyle w:val="15"/>
            </w:pPr>
            <w:r>
              <w:t>51.81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49.55</w:t>
            </w:r>
          </w:p>
        </w:tc>
        <w:tc>
          <w:tcPr>
            <w:tcW w:w="1134" w:type="dxa"/>
            <w:vAlign w:val="center"/>
          </w:tcPr>
          <w:p>
            <w:pPr>
              <w:pStyle w:val="15"/>
            </w:pPr>
            <w:r>
              <w:t>49.55</w:t>
            </w:r>
          </w:p>
        </w:tc>
        <w:tc>
          <w:tcPr>
            <w:tcW w:w="1134" w:type="dxa"/>
            <w:vAlign w:val="center"/>
          </w:tcPr>
          <w:p>
            <w:pPr>
              <w:pStyle w:val="15"/>
            </w:pPr>
            <w:r>
              <w:t>49.55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21012</w:t>
            </w:r>
          </w:p>
        </w:tc>
        <w:tc>
          <w:tcPr>
            <w:tcW w:w="1559" w:type="dxa"/>
            <w:vAlign w:val="center"/>
          </w:tcPr>
          <w:p>
            <w:pPr>
              <w:pStyle w:val="16"/>
            </w:pPr>
            <w:r>
              <w:rPr>
                <w:rFonts w:hint="eastAsia"/>
              </w:rPr>
              <w:t>财政对基本医疗保险基金的补助</w:t>
            </w:r>
          </w:p>
        </w:tc>
        <w:tc>
          <w:tcPr>
            <w:tcW w:w="1134" w:type="dxa"/>
            <w:vAlign w:val="center"/>
          </w:tcPr>
          <w:p>
            <w:pPr>
              <w:pStyle w:val="15"/>
            </w:pPr>
            <w:r>
              <w:t>49.55</w:t>
            </w:r>
          </w:p>
        </w:tc>
        <w:tc>
          <w:tcPr>
            <w:tcW w:w="1134" w:type="dxa"/>
            <w:vAlign w:val="center"/>
          </w:tcPr>
          <w:p>
            <w:pPr>
              <w:pStyle w:val="15"/>
            </w:pPr>
            <w:r>
              <w:t>49.55</w:t>
            </w:r>
          </w:p>
        </w:tc>
        <w:tc>
          <w:tcPr>
            <w:tcW w:w="1134" w:type="dxa"/>
            <w:vAlign w:val="center"/>
          </w:tcPr>
          <w:p>
            <w:pPr>
              <w:pStyle w:val="15"/>
            </w:pPr>
            <w:r>
              <w:t>49.55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2101201</w:t>
            </w:r>
          </w:p>
        </w:tc>
        <w:tc>
          <w:tcPr>
            <w:tcW w:w="1559" w:type="dxa"/>
            <w:vAlign w:val="center"/>
          </w:tcPr>
          <w:p>
            <w:pPr>
              <w:pStyle w:val="16"/>
            </w:pPr>
            <w:r>
              <w:rPr>
                <w:rFonts w:hint="eastAsia"/>
              </w:rPr>
              <w:t>财政对职工基本医疗保险基金的补助</w:t>
            </w:r>
          </w:p>
        </w:tc>
        <w:tc>
          <w:tcPr>
            <w:tcW w:w="1134" w:type="dxa"/>
            <w:vAlign w:val="center"/>
          </w:tcPr>
          <w:p>
            <w:pPr>
              <w:pStyle w:val="15"/>
            </w:pPr>
            <w:r>
              <w:t>49.55</w:t>
            </w:r>
          </w:p>
        </w:tc>
        <w:tc>
          <w:tcPr>
            <w:tcW w:w="1134" w:type="dxa"/>
            <w:vAlign w:val="center"/>
          </w:tcPr>
          <w:p>
            <w:pPr>
              <w:pStyle w:val="15"/>
            </w:pPr>
            <w:r>
              <w:t>49.55</w:t>
            </w:r>
          </w:p>
        </w:tc>
        <w:tc>
          <w:tcPr>
            <w:tcW w:w="1134" w:type="dxa"/>
            <w:vAlign w:val="center"/>
          </w:tcPr>
          <w:p>
            <w:pPr>
              <w:pStyle w:val="15"/>
            </w:pPr>
            <w:r>
              <w:t>49.55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w:t>
            </w:r>
          </w:p>
        </w:tc>
        <w:tc>
          <w:tcPr>
            <w:tcW w:w="1559" w:type="dxa"/>
            <w:vAlign w:val="center"/>
          </w:tcPr>
          <w:p>
            <w:pPr>
              <w:pStyle w:val="16"/>
            </w:pPr>
            <w:r>
              <w:rPr>
                <w:rFonts w:hint="eastAsia"/>
              </w:rPr>
              <w:t>城乡社区支出</w:t>
            </w:r>
          </w:p>
        </w:tc>
        <w:tc>
          <w:tcPr>
            <w:tcW w:w="1134" w:type="dxa"/>
            <w:vAlign w:val="center"/>
          </w:tcPr>
          <w:p>
            <w:pPr>
              <w:pStyle w:val="15"/>
            </w:pPr>
            <w:r>
              <w:t>4829.00</w:t>
            </w:r>
          </w:p>
        </w:tc>
        <w:tc>
          <w:tcPr>
            <w:tcW w:w="1134" w:type="dxa"/>
            <w:vAlign w:val="center"/>
          </w:tcPr>
          <w:p>
            <w:pPr>
              <w:pStyle w:val="15"/>
            </w:pPr>
            <w:r>
              <w:t>4829.00</w:t>
            </w:r>
          </w:p>
        </w:tc>
        <w:tc>
          <w:tcPr>
            <w:tcW w:w="1134" w:type="dxa"/>
            <w:vAlign w:val="center"/>
          </w:tcPr>
          <w:p>
            <w:pPr>
              <w:pStyle w:val="15"/>
            </w:pPr>
            <w:r>
              <w:t>4829.00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21208</w:t>
            </w:r>
          </w:p>
        </w:tc>
        <w:tc>
          <w:tcPr>
            <w:tcW w:w="1559" w:type="dxa"/>
            <w:vAlign w:val="center"/>
          </w:tcPr>
          <w:p>
            <w:pPr>
              <w:pStyle w:val="16"/>
            </w:pPr>
            <w:r>
              <w:rPr>
                <w:rFonts w:hint="eastAsia"/>
              </w:rPr>
              <w:t>国有土地使用权出让收入安排的支出</w:t>
            </w:r>
          </w:p>
        </w:tc>
        <w:tc>
          <w:tcPr>
            <w:tcW w:w="1134" w:type="dxa"/>
            <w:vAlign w:val="center"/>
          </w:tcPr>
          <w:p>
            <w:pPr>
              <w:pStyle w:val="15"/>
            </w:pPr>
            <w:r>
              <w:t>4829.00</w:t>
            </w:r>
          </w:p>
        </w:tc>
        <w:tc>
          <w:tcPr>
            <w:tcW w:w="1134" w:type="dxa"/>
            <w:vAlign w:val="center"/>
          </w:tcPr>
          <w:p>
            <w:pPr>
              <w:pStyle w:val="15"/>
            </w:pPr>
            <w:r>
              <w:t>4829.00</w:t>
            </w:r>
          </w:p>
        </w:tc>
        <w:tc>
          <w:tcPr>
            <w:tcW w:w="1134" w:type="dxa"/>
            <w:vAlign w:val="center"/>
          </w:tcPr>
          <w:p>
            <w:pPr>
              <w:pStyle w:val="15"/>
            </w:pPr>
            <w:r>
              <w:t>4829.00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2120816</w:t>
            </w:r>
          </w:p>
        </w:tc>
        <w:tc>
          <w:tcPr>
            <w:tcW w:w="1559" w:type="dxa"/>
            <w:vAlign w:val="center"/>
          </w:tcPr>
          <w:p>
            <w:pPr>
              <w:pStyle w:val="16"/>
            </w:pPr>
            <w:r>
              <w:rPr>
                <w:rFonts w:hint="eastAsia"/>
              </w:rPr>
              <w:t>农业农村生态环境支出</w:t>
            </w:r>
          </w:p>
        </w:tc>
        <w:tc>
          <w:tcPr>
            <w:tcW w:w="1134" w:type="dxa"/>
            <w:vAlign w:val="center"/>
          </w:tcPr>
          <w:p>
            <w:pPr>
              <w:pStyle w:val="15"/>
            </w:pPr>
            <w:r>
              <w:t>4829.00</w:t>
            </w:r>
          </w:p>
        </w:tc>
        <w:tc>
          <w:tcPr>
            <w:tcW w:w="1134" w:type="dxa"/>
            <w:vAlign w:val="center"/>
          </w:tcPr>
          <w:p>
            <w:pPr>
              <w:pStyle w:val="15"/>
            </w:pPr>
            <w:r>
              <w:t>4829.00</w:t>
            </w:r>
          </w:p>
        </w:tc>
        <w:tc>
          <w:tcPr>
            <w:tcW w:w="1134" w:type="dxa"/>
            <w:vAlign w:val="center"/>
          </w:tcPr>
          <w:p>
            <w:pPr>
              <w:pStyle w:val="15"/>
            </w:pPr>
            <w:r>
              <w:t>4829.00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4094.39</w:t>
            </w:r>
          </w:p>
        </w:tc>
        <w:tc>
          <w:tcPr>
            <w:tcW w:w="1134" w:type="dxa"/>
            <w:vAlign w:val="center"/>
          </w:tcPr>
          <w:p>
            <w:pPr>
              <w:pStyle w:val="15"/>
            </w:pPr>
            <w:r>
              <w:t>4094.39</w:t>
            </w:r>
          </w:p>
        </w:tc>
        <w:tc>
          <w:tcPr>
            <w:tcW w:w="1134" w:type="dxa"/>
            <w:vAlign w:val="center"/>
          </w:tcPr>
          <w:p>
            <w:pPr>
              <w:pStyle w:val="15"/>
            </w:pPr>
            <w:r>
              <w:t>4094.39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21301</w:t>
            </w:r>
          </w:p>
        </w:tc>
        <w:tc>
          <w:tcPr>
            <w:tcW w:w="1559" w:type="dxa"/>
            <w:vAlign w:val="center"/>
          </w:tcPr>
          <w:p>
            <w:pPr>
              <w:pStyle w:val="16"/>
            </w:pPr>
            <w:r>
              <w:rPr>
                <w:rFonts w:hint="eastAsia"/>
              </w:rPr>
              <w:t>农业农村</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2130199</w:t>
            </w:r>
          </w:p>
        </w:tc>
        <w:tc>
          <w:tcPr>
            <w:tcW w:w="1559" w:type="dxa"/>
            <w:vAlign w:val="center"/>
          </w:tcPr>
          <w:p>
            <w:pPr>
              <w:pStyle w:val="16"/>
            </w:pPr>
            <w:r>
              <w:rPr>
                <w:rFonts w:hint="eastAsia"/>
              </w:rPr>
              <w:t>其他农业农村支出</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21305</w:t>
            </w:r>
          </w:p>
        </w:tc>
        <w:tc>
          <w:tcPr>
            <w:tcW w:w="1559" w:type="dxa"/>
            <w:vAlign w:val="center"/>
          </w:tcPr>
          <w:p>
            <w:pPr>
              <w:pStyle w:val="16"/>
            </w:pPr>
            <w:r>
              <w:rPr>
                <w:rFonts w:hint="eastAsia"/>
                <w:lang w:eastAsia="zh"/>
              </w:rPr>
              <w:t>巩固拓展脱贫攻坚成果</w:t>
            </w:r>
            <w:r>
              <w:rPr>
                <w:rFonts w:hint="eastAsia"/>
              </w:rPr>
              <w:t>衔接乡村振兴</w:t>
            </w:r>
          </w:p>
        </w:tc>
        <w:tc>
          <w:tcPr>
            <w:tcW w:w="1134" w:type="dxa"/>
            <w:vAlign w:val="center"/>
          </w:tcPr>
          <w:p>
            <w:pPr>
              <w:pStyle w:val="15"/>
            </w:pPr>
            <w:r>
              <w:t>2990.39</w:t>
            </w:r>
          </w:p>
        </w:tc>
        <w:tc>
          <w:tcPr>
            <w:tcW w:w="1134" w:type="dxa"/>
            <w:vAlign w:val="center"/>
          </w:tcPr>
          <w:p>
            <w:pPr>
              <w:pStyle w:val="15"/>
            </w:pPr>
            <w:r>
              <w:t>2990.39</w:t>
            </w:r>
          </w:p>
        </w:tc>
        <w:tc>
          <w:tcPr>
            <w:tcW w:w="1134" w:type="dxa"/>
            <w:vAlign w:val="center"/>
          </w:tcPr>
          <w:p>
            <w:pPr>
              <w:pStyle w:val="15"/>
            </w:pPr>
            <w:r>
              <w:t>2990.39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2130599</w:t>
            </w:r>
          </w:p>
        </w:tc>
        <w:tc>
          <w:tcPr>
            <w:tcW w:w="1559" w:type="dxa"/>
            <w:vAlign w:val="center"/>
          </w:tcPr>
          <w:p>
            <w:pPr>
              <w:pStyle w:val="16"/>
            </w:pPr>
            <w:r>
              <w:rPr>
                <w:rFonts w:hint="eastAsia"/>
              </w:rPr>
              <w:t>其他</w:t>
            </w:r>
            <w:r>
              <w:rPr>
                <w:rFonts w:hint="eastAsia"/>
                <w:lang w:eastAsia="zh"/>
              </w:rPr>
              <w:t>巩固拓展脱贫攻坚成果</w:t>
            </w:r>
            <w:r>
              <w:rPr>
                <w:rFonts w:hint="eastAsia"/>
              </w:rPr>
              <w:t>衔接乡村振兴支出</w:t>
            </w:r>
          </w:p>
        </w:tc>
        <w:tc>
          <w:tcPr>
            <w:tcW w:w="1134" w:type="dxa"/>
            <w:vAlign w:val="center"/>
          </w:tcPr>
          <w:p>
            <w:pPr>
              <w:pStyle w:val="15"/>
            </w:pPr>
            <w:r>
              <w:t>2990.39</w:t>
            </w:r>
          </w:p>
        </w:tc>
        <w:tc>
          <w:tcPr>
            <w:tcW w:w="1134" w:type="dxa"/>
            <w:vAlign w:val="center"/>
          </w:tcPr>
          <w:p>
            <w:pPr>
              <w:pStyle w:val="15"/>
            </w:pPr>
            <w:r>
              <w:t>2990.39</w:t>
            </w:r>
          </w:p>
        </w:tc>
        <w:tc>
          <w:tcPr>
            <w:tcW w:w="1134" w:type="dxa"/>
            <w:vAlign w:val="center"/>
          </w:tcPr>
          <w:p>
            <w:pPr>
              <w:pStyle w:val="15"/>
            </w:pPr>
            <w:r>
              <w:t>2990.39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21307</w:t>
            </w:r>
          </w:p>
        </w:tc>
        <w:tc>
          <w:tcPr>
            <w:tcW w:w="1559" w:type="dxa"/>
            <w:vAlign w:val="center"/>
          </w:tcPr>
          <w:p>
            <w:pPr>
              <w:pStyle w:val="16"/>
            </w:pPr>
            <w:r>
              <w:rPr>
                <w:rFonts w:hint="eastAsia"/>
              </w:rPr>
              <w:t>农村综合改革</w:t>
            </w:r>
          </w:p>
        </w:tc>
        <w:tc>
          <w:tcPr>
            <w:tcW w:w="1134" w:type="dxa"/>
            <w:vAlign w:val="center"/>
          </w:tcPr>
          <w:p>
            <w:pPr>
              <w:pStyle w:val="15"/>
            </w:pPr>
            <w:r>
              <w:t>1094.00</w:t>
            </w:r>
          </w:p>
        </w:tc>
        <w:tc>
          <w:tcPr>
            <w:tcW w:w="1134" w:type="dxa"/>
            <w:vAlign w:val="center"/>
          </w:tcPr>
          <w:p>
            <w:pPr>
              <w:pStyle w:val="15"/>
            </w:pPr>
            <w:r>
              <w:t>1094.00</w:t>
            </w:r>
          </w:p>
        </w:tc>
        <w:tc>
          <w:tcPr>
            <w:tcW w:w="1134" w:type="dxa"/>
            <w:vAlign w:val="center"/>
          </w:tcPr>
          <w:p>
            <w:pPr>
              <w:pStyle w:val="15"/>
            </w:pPr>
            <w:r>
              <w:t>1094.00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2130799</w:t>
            </w:r>
          </w:p>
        </w:tc>
        <w:tc>
          <w:tcPr>
            <w:tcW w:w="1559" w:type="dxa"/>
            <w:vAlign w:val="center"/>
          </w:tcPr>
          <w:p>
            <w:pPr>
              <w:pStyle w:val="16"/>
            </w:pPr>
            <w:r>
              <w:rPr>
                <w:rFonts w:hint="eastAsia"/>
              </w:rPr>
              <w:t>其他农村综合改革支出</w:t>
            </w:r>
          </w:p>
        </w:tc>
        <w:tc>
          <w:tcPr>
            <w:tcW w:w="1134" w:type="dxa"/>
            <w:vAlign w:val="center"/>
          </w:tcPr>
          <w:p>
            <w:pPr>
              <w:pStyle w:val="15"/>
            </w:pPr>
            <w:r>
              <w:t>1094.00</w:t>
            </w:r>
          </w:p>
        </w:tc>
        <w:tc>
          <w:tcPr>
            <w:tcW w:w="1134" w:type="dxa"/>
            <w:vAlign w:val="center"/>
          </w:tcPr>
          <w:p>
            <w:pPr>
              <w:pStyle w:val="15"/>
            </w:pPr>
            <w:r>
              <w:t>1094.00</w:t>
            </w:r>
          </w:p>
        </w:tc>
        <w:tc>
          <w:tcPr>
            <w:tcW w:w="1134" w:type="dxa"/>
            <w:vAlign w:val="center"/>
          </w:tcPr>
          <w:p>
            <w:pPr>
              <w:pStyle w:val="15"/>
            </w:pPr>
            <w:r>
              <w:t>1094.00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318</w:t>
            </w:r>
            <w:r>
              <w:rPr>
                <w:rFonts w:hint="eastAsia"/>
              </w:rPr>
              <w:t>魏县财政局</w:t>
            </w:r>
          </w:p>
        </w:tc>
        <w:tc>
          <w:tcPr>
            <w:tcW w:w="2722"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4"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6"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rPr>
                <w:rFonts w:hint="eastAsia"/>
              </w:rPr>
              <w:t>合计</w:t>
            </w:r>
          </w:p>
        </w:tc>
        <w:tc>
          <w:tcPr>
            <w:tcW w:w="1361" w:type="dxa"/>
            <w:vAlign w:val="center"/>
          </w:tcPr>
          <w:p>
            <w:pPr>
              <w:pStyle w:val="19"/>
            </w:pPr>
            <w:r>
              <w:rPr>
                <w:rFonts w:hint="eastAsia"/>
                <w:lang w:eastAsia="zh-CN"/>
              </w:rPr>
              <w:t>11572</w:t>
            </w:r>
            <w:r>
              <w:t>.07</w:t>
            </w:r>
          </w:p>
        </w:tc>
        <w:tc>
          <w:tcPr>
            <w:tcW w:w="1361" w:type="dxa"/>
            <w:vAlign w:val="center"/>
          </w:tcPr>
          <w:p>
            <w:pPr>
              <w:pStyle w:val="19"/>
            </w:pPr>
            <w:r>
              <w:t>1700.53</w:t>
            </w:r>
          </w:p>
        </w:tc>
        <w:tc>
          <w:tcPr>
            <w:tcW w:w="1361" w:type="dxa"/>
            <w:vAlign w:val="center"/>
          </w:tcPr>
          <w:p>
            <w:pPr>
              <w:pStyle w:val="19"/>
            </w:pPr>
            <w:r>
              <w:rPr>
                <w:rFonts w:hint="eastAsia"/>
                <w:lang w:eastAsia="zh-CN"/>
              </w:rPr>
              <w:t>9871</w:t>
            </w:r>
            <w:r>
              <w:t>.54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rPr>
                <w:rFonts w:hint="eastAsia"/>
              </w:rPr>
              <w:t>一般公共服务支出</w:t>
            </w:r>
          </w:p>
        </w:tc>
        <w:tc>
          <w:tcPr>
            <w:tcW w:w="1361" w:type="dxa"/>
            <w:vAlign w:val="center"/>
          </w:tcPr>
          <w:p>
            <w:pPr>
              <w:pStyle w:val="15"/>
            </w:pPr>
            <w:r>
              <w:t>2389.45</w:t>
            </w:r>
          </w:p>
        </w:tc>
        <w:tc>
          <w:tcPr>
            <w:tcW w:w="1361" w:type="dxa"/>
            <w:vAlign w:val="center"/>
          </w:tcPr>
          <w:p>
            <w:pPr>
              <w:pStyle w:val="15"/>
            </w:pPr>
            <w:r>
              <w:t>1441.30</w:t>
            </w:r>
          </w:p>
        </w:tc>
        <w:tc>
          <w:tcPr>
            <w:tcW w:w="1361" w:type="dxa"/>
            <w:vAlign w:val="center"/>
          </w:tcPr>
          <w:p>
            <w:pPr>
              <w:pStyle w:val="15"/>
            </w:pPr>
            <w:r>
              <w:t>948.15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20106</w:t>
            </w:r>
          </w:p>
        </w:tc>
        <w:tc>
          <w:tcPr>
            <w:tcW w:w="4536" w:type="dxa"/>
            <w:vAlign w:val="center"/>
          </w:tcPr>
          <w:p>
            <w:pPr>
              <w:pStyle w:val="16"/>
            </w:pPr>
            <w:r>
              <w:rPr>
                <w:rFonts w:hint="eastAsia"/>
              </w:rPr>
              <w:t>财政事务</w:t>
            </w:r>
          </w:p>
        </w:tc>
        <w:tc>
          <w:tcPr>
            <w:tcW w:w="1361" w:type="dxa"/>
            <w:vAlign w:val="center"/>
          </w:tcPr>
          <w:p>
            <w:pPr>
              <w:pStyle w:val="15"/>
            </w:pPr>
            <w:r>
              <w:t>2389.45</w:t>
            </w:r>
          </w:p>
        </w:tc>
        <w:tc>
          <w:tcPr>
            <w:tcW w:w="1361" w:type="dxa"/>
            <w:vAlign w:val="center"/>
          </w:tcPr>
          <w:p>
            <w:pPr>
              <w:pStyle w:val="15"/>
            </w:pPr>
            <w:r>
              <w:t>1441.30</w:t>
            </w:r>
          </w:p>
        </w:tc>
        <w:tc>
          <w:tcPr>
            <w:tcW w:w="1361" w:type="dxa"/>
            <w:vAlign w:val="center"/>
          </w:tcPr>
          <w:p>
            <w:pPr>
              <w:pStyle w:val="15"/>
            </w:pPr>
            <w:r>
              <w:t>948.15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992" w:type="dxa"/>
            <w:vAlign w:val="center"/>
          </w:tcPr>
          <w:p>
            <w:pPr>
              <w:pStyle w:val="16"/>
            </w:pPr>
            <w:r>
              <w:t>2010601</w:t>
            </w:r>
          </w:p>
        </w:tc>
        <w:tc>
          <w:tcPr>
            <w:tcW w:w="4536" w:type="dxa"/>
            <w:vAlign w:val="center"/>
          </w:tcPr>
          <w:p>
            <w:pPr>
              <w:pStyle w:val="16"/>
            </w:pPr>
            <w:r>
              <w:rPr>
                <w:rFonts w:hint="eastAsia"/>
              </w:rPr>
              <w:t>行政运行</w:t>
            </w:r>
          </w:p>
        </w:tc>
        <w:tc>
          <w:tcPr>
            <w:tcW w:w="1361" w:type="dxa"/>
            <w:vAlign w:val="center"/>
          </w:tcPr>
          <w:p>
            <w:pPr>
              <w:pStyle w:val="15"/>
            </w:pPr>
            <w:r>
              <w:t>1561.30</w:t>
            </w:r>
          </w:p>
        </w:tc>
        <w:tc>
          <w:tcPr>
            <w:tcW w:w="1361" w:type="dxa"/>
            <w:vAlign w:val="center"/>
          </w:tcPr>
          <w:p>
            <w:pPr>
              <w:pStyle w:val="15"/>
            </w:pPr>
            <w:r>
              <w:t>1441.30</w:t>
            </w: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2010602</w:t>
            </w:r>
          </w:p>
        </w:tc>
        <w:tc>
          <w:tcPr>
            <w:tcW w:w="4536" w:type="dxa"/>
            <w:vAlign w:val="center"/>
          </w:tcPr>
          <w:p>
            <w:pPr>
              <w:pStyle w:val="16"/>
            </w:pPr>
            <w:r>
              <w:rPr>
                <w:rFonts w:hint="eastAsia"/>
              </w:rPr>
              <w:t>一般行政管理事务</w:t>
            </w:r>
          </w:p>
        </w:tc>
        <w:tc>
          <w:tcPr>
            <w:tcW w:w="1361" w:type="dxa"/>
            <w:vAlign w:val="center"/>
          </w:tcPr>
          <w:p>
            <w:pPr>
              <w:pStyle w:val="15"/>
            </w:pPr>
            <w:r>
              <w:t>328.15</w:t>
            </w:r>
          </w:p>
        </w:tc>
        <w:tc>
          <w:tcPr>
            <w:tcW w:w="1361" w:type="dxa"/>
            <w:vAlign w:val="center"/>
          </w:tcPr>
          <w:p>
            <w:pPr>
              <w:pStyle w:val="15"/>
            </w:pPr>
          </w:p>
        </w:tc>
        <w:tc>
          <w:tcPr>
            <w:tcW w:w="1361" w:type="dxa"/>
            <w:vAlign w:val="center"/>
          </w:tcPr>
          <w:p>
            <w:pPr>
              <w:pStyle w:val="15"/>
            </w:pPr>
            <w:r>
              <w:t>328.15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2010607</w:t>
            </w:r>
          </w:p>
        </w:tc>
        <w:tc>
          <w:tcPr>
            <w:tcW w:w="4536" w:type="dxa"/>
            <w:vAlign w:val="center"/>
          </w:tcPr>
          <w:p>
            <w:pPr>
              <w:pStyle w:val="16"/>
            </w:pPr>
            <w:r>
              <w:rPr>
                <w:rFonts w:hint="eastAsia"/>
              </w:rPr>
              <w:t>信息化建设</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2010699</w:t>
            </w:r>
          </w:p>
        </w:tc>
        <w:tc>
          <w:tcPr>
            <w:tcW w:w="4536" w:type="dxa"/>
            <w:vAlign w:val="center"/>
          </w:tcPr>
          <w:p>
            <w:pPr>
              <w:pStyle w:val="16"/>
            </w:pPr>
            <w:r>
              <w:rPr>
                <w:rFonts w:hint="eastAsia"/>
              </w:rPr>
              <w:t>其他财政事务支出</w:t>
            </w:r>
          </w:p>
        </w:tc>
        <w:tc>
          <w:tcPr>
            <w:tcW w:w="1361" w:type="dxa"/>
            <w:vAlign w:val="center"/>
          </w:tcPr>
          <w:p>
            <w:pPr>
              <w:pStyle w:val="15"/>
            </w:pPr>
            <w:r>
              <w:t>485.00</w:t>
            </w:r>
          </w:p>
        </w:tc>
        <w:tc>
          <w:tcPr>
            <w:tcW w:w="1361" w:type="dxa"/>
            <w:vAlign w:val="center"/>
          </w:tcPr>
          <w:p>
            <w:pPr>
              <w:pStyle w:val="15"/>
            </w:pPr>
          </w:p>
        </w:tc>
        <w:tc>
          <w:tcPr>
            <w:tcW w:w="1361" w:type="dxa"/>
            <w:vAlign w:val="center"/>
          </w:tcPr>
          <w:p>
            <w:pPr>
              <w:pStyle w:val="15"/>
            </w:pPr>
            <w:r>
              <w:t>485.00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6" w:type="dxa"/>
            <w:vAlign w:val="center"/>
          </w:tcPr>
          <w:p>
            <w:pPr>
              <w:pStyle w:val="16"/>
            </w:pPr>
            <w:r>
              <w:rPr>
                <w:rFonts w:hint="eastAsia"/>
              </w:rPr>
              <w:t>社会保障和就业支出</w:t>
            </w:r>
          </w:p>
        </w:tc>
        <w:tc>
          <w:tcPr>
            <w:tcW w:w="1361" w:type="dxa"/>
            <w:vAlign w:val="center"/>
          </w:tcPr>
          <w:p>
            <w:pPr>
              <w:pStyle w:val="15"/>
            </w:pPr>
            <w:r>
              <w:t>209.68</w:t>
            </w:r>
          </w:p>
        </w:tc>
        <w:tc>
          <w:tcPr>
            <w:tcW w:w="1361" w:type="dxa"/>
            <w:vAlign w:val="center"/>
          </w:tcPr>
          <w:p>
            <w:pPr>
              <w:pStyle w:val="15"/>
            </w:pPr>
            <w:r>
              <w:t>209.68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6" w:type="dxa"/>
            <w:vAlign w:val="center"/>
          </w:tcPr>
          <w:p>
            <w:pPr>
              <w:pStyle w:val="16"/>
            </w:pPr>
            <w:r>
              <w:rPr>
                <w:rFonts w:hint="eastAsia"/>
              </w:rPr>
              <w:t>行政事业单位养老支出</w:t>
            </w:r>
          </w:p>
        </w:tc>
        <w:tc>
          <w:tcPr>
            <w:tcW w:w="1361" w:type="dxa"/>
            <w:vAlign w:val="center"/>
          </w:tcPr>
          <w:p>
            <w:pPr>
              <w:pStyle w:val="15"/>
            </w:pPr>
            <w:r>
              <w:t>209.68</w:t>
            </w:r>
          </w:p>
        </w:tc>
        <w:tc>
          <w:tcPr>
            <w:tcW w:w="1361" w:type="dxa"/>
            <w:vAlign w:val="center"/>
          </w:tcPr>
          <w:p>
            <w:pPr>
              <w:pStyle w:val="15"/>
            </w:pPr>
            <w:r>
              <w:t>209.68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6" w:type="dxa"/>
            <w:vAlign w:val="center"/>
          </w:tcPr>
          <w:p>
            <w:pPr>
              <w:pStyle w:val="16"/>
            </w:pPr>
            <w:r>
              <w:rPr>
                <w:rFonts w:hint="eastAsia"/>
              </w:rPr>
              <w:t>行政单位离退休</w:t>
            </w:r>
          </w:p>
        </w:tc>
        <w:tc>
          <w:tcPr>
            <w:tcW w:w="1361" w:type="dxa"/>
            <w:vAlign w:val="center"/>
          </w:tcPr>
          <w:p>
            <w:pPr>
              <w:pStyle w:val="15"/>
            </w:pPr>
            <w:r>
              <w:t>54.26</w:t>
            </w:r>
          </w:p>
        </w:tc>
        <w:tc>
          <w:tcPr>
            <w:tcW w:w="1361" w:type="dxa"/>
            <w:vAlign w:val="center"/>
          </w:tcPr>
          <w:p>
            <w:pPr>
              <w:pStyle w:val="15"/>
            </w:pPr>
            <w:r>
              <w:t>54.26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6" w:type="dxa"/>
            <w:vAlign w:val="center"/>
          </w:tcPr>
          <w:p>
            <w:pPr>
              <w:pStyle w:val="16"/>
            </w:pPr>
            <w:r>
              <w:rPr>
                <w:rFonts w:hint="eastAsia"/>
              </w:rPr>
              <w:t>机关事业单位基本养老保险缴费支出</w:t>
            </w:r>
          </w:p>
        </w:tc>
        <w:tc>
          <w:tcPr>
            <w:tcW w:w="1361" w:type="dxa"/>
            <w:vAlign w:val="center"/>
          </w:tcPr>
          <w:p>
            <w:pPr>
              <w:pStyle w:val="15"/>
            </w:pPr>
            <w:r>
              <w:t>103.61</w:t>
            </w:r>
          </w:p>
        </w:tc>
        <w:tc>
          <w:tcPr>
            <w:tcW w:w="1361" w:type="dxa"/>
            <w:vAlign w:val="center"/>
          </w:tcPr>
          <w:p>
            <w:pPr>
              <w:pStyle w:val="15"/>
            </w:pPr>
            <w:r>
              <w:t>103.61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992" w:type="dxa"/>
            <w:vAlign w:val="center"/>
          </w:tcPr>
          <w:p>
            <w:pPr>
              <w:pStyle w:val="16"/>
            </w:pPr>
            <w:r>
              <w:t>2080506</w:t>
            </w:r>
          </w:p>
        </w:tc>
        <w:tc>
          <w:tcPr>
            <w:tcW w:w="4536" w:type="dxa"/>
            <w:vAlign w:val="center"/>
          </w:tcPr>
          <w:p>
            <w:pPr>
              <w:pStyle w:val="16"/>
            </w:pPr>
            <w:r>
              <w:rPr>
                <w:rFonts w:hint="eastAsia"/>
              </w:rPr>
              <w:t>机关事业单位职业年金缴费支出</w:t>
            </w:r>
          </w:p>
        </w:tc>
        <w:tc>
          <w:tcPr>
            <w:tcW w:w="1361" w:type="dxa"/>
            <w:vAlign w:val="center"/>
          </w:tcPr>
          <w:p>
            <w:pPr>
              <w:pStyle w:val="15"/>
            </w:pPr>
            <w:r>
              <w:t>51.81</w:t>
            </w:r>
          </w:p>
        </w:tc>
        <w:tc>
          <w:tcPr>
            <w:tcW w:w="1361" w:type="dxa"/>
            <w:vAlign w:val="center"/>
          </w:tcPr>
          <w:p>
            <w:pPr>
              <w:pStyle w:val="15"/>
            </w:pPr>
            <w:r>
              <w:t>51.81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6" w:type="dxa"/>
            <w:vAlign w:val="center"/>
          </w:tcPr>
          <w:p>
            <w:pPr>
              <w:pStyle w:val="16"/>
            </w:pPr>
            <w:r>
              <w:rPr>
                <w:rFonts w:hint="eastAsia"/>
              </w:rPr>
              <w:t>卫生健康支出</w:t>
            </w:r>
          </w:p>
        </w:tc>
        <w:tc>
          <w:tcPr>
            <w:tcW w:w="1361" w:type="dxa"/>
            <w:vAlign w:val="center"/>
          </w:tcPr>
          <w:p>
            <w:pPr>
              <w:pStyle w:val="15"/>
            </w:pPr>
            <w:r>
              <w:t>49.55</w:t>
            </w:r>
          </w:p>
        </w:tc>
        <w:tc>
          <w:tcPr>
            <w:tcW w:w="1361" w:type="dxa"/>
            <w:vAlign w:val="center"/>
          </w:tcPr>
          <w:p>
            <w:pPr>
              <w:pStyle w:val="15"/>
            </w:pPr>
            <w:r>
              <w:t>49.55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21012</w:t>
            </w:r>
          </w:p>
        </w:tc>
        <w:tc>
          <w:tcPr>
            <w:tcW w:w="4536" w:type="dxa"/>
            <w:vAlign w:val="center"/>
          </w:tcPr>
          <w:p>
            <w:pPr>
              <w:pStyle w:val="16"/>
            </w:pPr>
            <w:r>
              <w:rPr>
                <w:rFonts w:hint="eastAsia"/>
              </w:rPr>
              <w:t>财政对基本医疗保险基金的补助</w:t>
            </w:r>
          </w:p>
        </w:tc>
        <w:tc>
          <w:tcPr>
            <w:tcW w:w="1361" w:type="dxa"/>
            <w:vAlign w:val="center"/>
          </w:tcPr>
          <w:p>
            <w:pPr>
              <w:pStyle w:val="15"/>
            </w:pPr>
            <w:r>
              <w:t>49.55</w:t>
            </w:r>
          </w:p>
        </w:tc>
        <w:tc>
          <w:tcPr>
            <w:tcW w:w="1361" w:type="dxa"/>
            <w:vAlign w:val="center"/>
          </w:tcPr>
          <w:p>
            <w:pPr>
              <w:pStyle w:val="15"/>
            </w:pPr>
            <w:r>
              <w:t>49.55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2101201</w:t>
            </w:r>
          </w:p>
        </w:tc>
        <w:tc>
          <w:tcPr>
            <w:tcW w:w="4536" w:type="dxa"/>
            <w:vAlign w:val="center"/>
          </w:tcPr>
          <w:p>
            <w:pPr>
              <w:pStyle w:val="16"/>
            </w:pPr>
            <w:r>
              <w:rPr>
                <w:rFonts w:hint="eastAsia"/>
              </w:rPr>
              <w:t>财政对职工基本医疗保险基金的补助</w:t>
            </w:r>
          </w:p>
        </w:tc>
        <w:tc>
          <w:tcPr>
            <w:tcW w:w="1361" w:type="dxa"/>
            <w:vAlign w:val="center"/>
          </w:tcPr>
          <w:p>
            <w:pPr>
              <w:pStyle w:val="15"/>
            </w:pPr>
            <w:r>
              <w:t>49.55</w:t>
            </w:r>
          </w:p>
        </w:tc>
        <w:tc>
          <w:tcPr>
            <w:tcW w:w="1361" w:type="dxa"/>
            <w:vAlign w:val="center"/>
          </w:tcPr>
          <w:p>
            <w:pPr>
              <w:pStyle w:val="15"/>
            </w:pPr>
            <w:r>
              <w:t>49.55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992" w:type="dxa"/>
            <w:vAlign w:val="center"/>
          </w:tcPr>
          <w:p>
            <w:pPr>
              <w:pStyle w:val="16"/>
            </w:pPr>
            <w:r>
              <w:t>212</w:t>
            </w:r>
          </w:p>
        </w:tc>
        <w:tc>
          <w:tcPr>
            <w:tcW w:w="4536" w:type="dxa"/>
            <w:vAlign w:val="center"/>
          </w:tcPr>
          <w:p>
            <w:pPr>
              <w:pStyle w:val="16"/>
            </w:pPr>
            <w:r>
              <w:rPr>
                <w:rFonts w:hint="eastAsia"/>
              </w:rPr>
              <w:t>城乡社区支出</w:t>
            </w:r>
          </w:p>
        </w:tc>
        <w:tc>
          <w:tcPr>
            <w:tcW w:w="1361" w:type="dxa"/>
            <w:vAlign w:val="center"/>
          </w:tcPr>
          <w:p>
            <w:pPr>
              <w:pStyle w:val="15"/>
            </w:pPr>
            <w:r>
              <w:t>4829.00</w:t>
            </w:r>
          </w:p>
        </w:tc>
        <w:tc>
          <w:tcPr>
            <w:tcW w:w="1361" w:type="dxa"/>
            <w:vAlign w:val="center"/>
          </w:tcPr>
          <w:p>
            <w:pPr>
              <w:pStyle w:val="15"/>
            </w:pPr>
          </w:p>
        </w:tc>
        <w:tc>
          <w:tcPr>
            <w:tcW w:w="1361" w:type="dxa"/>
            <w:vAlign w:val="center"/>
          </w:tcPr>
          <w:p>
            <w:pPr>
              <w:pStyle w:val="15"/>
            </w:pPr>
            <w:r>
              <w:t>4829.00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21208</w:t>
            </w:r>
          </w:p>
        </w:tc>
        <w:tc>
          <w:tcPr>
            <w:tcW w:w="4536" w:type="dxa"/>
            <w:vAlign w:val="center"/>
          </w:tcPr>
          <w:p>
            <w:pPr>
              <w:pStyle w:val="16"/>
            </w:pPr>
            <w:r>
              <w:rPr>
                <w:rFonts w:hint="eastAsia"/>
              </w:rPr>
              <w:t>国有土地使用权出让收入安排的支出</w:t>
            </w:r>
          </w:p>
        </w:tc>
        <w:tc>
          <w:tcPr>
            <w:tcW w:w="1361" w:type="dxa"/>
            <w:vAlign w:val="center"/>
          </w:tcPr>
          <w:p>
            <w:pPr>
              <w:pStyle w:val="15"/>
            </w:pPr>
            <w:r>
              <w:t>4829.00</w:t>
            </w:r>
          </w:p>
        </w:tc>
        <w:tc>
          <w:tcPr>
            <w:tcW w:w="1361" w:type="dxa"/>
            <w:vAlign w:val="center"/>
          </w:tcPr>
          <w:p>
            <w:pPr>
              <w:pStyle w:val="15"/>
            </w:pPr>
          </w:p>
        </w:tc>
        <w:tc>
          <w:tcPr>
            <w:tcW w:w="1361" w:type="dxa"/>
            <w:vAlign w:val="center"/>
          </w:tcPr>
          <w:p>
            <w:pPr>
              <w:pStyle w:val="15"/>
            </w:pPr>
            <w:r>
              <w:t>4829.00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2120816</w:t>
            </w:r>
          </w:p>
        </w:tc>
        <w:tc>
          <w:tcPr>
            <w:tcW w:w="4536" w:type="dxa"/>
            <w:vAlign w:val="center"/>
          </w:tcPr>
          <w:p>
            <w:pPr>
              <w:pStyle w:val="16"/>
            </w:pPr>
            <w:r>
              <w:rPr>
                <w:rFonts w:hint="eastAsia"/>
              </w:rPr>
              <w:t>农业农村生态环境支出</w:t>
            </w:r>
          </w:p>
        </w:tc>
        <w:tc>
          <w:tcPr>
            <w:tcW w:w="1361" w:type="dxa"/>
            <w:vAlign w:val="center"/>
          </w:tcPr>
          <w:p>
            <w:pPr>
              <w:pStyle w:val="15"/>
            </w:pPr>
            <w:r>
              <w:t>4829.00</w:t>
            </w:r>
          </w:p>
        </w:tc>
        <w:tc>
          <w:tcPr>
            <w:tcW w:w="1361" w:type="dxa"/>
            <w:vAlign w:val="center"/>
          </w:tcPr>
          <w:p>
            <w:pPr>
              <w:pStyle w:val="15"/>
            </w:pPr>
          </w:p>
        </w:tc>
        <w:tc>
          <w:tcPr>
            <w:tcW w:w="1361" w:type="dxa"/>
            <w:vAlign w:val="center"/>
          </w:tcPr>
          <w:p>
            <w:pPr>
              <w:pStyle w:val="15"/>
            </w:pPr>
            <w:r>
              <w:t>4829.00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w:t>
            </w:r>
          </w:p>
        </w:tc>
        <w:tc>
          <w:tcPr>
            <w:tcW w:w="4536" w:type="dxa"/>
            <w:vAlign w:val="center"/>
          </w:tcPr>
          <w:p>
            <w:pPr>
              <w:pStyle w:val="16"/>
            </w:pPr>
            <w:r>
              <w:rPr>
                <w:rFonts w:hint="eastAsia"/>
              </w:rPr>
              <w:t>农林水支出</w:t>
            </w:r>
          </w:p>
        </w:tc>
        <w:tc>
          <w:tcPr>
            <w:tcW w:w="1361" w:type="dxa"/>
            <w:vAlign w:val="center"/>
          </w:tcPr>
          <w:p>
            <w:pPr>
              <w:pStyle w:val="15"/>
            </w:pPr>
            <w:r>
              <w:t>4094.39</w:t>
            </w:r>
          </w:p>
        </w:tc>
        <w:tc>
          <w:tcPr>
            <w:tcW w:w="1361" w:type="dxa"/>
            <w:vAlign w:val="center"/>
          </w:tcPr>
          <w:p>
            <w:pPr>
              <w:pStyle w:val="15"/>
            </w:pPr>
          </w:p>
        </w:tc>
        <w:tc>
          <w:tcPr>
            <w:tcW w:w="1361" w:type="dxa"/>
            <w:vAlign w:val="center"/>
          </w:tcPr>
          <w:p>
            <w:pPr>
              <w:pStyle w:val="15"/>
            </w:pPr>
            <w:r>
              <w:t>4094.39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992" w:type="dxa"/>
            <w:vAlign w:val="center"/>
          </w:tcPr>
          <w:p>
            <w:pPr>
              <w:pStyle w:val="16"/>
            </w:pPr>
            <w:r>
              <w:t>21301</w:t>
            </w:r>
          </w:p>
        </w:tc>
        <w:tc>
          <w:tcPr>
            <w:tcW w:w="4536" w:type="dxa"/>
            <w:vAlign w:val="center"/>
          </w:tcPr>
          <w:p>
            <w:pPr>
              <w:pStyle w:val="16"/>
            </w:pPr>
            <w:r>
              <w:rPr>
                <w:rFonts w:hint="eastAsia"/>
              </w:rPr>
              <w:t>农业农村</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2130199</w:t>
            </w:r>
          </w:p>
        </w:tc>
        <w:tc>
          <w:tcPr>
            <w:tcW w:w="4536" w:type="dxa"/>
            <w:vAlign w:val="center"/>
          </w:tcPr>
          <w:p>
            <w:pPr>
              <w:pStyle w:val="16"/>
            </w:pPr>
            <w:r>
              <w:rPr>
                <w:rFonts w:hint="eastAsia"/>
              </w:rPr>
              <w:t>其他农业农村支出</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21305</w:t>
            </w:r>
          </w:p>
        </w:tc>
        <w:tc>
          <w:tcPr>
            <w:tcW w:w="4536" w:type="dxa"/>
            <w:vAlign w:val="center"/>
          </w:tcPr>
          <w:p>
            <w:pPr>
              <w:pStyle w:val="16"/>
            </w:pPr>
            <w:r>
              <w:rPr>
                <w:rFonts w:hint="eastAsia"/>
                <w:lang w:eastAsia="zh"/>
              </w:rPr>
              <w:t>巩固拓展脱贫攻坚成果</w:t>
            </w:r>
            <w:r>
              <w:rPr>
                <w:rFonts w:hint="eastAsia"/>
              </w:rPr>
              <w:t>衔接乡村振兴</w:t>
            </w:r>
          </w:p>
        </w:tc>
        <w:tc>
          <w:tcPr>
            <w:tcW w:w="1361" w:type="dxa"/>
            <w:vAlign w:val="center"/>
          </w:tcPr>
          <w:p>
            <w:pPr>
              <w:pStyle w:val="15"/>
            </w:pPr>
            <w:r>
              <w:t>2990.39</w:t>
            </w:r>
          </w:p>
        </w:tc>
        <w:tc>
          <w:tcPr>
            <w:tcW w:w="1361" w:type="dxa"/>
            <w:vAlign w:val="center"/>
          </w:tcPr>
          <w:p>
            <w:pPr>
              <w:pStyle w:val="15"/>
            </w:pPr>
          </w:p>
        </w:tc>
        <w:tc>
          <w:tcPr>
            <w:tcW w:w="1361" w:type="dxa"/>
            <w:vAlign w:val="center"/>
          </w:tcPr>
          <w:p>
            <w:pPr>
              <w:pStyle w:val="15"/>
            </w:pPr>
            <w:r>
              <w:t>2990.39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2130599</w:t>
            </w:r>
          </w:p>
        </w:tc>
        <w:tc>
          <w:tcPr>
            <w:tcW w:w="4536" w:type="dxa"/>
            <w:vAlign w:val="center"/>
          </w:tcPr>
          <w:p>
            <w:pPr>
              <w:pStyle w:val="16"/>
            </w:pPr>
            <w:r>
              <w:rPr>
                <w:rFonts w:hint="eastAsia"/>
              </w:rPr>
              <w:t>其他</w:t>
            </w:r>
            <w:r>
              <w:rPr>
                <w:rFonts w:hint="eastAsia"/>
                <w:lang w:eastAsia="zh"/>
              </w:rPr>
              <w:t>巩固拓展脱贫攻坚成果</w:t>
            </w:r>
            <w:r>
              <w:rPr>
                <w:rFonts w:hint="eastAsia"/>
              </w:rPr>
              <w:t>衔接乡村振兴支出</w:t>
            </w:r>
          </w:p>
        </w:tc>
        <w:tc>
          <w:tcPr>
            <w:tcW w:w="1361" w:type="dxa"/>
            <w:vAlign w:val="center"/>
          </w:tcPr>
          <w:p>
            <w:pPr>
              <w:pStyle w:val="15"/>
            </w:pPr>
            <w:r>
              <w:t>2990.39</w:t>
            </w:r>
          </w:p>
        </w:tc>
        <w:tc>
          <w:tcPr>
            <w:tcW w:w="1361" w:type="dxa"/>
            <w:vAlign w:val="center"/>
          </w:tcPr>
          <w:p>
            <w:pPr>
              <w:pStyle w:val="15"/>
            </w:pPr>
          </w:p>
        </w:tc>
        <w:tc>
          <w:tcPr>
            <w:tcW w:w="1361" w:type="dxa"/>
            <w:vAlign w:val="center"/>
          </w:tcPr>
          <w:p>
            <w:pPr>
              <w:pStyle w:val="15"/>
            </w:pPr>
            <w:r>
              <w:t>2990.39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992" w:type="dxa"/>
            <w:vAlign w:val="center"/>
          </w:tcPr>
          <w:p>
            <w:pPr>
              <w:pStyle w:val="16"/>
            </w:pPr>
            <w:r>
              <w:t>21307</w:t>
            </w:r>
          </w:p>
        </w:tc>
        <w:tc>
          <w:tcPr>
            <w:tcW w:w="4536" w:type="dxa"/>
            <w:vAlign w:val="center"/>
          </w:tcPr>
          <w:p>
            <w:pPr>
              <w:pStyle w:val="16"/>
            </w:pPr>
            <w:r>
              <w:rPr>
                <w:rFonts w:hint="eastAsia"/>
              </w:rPr>
              <w:t>农村综合改革</w:t>
            </w:r>
          </w:p>
        </w:tc>
        <w:tc>
          <w:tcPr>
            <w:tcW w:w="1361" w:type="dxa"/>
            <w:vAlign w:val="center"/>
          </w:tcPr>
          <w:p>
            <w:pPr>
              <w:pStyle w:val="15"/>
            </w:pPr>
            <w:r>
              <w:t>1094.00</w:t>
            </w:r>
          </w:p>
        </w:tc>
        <w:tc>
          <w:tcPr>
            <w:tcW w:w="1361" w:type="dxa"/>
            <w:vAlign w:val="center"/>
          </w:tcPr>
          <w:p>
            <w:pPr>
              <w:pStyle w:val="15"/>
            </w:pPr>
          </w:p>
        </w:tc>
        <w:tc>
          <w:tcPr>
            <w:tcW w:w="1361" w:type="dxa"/>
            <w:vAlign w:val="center"/>
          </w:tcPr>
          <w:p>
            <w:pPr>
              <w:pStyle w:val="15"/>
            </w:pPr>
            <w:r>
              <w:t>1094.00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2130799</w:t>
            </w:r>
          </w:p>
        </w:tc>
        <w:tc>
          <w:tcPr>
            <w:tcW w:w="4536" w:type="dxa"/>
            <w:vAlign w:val="center"/>
          </w:tcPr>
          <w:p>
            <w:pPr>
              <w:pStyle w:val="16"/>
            </w:pPr>
            <w:r>
              <w:rPr>
                <w:rFonts w:hint="eastAsia"/>
              </w:rPr>
              <w:t>其他农村综合改革支出</w:t>
            </w:r>
          </w:p>
        </w:tc>
        <w:tc>
          <w:tcPr>
            <w:tcW w:w="1361" w:type="dxa"/>
            <w:vAlign w:val="center"/>
          </w:tcPr>
          <w:p>
            <w:pPr>
              <w:pStyle w:val="15"/>
            </w:pPr>
            <w:r>
              <w:t>1094.00</w:t>
            </w:r>
          </w:p>
        </w:tc>
        <w:tc>
          <w:tcPr>
            <w:tcW w:w="1361" w:type="dxa"/>
            <w:vAlign w:val="center"/>
          </w:tcPr>
          <w:p>
            <w:pPr>
              <w:pStyle w:val="15"/>
            </w:pPr>
          </w:p>
        </w:tc>
        <w:tc>
          <w:tcPr>
            <w:tcW w:w="1361" w:type="dxa"/>
            <w:vAlign w:val="center"/>
          </w:tcPr>
          <w:p>
            <w:pPr>
              <w:pStyle w:val="15"/>
            </w:pPr>
            <w:r>
              <w:t>1094.00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318</w:t>
            </w:r>
            <w:r>
              <w:rPr>
                <w:rFonts w:hint="eastAsia"/>
              </w:rPr>
              <w:t>魏县财政局</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rPr>
                <w:lang w:eastAsia="zh-CN"/>
              </w:rPr>
            </w:pPr>
            <w:r>
              <w:rPr>
                <w:rFonts w:hint="eastAsia"/>
                <w:lang w:eastAsia="zh-CN"/>
              </w:rPr>
              <w:t>6743.07</w:t>
            </w:r>
          </w:p>
        </w:tc>
        <w:tc>
          <w:tcPr>
            <w:tcW w:w="3402" w:type="dxa"/>
            <w:vAlign w:val="center"/>
          </w:tcPr>
          <w:p>
            <w:pPr>
              <w:pStyle w:val="16"/>
            </w:pPr>
            <w:r>
              <w:rPr>
                <w:rFonts w:hint="eastAsia"/>
              </w:rPr>
              <w:t>一、一般公共服务支出</w:t>
            </w:r>
          </w:p>
        </w:tc>
        <w:tc>
          <w:tcPr>
            <w:tcW w:w="1474" w:type="dxa"/>
            <w:vAlign w:val="center"/>
          </w:tcPr>
          <w:p>
            <w:pPr>
              <w:pStyle w:val="15"/>
            </w:pPr>
            <w:r>
              <w:t>2389.45</w:t>
            </w:r>
          </w:p>
        </w:tc>
        <w:tc>
          <w:tcPr>
            <w:tcW w:w="1474" w:type="dxa"/>
            <w:vAlign w:val="center"/>
          </w:tcPr>
          <w:p>
            <w:pPr>
              <w:pStyle w:val="15"/>
            </w:pPr>
            <w:r>
              <w:t>2389.45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rPr>
                <w:rFonts w:hint="eastAsia"/>
                <w:lang w:eastAsia="zh-CN"/>
              </w:rPr>
              <w:t>4829</w:t>
            </w:r>
            <w:r>
              <w:t>.00</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209.68</w:t>
            </w:r>
          </w:p>
        </w:tc>
        <w:tc>
          <w:tcPr>
            <w:tcW w:w="1474" w:type="dxa"/>
            <w:vAlign w:val="center"/>
          </w:tcPr>
          <w:p>
            <w:pPr>
              <w:pStyle w:val="15"/>
            </w:pPr>
            <w:r>
              <w:t>209.68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49.55</w:t>
            </w:r>
          </w:p>
        </w:tc>
        <w:tc>
          <w:tcPr>
            <w:tcW w:w="1474" w:type="dxa"/>
            <w:vAlign w:val="center"/>
          </w:tcPr>
          <w:p>
            <w:pPr>
              <w:pStyle w:val="15"/>
            </w:pPr>
            <w:r>
              <w:t>49.55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r>
              <w:t>4829.00</w:t>
            </w:r>
          </w:p>
        </w:tc>
        <w:tc>
          <w:tcPr>
            <w:tcW w:w="1474" w:type="dxa"/>
            <w:vAlign w:val="center"/>
          </w:tcPr>
          <w:p>
            <w:pPr>
              <w:pStyle w:val="15"/>
            </w:pPr>
          </w:p>
        </w:tc>
        <w:tc>
          <w:tcPr>
            <w:tcW w:w="1474" w:type="dxa"/>
            <w:vAlign w:val="center"/>
          </w:tcPr>
          <w:p>
            <w:pPr>
              <w:pStyle w:val="15"/>
            </w:pPr>
            <w:r>
              <w:t>4829.00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4094.39</w:t>
            </w:r>
          </w:p>
        </w:tc>
        <w:tc>
          <w:tcPr>
            <w:tcW w:w="1474" w:type="dxa"/>
            <w:vAlign w:val="center"/>
          </w:tcPr>
          <w:p>
            <w:pPr>
              <w:pStyle w:val="15"/>
            </w:pPr>
            <w:r>
              <w:t>4094.39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rPr>
                <w:rFonts w:hint="eastAsia"/>
                <w:lang w:eastAsia="zh-CN"/>
              </w:rPr>
              <w:t>11572</w:t>
            </w:r>
            <w:r>
              <w:t>.07</w:t>
            </w:r>
          </w:p>
        </w:tc>
        <w:tc>
          <w:tcPr>
            <w:tcW w:w="3402" w:type="dxa"/>
            <w:vAlign w:val="center"/>
          </w:tcPr>
          <w:p>
            <w:pPr>
              <w:pStyle w:val="18"/>
            </w:pPr>
            <w:r>
              <w:rPr>
                <w:rFonts w:hint="eastAsia"/>
              </w:rPr>
              <w:t>本年支出合计</w:t>
            </w:r>
          </w:p>
        </w:tc>
        <w:tc>
          <w:tcPr>
            <w:tcW w:w="1474" w:type="dxa"/>
            <w:vAlign w:val="center"/>
          </w:tcPr>
          <w:p>
            <w:pPr>
              <w:pStyle w:val="19"/>
            </w:pPr>
            <w:r>
              <w:rPr>
                <w:rFonts w:hint="eastAsia"/>
                <w:lang w:eastAsia="zh-CN"/>
              </w:rPr>
              <w:t>11572</w:t>
            </w:r>
            <w:r>
              <w:t>.07</w:t>
            </w:r>
          </w:p>
        </w:tc>
        <w:tc>
          <w:tcPr>
            <w:tcW w:w="1474" w:type="dxa"/>
            <w:vAlign w:val="center"/>
          </w:tcPr>
          <w:p>
            <w:pPr>
              <w:pStyle w:val="19"/>
            </w:pPr>
            <w:r>
              <w:rPr>
                <w:rFonts w:hint="eastAsia"/>
                <w:lang w:eastAsia="zh-CN"/>
              </w:rPr>
              <w:t>6743</w:t>
            </w:r>
            <w:r>
              <w:t>.07</w:t>
            </w:r>
          </w:p>
        </w:tc>
        <w:tc>
          <w:tcPr>
            <w:tcW w:w="1474" w:type="dxa"/>
            <w:vAlign w:val="center"/>
          </w:tcPr>
          <w:p>
            <w:pPr>
              <w:pStyle w:val="19"/>
              <w:rPr>
                <w:lang w:eastAsia="zh-CN"/>
              </w:rPr>
            </w:pPr>
            <w:r>
              <w:rPr>
                <w:rFonts w:hint="eastAsia"/>
                <w:lang w:eastAsia="zh-CN"/>
              </w:rPr>
              <w:t>4829.00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rPr>
                <w:rFonts w:hint="eastAsia"/>
                <w:lang w:eastAsia="zh-CN"/>
              </w:rPr>
              <w:t>11572</w:t>
            </w:r>
            <w:r>
              <w:t>.07</w:t>
            </w:r>
          </w:p>
        </w:tc>
        <w:tc>
          <w:tcPr>
            <w:tcW w:w="3402" w:type="dxa"/>
            <w:vAlign w:val="center"/>
          </w:tcPr>
          <w:p>
            <w:pPr>
              <w:pStyle w:val="18"/>
            </w:pPr>
            <w:r>
              <w:rPr>
                <w:rFonts w:hint="eastAsia"/>
              </w:rPr>
              <w:t>支出总计</w:t>
            </w:r>
          </w:p>
        </w:tc>
        <w:tc>
          <w:tcPr>
            <w:tcW w:w="1474" w:type="dxa"/>
            <w:vAlign w:val="center"/>
          </w:tcPr>
          <w:p>
            <w:pPr>
              <w:pStyle w:val="19"/>
            </w:pPr>
            <w:r>
              <w:rPr>
                <w:rFonts w:hint="eastAsia"/>
                <w:lang w:eastAsia="zh-CN"/>
              </w:rPr>
              <w:t>11572</w:t>
            </w:r>
            <w:r>
              <w:t>.07</w:t>
            </w:r>
          </w:p>
        </w:tc>
        <w:tc>
          <w:tcPr>
            <w:tcW w:w="1474" w:type="dxa"/>
            <w:vAlign w:val="center"/>
          </w:tcPr>
          <w:p>
            <w:pPr>
              <w:pStyle w:val="19"/>
            </w:pPr>
            <w:r>
              <w:rPr>
                <w:rFonts w:hint="eastAsia"/>
                <w:lang w:eastAsia="zh-CN"/>
              </w:rPr>
              <w:t>6743</w:t>
            </w:r>
            <w:r>
              <w:t>.07</w:t>
            </w:r>
          </w:p>
        </w:tc>
        <w:tc>
          <w:tcPr>
            <w:tcW w:w="1474" w:type="dxa"/>
            <w:vAlign w:val="center"/>
          </w:tcPr>
          <w:p>
            <w:pPr>
              <w:pStyle w:val="19"/>
              <w:rPr>
                <w:lang w:eastAsia="zh-CN"/>
              </w:rPr>
            </w:pPr>
            <w:r>
              <w:rPr>
                <w:rFonts w:hint="eastAsia"/>
                <w:lang w:eastAsia="zh-CN"/>
              </w:rPr>
              <w:t>4829.00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w:t>
            </w:r>
            <w:r>
              <w:rPr>
                <w:rFonts w:hint="eastAsia"/>
              </w:rPr>
              <w:t>魏县财政局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rPr>
                <w:rFonts w:hint="eastAsia"/>
                <w:lang w:eastAsia="zh-CN"/>
              </w:rPr>
              <w:t>11572</w:t>
            </w:r>
            <w:r>
              <w:t>.07</w:t>
            </w:r>
          </w:p>
        </w:tc>
        <w:tc>
          <w:tcPr>
            <w:tcW w:w="2551" w:type="dxa"/>
            <w:vAlign w:val="center"/>
          </w:tcPr>
          <w:p>
            <w:pPr>
              <w:pStyle w:val="19"/>
            </w:pPr>
            <w:r>
              <w:t>1700.53</w:t>
            </w:r>
          </w:p>
        </w:tc>
        <w:tc>
          <w:tcPr>
            <w:tcW w:w="2551" w:type="dxa"/>
            <w:vAlign w:val="center"/>
          </w:tcPr>
          <w:p>
            <w:pPr>
              <w:pStyle w:val="19"/>
            </w:pPr>
            <w:r>
              <w:rPr>
                <w:rFonts w:hint="eastAsia"/>
                <w:lang w:eastAsia="zh-CN"/>
              </w:rPr>
              <w:t>9871</w:t>
            </w:r>
            <w: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2389.45</w:t>
            </w:r>
          </w:p>
        </w:tc>
        <w:tc>
          <w:tcPr>
            <w:tcW w:w="2551" w:type="dxa"/>
            <w:vAlign w:val="center"/>
          </w:tcPr>
          <w:p>
            <w:pPr>
              <w:pStyle w:val="15"/>
            </w:pPr>
            <w:r>
              <w:t>1441.30</w:t>
            </w:r>
          </w:p>
        </w:tc>
        <w:tc>
          <w:tcPr>
            <w:tcW w:w="2551" w:type="dxa"/>
            <w:vAlign w:val="center"/>
          </w:tcPr>
          <w:p>
            <w:pPr>
              <w:pStyle w:val="15"/>
            </w:pPr>
            <w:r>
              <w:t>948.15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20106</w:t>
            </w:r>
          </w:p>
        </w:tc>
        <w:tc>
          <w:tcPr>
            <w:tcW w:w="4535" w:type="dxa"/>
            <w:vAlign w:val="center"/>
          </w:tcPr>
          <w:p>
            <w:pPr>
              <w:pStyle w:val="16"/>
            </w:pPr>
            <w:r>
              <w:rPr>
                <w:rFonts w:hint="eastAsia"/>
              </w:rPr>
              <w:t>财政事务</w:t>
            </w:r>
          </w:p>
        </w:tc>
        <w:tc>
          <w:tcPr>
            <w:tcW w:w="2551" w:type="dxa"/>
            <w:vAlign w:val="center"/>
          </w:tcPr>
          <w:p>
            <w:pPr>
              <w:pStyle w:val="15"/>
            </w:pPr>
            <w:r>
              <w:t>2389.45</w:t>
            </w:r>
          </w:p>
        </w:tc>
        <w:tc>
          <w:tcPr>
            <w:tcW w:w="2551" w:type="dxa"/>
            <w:vAlign w:val="center"/>
          </w:tcPr>
          <w:p>
            <w:pPr>
              <w:pStyle w:val="15"/>
            </w:pPr>
            <w:r>
              <w:t>1441.30</w:t>
            </w:r>
          </w:p>
        </w:tc>
        <w:tc>
          <w:tcPr>
            <w:tcW w:w="2551" w:type="dxa"/>
            <w:vAlign w:val="center"/>
          </w:tcPr>
          <w:p>
            <w:pPr>
              <w:pStyle w:val="15"/>
            </w:pPr>
            <w:r>
              <w:t>948.15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2010601</w:t>
            </w:r>
          </w:p>
        </w:tc>
        <w:tc>
          <w:tcPr>
            <w:tcW w:w="4535" w:type="dxa"/>
            <w:vAlign w:val="center"/>
          </w:tcPr>
          <w:p>
            <w:pPr>
              <w:pStyle w:val="16"/>
            </w:pPr>
            <w:r>
              <w:rPr>
                <w:rFonts w:hint="eastAsia"/>
              </w:rPr>
              <w:t>行政运行</w:t>
            </w:r>
          </w:p>
        </w:tc>
        <w:tc>
          <w:tcPr>
            <w:tcW w:w="2551" w:type="dxa"/>
            <w:vAlign w:val="center"/>
          </w:tcPr>
          <w:p>
            <w:pPr>
              <w:pStyle w:val="15"/>
            </w:pPr>
            <w:r>
              <w:t>1561.30</w:t>
            </w:r>
          </w:p>
        </w:tc>
        <w:tc>
          <w:tcPr>
            <w:tcW w:w="2551" w:type="dxa"/>
            <w:vAlign w:val="center"/>
          </w:tcPr>
          <w:p>
            <w:pPr>
              <w:pStyle w:val="15"/>
            </w:pPr>
            <w:r>
              <w:t>1441.30</w:t>
            </w:r>
          </w:p>
        </w:tc>
        <w:tc>
          <w:tcPr>
            <w:tcW w:w="2551"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2010602</w:t>
            </w:r>
          </w:p>
        </w:tc>
        <w:tc>
          <w:tcPr>
            <w:tcW w:w="4535" w:type="dxa"/>
            <w:vAlign w:val="center"/>
          </w:tcPr>
          <w:p>
            <w:pPr>
              <w:pStyle w:val="16"/>
            </w:pPr>
            <w:r>
              <w:rPr>
                <w:rFonts w:hint="eastAsia"/>
              </w:rPr>
              <w:t>一般行政管理事务</w:t>
            </w:r>
          </w:p>
        </w:tc>
        <w:tc>
          <w:tcPr>
            <w:tcW w:w="2551" w:type="dxa"/>
            <w:vAlign w:val="center"/>
          </w:tcPr>
          <w:p>
            <w:pPr>
              <w:pStyle w:val="15"/>
            </w:pPr>
            <w:r>
              <w:t>328.15</w:t>
            </w:r>
          </w:p>
        </w:tc>
        <w:tc>
          <w:tcPr>
            <w:tcW w:w="2551" w:type="dxa"/>
            <w:vAlign w:val="center"/>
          </w:tcPr>
          <w:p>
            <w:pPr>
              <w:pStyle w:val="15"/>
            </w:pPr>
          </w:p>
        </w:tc>
        <w:tc>
          <w:tcPr>
            <w:tcW w:w="2551" w:type="dxa"/>
            <w:vAlign w:val="center"/>
          </w:tcPr>
          <w:p>
            <w:pPr>
              <w:pStyle w:val="15"/>
            </w:pPr>
            <w:r>
              <w:t>328.15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2010607</w:t>
            </w:r>
          </w:p>
        </w:tc>
        <w:tc>
          <w:tcPr>
            <w:tcW w:w="4535" w:type="dxa"/>
            <w:vAlign w:val="center"/>
          </w:tcPr>
          <w:p>
            <w:pPr>
              <w:pStyle w:val="16"/>
            </w:pPr>
            <w:r>
              <w:rPr>
                <w:rFonts w:hint="eastAsia"/>
              </w:rPr>
              <w:t>信息化建设</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2010699</w:t>
            </w:r>
          </w:p>
        </w:tc>
        <w:tc>
          <w:tcPr>
            <w:tcW w:w="4535" w:type="dxa"/>
            <w:vAlign w:val="center"/>
          </w:tcPr>
          <w:p>
            <w:pPr>
              <w:pStyle w:val="16"/>
            </w:pPr>
            <w:r>
              <w:rPr>
                <w:rFonts w:hint="eastAsia"/>
              </w:rPr>
              <w:t>其他财政事务支出</w:t>
            </w:r>
          </w:p>
        </w:tc>
        <w:tc>
          <w:tcPr>
            <w:tcW w:w="2551" w:type="dxa"/>
            <w:vAlign w:val="center"/>
          </w:tcPr>
          <w:p>
            <w:pPr>
              <w:pStyle w:val="15"/>
            </w:pPr>
            <w:r>
              <w:t>485.00</w:t>
            </w:r>
          </w:p>
        </w:tc>
        <w:tc>
          <w:tcPr>
            <w:tcW w:w="2551" w:type="dxa"/>
            <w:vAlign w:val="center"/>
          </w:tcPr>
          <w:p>
            <w:pPr>
              <w:pStyle w:val="15"/>
            </w:pPr>
          </w:p>
        </w:tc>
        <w:tc>
          <w:tcPr>
            <w:tcW w:w="2551" w:type="dxa"/>
            <w:vAlign w:val="center"/>
          </w:tcPr>
          <w:p>
            <w:pPr>
              <w:pStyle w:val="15"/>
            </w:pPr>
            <w:r>
              <w:t>485.00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209.68</w:t>
            </w:r>
          </w:p>
        </w:tc>
        <w:tc>
          <w:tcPr>
            <w:tcW w:w="2551" w:type="dxa"/>
            <w:vAlign w:val="center"/>
          </w:tcPr>
          <w:p>
            <w:pPr>
              <w:pStyle w:val="15"/>
            </w:pPr>
            <w:r>
              <w:t>209.68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209.68</w:t>
            </w:r>
          </w:p>
        </w:tc>
        <w:tc>
          <w:tcPr>
            <w:tcW w:w="2551" w:type="dxa"/>
            <w:vAlign w:val="center"/>
          </w:tcPr>
          <w:p>
            <w:pPr>
              <w:pStyle w:val="15"/>
            </w:pPr>
            <w:r>
              <w:t>209.68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54.26</w:t>
            </w:r>
          </w:p>
        </w:tc>
        <w:tc>
          <w:tcPr>
            <w:tcW w:w="2551" w:type="dxa"/>
            <w:vAlign w:val="center"/>
          </w:tcPr>
          <w:p>
            <w:pPr>
              <w:pStyle w:val="15"/>
            </w:pPr>
            <w:r>
              <w:t>54.26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103.61</w:t>
            </w:r>
          </w:p>
        </w:tc>
        <w:tc>
          <w:tcPr>
            <w:tcW w:w="2551" w:type="dxa"/>
            <w:vAlign w:val="center"/>
          </w:tcPr>
          <w:p>
            <w:pPr>
              <w:pStyle w:val="15"/>
            </w:pPr>
            <w:r>
              <w:t>103.61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51.81</w:t>
            </w:r>
          </w:p>
        </w:tc>
        <w:tc>
          <w:tcPr>
            <w:tcW w:w="2551" w:type="dxa"/>
            <w:vAlign w:val="center"/>
          </w:tcPr>
          <w:p>
            <w:pPr>
              <w:pStyle w:val="15"/>
            </w:pPr>
            <w:r>
              <w:t>51.81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49.55</w:t>
            </w:r>
          </w:p>
        </w:tc>
        <w:tc>
          <w:tcPr>
            <w:tcW w:w="2551" w:type="dxa"/>
            <w:vAlign w:val="center"/>
          </w:tcPr>
          <w:p>
            <w:pPr>
              <w:pStyle w:val="15"/>
            </w:pPr>
            <w:r>
              <w:t>49.55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21012</w:t>
            </w:r>
          </w:p>
        </w:tc>
        <w:tc>
          <w:tcPr>
            <w:tcW w:w="4535" w:type="dxa"/>
            <w:vAlign w:val="center"/>
          </w:tcPr>
          <w:p>
            <w:pPr>
              <w:pStyle w:val="16"/>
            </w:pPr>
            <w:r>
              <w:rPr>
                <w:rFonts w:hint="eastAsia"/>
              </w:rPr>
              <w:t>财政对基本医疗保险基金的补助</w:t>
            </w:r>
          </w:p>
        </w:tc>
        <w:tc>
          <w:tcPr>
            <w:tcW w:w="2551" w:type="dxa"/>
            <w:vAlign w:val="center"/>
          </w:tcPr>
          <w:p>
            <w:pPr>
              <w:pStyle w:val="15"/>
            </w:pPr>
            <w:r>
              <w:t>49.55</w:t>
            </w:r>
          </w:p>
        </w:tc>
        <w:tc>
          <w:tcPr>
            <w:tcW w:w="2551" w:type="dxa"/>
            <w:vAlign w:val="center"/>
          </w:tcPr>
          <w:p>
            <w:pPr>
              <w:pStyle w:val="15"/>
            </w:pPr>
            <w:r>
              <w:t>49.55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2101201</w:t>
            </w:r>
          </w:p>
        </w:tc>
        <w:tc>
          <w:tcPr>
            <w:tcW w:w="4535" w:type="dxa"/>
            <w:vAlign w:val="center"/>
          </w:tcPr>
          <w:p>
            <w:pPr>
              <w:pStyle w:val="16"/>
            </w:pPr>
            <w:r>
              <w:rPr>
                <w:rFonts w:hint="eastAsia"/>
              </w:rPr>
              <w:t>财政对职工基本医疗保险基金的补助</w:t>
            </w:r>
          </w:p>
        </w:tc>
        <w:tc>
          <w:tcPr>
            <w:tcW w:w="2551" w:type="dxa"/>
            <w:vAlign w:val="center"/>
          </w:tcPr>
          <w:p>
            <w:pPr>
              <w:pStyle w:val="15"/>
            </w:pPr>
            <w:r>
              <w:t>49.55</w:t>
            </w:r>
          </w:p>
        </w:tc>
        <w:tc>
          <w:tcPr>
            <w:tcW w:w="2551" w:type="dxa"/>
            <w:vAlign w:val="center"/>
          </w:tcPr>
          <w:p>
            <w:pPr>
              <w:pStyle w:val="15"/>
            </w:pPr>
            <w:r>
              <w:t>49.55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4094.39</w:t>
            </w:r>
          </w:p>
        </w:tc>
        <w:tc>
          <w:tcPr>
            <w:tcW w:w="2551" w:type="dxa"/>
            <w:vAlign w:val="center"/>
          </w:tcPr>
          <w:p>
            <w:pPr>
              <w:pStyle w:val="15"/>
            </w:pPr>
          </w:p>
        </w:tc>
        <w:tc>
          <w:tcPr>
            <w:tcW w:w="2551" w:type="dxa"/>
            <w:vAlign w:val="center"/>
          </w:tcPr>
          <w:p>
            <w:pPr>
              <w:pStyle w:val="15"/>
            </w:pPr>
            <w:r>
              <w:t>4094.39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21301</w:t>
            </w:r>
          </w:p>
        </w:tc>
        <w:tc>
          <w:tcPr>
            <w:tcW w:w="4535" w:type="dxa"/>
            <w:vAlign w:val="center"/>
          </w:tcPr>
          <w:p>
            <w:pPr>
              <w:pStyle w:val="16"/>
            </w:pPr>
            <w:r>
              <w:rPr>
                <w:rFonts w:hint="eastAsia"/>
              </w:rPr>
              <w:t>农业农村</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2130199</w:t>
            </w:r>
          </w:p>
        </w:tc>
        <w:tc>
          <w:tcPr>
            <w:tcW w:w="4535" w:type="dxa"/>
            <w:vAlign w:val="center"/>
          </w:tcPr>
          <w:p>
            <w:pPr>
              <w:pStyle w:val="16"/>
            </w:pPr>
            <w:r>
              <w:rPr>
                <w:rFonts w:hint="eastAsia"/>
              </w:rPr>
              <w:t>其他农业农村支出</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21305</w:t>
            </w:r>
          </w:p>
        </w:tc>
        <w:tc>
          <w:tcPr>
            <w:tcW w:w="4535" w:type="dxa"/>
            <w:vAlign w:val="center"/>
          </w:tcPr>
          <w:p>
            <w:pPr>
              <w:pStyle w:val="16"/>
            </w:pPr>
            <w:r>
              <w:rPr>
                <w:rFonts w:hint="eastAsia"/>
                <w:lang w:eastAsia="zh"/>
              </w:rPr>
              <w:t>巩固拓展脱贫攻坚成果</w:t>
            </w:r>
            <w:r>
              <w:rPr>
                <w:rFonts w:hint="eastAsia"/>
              </w:rPr>
              <w:t>衔接乡村振兴</w:t>
            </w:r>
          </w:p>
        </w:tc>
        <w:tc>
          <w:tcPr>
            <w:tcW w:w="2551" w:type="dxa"/>
            <w:vAlign w:val="center"/>
          </w:tcPr>
          <w:p>
            <w:pPr>
              <w:pStyle w:val="15"/>
            </w:pPr>
            <w:r>
              <w:t>2990.39</w:t>
            </w:r>
          </w:p>
        </w:tc>
        <w:tc>
          <w:tcPr>
            <w:tcW w:w="2551" w:type="dxa"/>
            <w:vAlign w:val="center"/>
          </w:tcPr>
          <w:p>
            <w:pPr>
              <w:pStyle w:val="15"/>
            </w:pPr>
          </w:p>
        </w:tc>
        <w:tc>
          <w:tcPr>
            <w:tcW w:w="2551" w:type="dxa"/>
            <w:vAlign w:val="center"/>
          </w:tcPr>
          <w:p>
            <w:pPr>
              <w:pStyle w:val="15"/>
            </w:pPr>
            <w:r>
              <w:t>2990.39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2130599</w:t>
            </w:r>
          </w:p>
        </w:tc>
        <w:tc>
          <w:tcPr>
            <w:tcW w:w="4535" w:type="dxa"/>
            <w:vAlign w:val="center"/>
          </w:tcPr>
          <w:p>
            <w:pPr>
              <w:pStyle w:val="16"/>
            </w:pPr>
            <w:r>
              <w:rPr>
                <w:rFonts w:hint="eastAsia"/>
              </w:rPr>
              <w:t>其他</w:t>
            </w:r>
            <w:r>
              <w:rPr>
                <w:rFonts w:hint="eastAsia"/>
                <w:lang w:eastAsia="zh"/>
              </w:rPr>
              <w:t>巩固拓展脱贫攻坚成果</w:t>
            </w:r>
            <w:r>
              <w:rPr>
                <w:rFonts w:hint="eastAsia"/>
              </w:rPr>
              <w:t>衔接乡村振兴支出</w:t>
            </w:r>
          </w:p>
        </w:tc>
        <w:tc>
          <w:tcPr>
            <w:tcW w:w="2551" w:type="dxa"/>
            <w:vAlign w:val="center"/>
          </w:tcPr>
          <w:p>
            <w:pPr>
              <w:pStyle w:val="15"/>
            </w:pPr>
            <w:r>
              <w:t>2990.39</w:t>
            </w:r>
          </w:p>
        </w:tc>
        <w:tc>
          <w:tcPr>
            <w:tcW w:w="2551" w:type="dxa"/>
            <w:vAlign w:val="center"/>
          </w:tcPr>
          <w:p>
            <w:pPr>
              <w:pStyle w:val="15"/>
            </w:pPr>
          </w:p>
        </w:tc>
        <w:tc>
          <w:tcPr>
            <w:tcW w:w="2551" w:type="dxa"/>
            <w:vAlign w:val="center"/>
          </w:tcPr>
          <w:p>
            <w:pPr>
              <w:pStyle w:val="15"/>
            </w:pPr>
            <w:r>
              <w:t>2990.39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21307</w:t>
            </w:r>
          </w:p>
        </w:tc>
        <w:tc>
          <w:tcPr>
            <w:tcW w:w="4535" w:type="dxa"/>
            <w:vAlign w:val="center"/>
          </w:tcPr>
          <w:p>
            <w:pPr>
              <w:pStyle w:val="16"/>
            </w:pPr>
            <w:r>
              <w:rPr>
                <w:rFonts w:hint="eastAsia"/>
              </w:rPr>
              <w:t>农村综合改革</w:t>
            </w:r>
          </w:p>
        </w:tc>
        <w:tc>
          <w:tcPr>
            <w:tcW w:w="2551" w:type="dxa"/>
            <w:vAlign w:val="center"/>
          </w:tcPr>
          <w:p>
            <w:pPr>
              <w:pStyle w:val="15"/>
            </w:pPr>
            <w:r>
              <w:t>1094.00</w:t>
            </w:r>
          </w:p>
        </w:tc>
        <w:tc>
          <w:tcPr>
            <w:tcW w:w="2551" w:type="dxa"/>
            <w:vAlign w:val="center"/>
          </w:tcPr>
          <w:p>
            <w:pPr>
              <w:pStyle w:val="15"/>
            </w:pPr>
          </w:p>
        </w:tc>
        <w:tc>
          <w:tcPr>
            <w:tcW w:w="2551" w:type="dxa"/>
            <w:vAlign w:val="center"/>
          </w:tcPr>
          <w:p>
            <w:pPr>
              <w:pStyle w:val="15"/>
            </w:pPr>
            <w:r>
              <w:t>1094.00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2130799</w:t>
            </w:r>
          </w:p>
        </w:tc>
        <w:tc>
          <w:tcPr>
            <w:tcW w:w="4535" w:type="dxa"/>
            <w:vAlign w:val="center"/>
          </w:tcPr>
          <w:p>
            <w:pPr>
              <w:pStyle w:val="16"/>
            </w:pPr>
            <w:r>
              <w:rPr>
                <w:rFonts w:hint="eastAsia"/>
              </w:rPr>
              <w:t>其他农村综合改革支出</w:t>
            </w:r>
          </w:p>
        </w:tc>
        <w:tc>
          <w:tcPr>
            <w:tcW w:w="2551" w:type="dxa"/>
            <w:vAlign w:val="center"/>
          </w:tcPr>
          <w:p>
            <w:pPr>
              <w:pStyle w:val="15"/>
            </w:pPr>
            <w:r>
              <w:t>1094.00</w:t>
            </w:r>
          </w:p>
        </w:tc>
        <w:tc>
          <w:tcPr>
            <w:tcW w:w="2551" w:type="dxa"/>
            <w:vAlign w:val="center"/>
          </w:tcPr>
          <w:p>
            <w:pPr>
              <w:pStyle w:val="15"/>
            </w:pPr>
          </w:p>
        </w:tc>
        <w:tc>
          <w:tcPr>
            <w:tcW w:w="2551" w:type="dxa"/>
            <w:vAlign w:val="center"/>
          </w:tcPr>
          <w:p>
            <w:pPr>
              <w:pStyle w:val="15"/>
            </w:pPr>
            <w:r>
              <w:t>1094.00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w:t>
            </w:r>
            <w:r>
              <w:rPr>
                <w:rFonts w:hint="eastAsia"/>
              </w:rPr>
              <w:t>魏县财政局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1700.53</w:t>
            </w:r>
          </w:p>
        </w:tc>
        <w:tc>
          <w:tcPr>
            <w:tcW w:w="2551" w:type="dxa"/>
            <w:vAlign w:val="center"/>
          </w:tcPr>
          <w:p>
            <w:pPr>
              <w:pStyle w:val="19"/>
            </w:pPr>
            <w:r>
              <w:t>1549.31</w:t>
            </w:r>
          </w:p>
        </w:tc>
        <w:tc>
          <w:tcPr>
            <w:tcW w:w="2551" w:type="dxa"/>
            <w:vAlign w:val="center"/>
          </w:tcPr>
          <w:p>
            <w:pPr>
              <w:pStyle w:val="19"/>
            </w:pPr>
            <w:r>
              <w:t>151.22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1485.06</w:t>
            </w:r>
          </w:p>
        </w:tc>
        <w:tc>
          <w:tcPr>
            <w:tcW w:w="2551" w:type="dxa"/>
            <w:vAlign w:val="center"/>
          </w:tcPr>
          <w:p>
            <w:pPr>
              <w:pStyle w:val="15"/>
            </w:pPr>
            <w:r>
              <w:t>1485.06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680.97</w:t>
            </w:r>
          </w:p>
        </w:tc>
        <w:tc>
          <w:tcPr>
            <w:tcW w:w="2551" w:type="dxa"/>
            <w:vAlign w:val="center"/>
          </w:tcPr>
          <w:p>
            <w:pPr>
              <w:pStyle w:val="15"/>
            </w:pPr>
            <w:r>
              <w:t>680.97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46.31</w:t>
            </w:r>
          </w:p>
        </w:tc>
        <w:tc>
          <w:tcPr>
            <w:tcW w:w="2551" w:type="dxa"/>
            <w:vAlign w:val="center"/>
          </w:tcPr>
          <w:p>
            <w:pPr>
              <w:pStyle w:val="15"/>
            </w:pPr>
            <w:r>
              <w:t>46.31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6.42</w:t>
            </w:r>
          </w:p>
        </w:tc>
        <w:tc>
          <w:tcPr>
            <w:tcW w:w="2551" w:type="dxa"/>
            <w:vAlign w:val="center"/>
          </w:tcPr>
          <w:p>
            <w:pPr>
              <w:pStyle w:val="15"/>
            </w:pPr>
            <w:r>
              <w:t>6.42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51.39</w:t>
            </w:r>
          </w:p>
        </w:tc>
        <w:tc>
          <w:tcPr>
            <w:tcW w:w="2551" w:type="dxa"/>
            <w:vAlign w:val="center"/>
          </w:tcPr>
          <w:p>
            <w:pPr>
              <w:pStyle w:val="15"/>
            </w:pPr>
            <w:r>
              <w:t>51.39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103.61</w:t>
            </w:r>
          </w:p>
        </w:tc>
        <w:tc>
          <w:tcPr>
            <w:tcW w:w="2551" w:type="dxa"/>
            <w:vAlign w:val="center"/>
          </w:tcPr>
          <w:p>
            <w:pPr>
              <w:pStyle w:val="15"/>
            </w:pPr>
            <w:r>
              <w:t>103.61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51.81</w:t>
            </w:r>
          </w:p>
        </w:tc>
        <w:tc>
          <w:tcPr>
            <w:tcW w:w="2551" w:type="dxa"/>
            <w:vAlign w:val="center"/>
          </w:tcPr>
          <w:p>
            <w:pPr>
              <w:pStyle w:val="15"/>
            </w:pPr>
            <w:r>
              <w:t>51.81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49.55</w:t>
            </w:r>
          </w:p>
        </w:tc>
        <w:tc>
          <w:tcPr>
            <w:tcW w:w="2551" w:type="dxa"/>
            <w:vAlign w:val="center"/>
          </w:tcPr>
          <w:p>
            <w:pPr>
              <w:pStyle w:val="15"/>
            </w:pPr>
            <w:r>
              <w:t>49.55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495.00</w:t>
            </w:r>
          </w:p>
        </w:tc>
        <w:tc>
          <w:tcPr>
            <w:tcW w:w="2551" w:type="dxa"/>
            <w:vAlign w:val="center"/>
          </w:tcPr>
          <w:p>
            <w:pPr>
              <w:pStyle w:val="15"/>
            </w:pPr>
            <w:r>
              <w:t>495.00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151.22</w:t>
            </w:r>
          </w:p>
        </w:tc>
        <w:tc>
          <w:tcPr>
            <w:tcW w:w="2551" w:type="dxa"/>
            <w:vAlign w:val="center"/>
          </w:tcPr>
          <w:p>
            <w:pPr>
              <w:pStyle w:val="15"/>
            </w:pPr>
          </w:p>
        </w:tc>
        <w:tc>
          <w:tcPr>
            <w:tcW w:w="2551" w:type="dxa"/>
            <w:vAlign w:val="center"/>
          </w:tcPr>
          <w:p>
            <w:pPr>
              <w:pStyle w:val="15"/>
            </w:pPr>
            <w:r>
              <w:t>151.22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68.95</w:t>
            </w:r>
          </w:p>
        </w:tc>
        <w:tc>
          <w:tcPr>
            <w:tcW w:w="2551" w:type="dxa"/>
            <w:vAlign w:val="center"/>
          </w:tcPr>
          <w:p>
            <w:pPr>
              <w:pStyle w:val="15"/>
            </w:pPr>
          </w:p>
        </w:tc>
        <w:tc>
          <w:tcPr>
            <w:tcW w:w="2551" w:type="dxa"/>
            <w:vAlign w:val="center"/>
          </w:tcPr>
          <w:p>
            <w:pPr>
              <w:pStyle w:val="15"/>
            </w:pPr>
            <w:r>
              <w:t>68.95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15.55</w:t>
            </w:r>
          </w:p>
        </w:tc>
        <w:tc>
          <w:tcPr>
            <w:tcW w:w="2551" w:type="dxa"/>
            <w:vAlign w:val="center"/>
          </w:tcPr>
          <w:p>
            <w:pPr>
              <w:pStyle w:val="15"/>
            </w:pPr>
          </w:p>
        </w:tc>
        <w:tc>
          <w:tcPr>
            <w:tcW w:w="2551" w:type="dxa"/>
            <w:vAlign w:val="center"/>
          </w:tcPr>
          <w:p>
            <w:pPr>
              <w:pStyle w:val="15"/>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14.52</w:t>
            </w:r>
          </w:p>
        </w:tc>
        <w:tc>
          <w:tcPr>
            <w:tcW w:w="2551" w:type="dxa"/>
            <w:vAlign w:val="center"/>
          </w:tcPr>
          <w:p>
            <w:pPr>
              <w:pStyle w:val="15"/>
            </w:pPr>
          </w:p>
        </w:tc>
        <w:tc>
          <w:tcPr>
            <w:tcW w:w="2551" w:type="dxa"/>
            <w:vAlign w:val="center"/>
          </w:tcPr>
          <w:p>
            <w:pPr>
              <w:pStyle w:val="15"/>
            </w:pPr>
            <w:r>
              <w:t>14.52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64.25</w:t>
            </w:r>
          </w:p>
        </w:tc>
        <w:tc>
          <w:tcPr>
            <w:tcW w:w="2551" w:type="dxa"/>
            <w:vAlign w:val="center"/>
          </w:tcPr>
          <w:p>
            <w:pPr>
              <w:pStyle w:val="15"/>
            </w:pPr>
            <w:r>
              <w:t>64.25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54.26</w:t>
            </w:r>
          </w:p>
        </w:tc>
        <w:tc>
          <w:tcPr>
            <w:tcW w:w="2551" w:type="dxa"/>
            <w:vAlign w:val="center"/>
          </w:tcPr>
          <w:p>
            <w:pPr>
              <w:pStyle w:val="15"/>
            </w:pPr>
            <w:r>
              <w:t>54.26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9.98</w:t>
            </w:r>
          </w:p>
        </w:tc>
        <w:tc>
          <w:tcPr>
            <w:tcW w:w="2551" w:type="dxa"/>
            <w:vAlign w:val="center"/>
          </w:tcPr>
          <w:p>
            <w:pPr>
              <w:pStyle w:val="15"/>
            </w:pPr>
            <w:r>
              <w:t>9.98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w:t>
            </w:r>
            <w:r>
              <w:rPr>
                <w:rFonts w:hint="eastAsia"/>
              </w:rPr>
              <w:t>魏县财政局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rPr>
                <w:rFonts w:hint="eastAsia"/>
                <w:lang w:eastAsia="zh-CN"/>
              </w:rPr>
              <w:t>4829</w:t>
            </w:r>
            <w:r>
              <w:t>.00</w:t>
            </w:r>
          </w:p>
        </w:tc>
        <w:tc>
          <w:tcPr>
            <w:tcW w:w="2551" w:type="dxa"/>
            <w:vAlign w:val="center"/>
          </w:tcPr>
          <w:p>
            <w:pPr>
              <w:pStyle w:val="19"/>
            </w:pPr>
          </w:p>
        </w:tc>
        <w:tc>
          <w:tcPr>
            <w:tcW w:w="2551" w:type="dxa"/>
            <w:vAlign w:val="center"/>
          </w:tcPr>
          <w:p>
            <w:pPr>
              <w:pStyle w:val="19"/>
            </w:pPr>
            <w:r>
              <w:rPr>
                <w:rFonts w:hint="eastAsia"/>
                <w:lang w:eastAsia="zh-CN"/>
              </w:rPr>
              <w:t>4829</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rPr>
                <w:rFonts w:hint="eastAsia"/>
              </w:rPr>
              <w:t>城乡社区支出</w:t>
            </w:r>
          </w:p>
        </w:tc>
        <w:tc>
          <w:tcPr>
            <w:tcW w:w="2551" w:type="dxa"/>
            <w:vAlign w:val="center"/>
          </w:tcPr>
          <w:p>
            <w:pPr>
              <w:pStyle w:val="15"/>
            </w:pPr>
            <w:r>
              <w:t>4829.00</w:t>
            </w:r>
          </w:p>
        </w:tc>
        <w:tc>
          <w:tcPr>
            <w:tcW w:w="2551" w:type="dxa"/>
            <w:vAlign w:val="center"/>
          </w:tcPr>
          <w:p>
            <w:pPr>
              <w:pStyle w:val="15"/>
            </w:pPr>
          </w:p>
        </w:tc>
        <w:tc>
          <w:tcPr>
            <w:tcW w:w="2551" w:type="dxa"/>
            <w:vAlign w:val="center"/>
          </w:tcPr>
          <w:p>
            <w:pPr>
              <w:pStyle w:val="15"/>
            </w:pPr>
            <w:r>
              <w:t>4829.00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2551" w:type="dxa"/>
            <w:vAlign w:val="center"/>
          </w:tcPr>
          <w:p>
            <w:pPr>
              <w:pStyle w:val="15"/>
            </w:pPr>
            <w:r>
              <w:t>4829.00</w:t>
            </w:r>
          </w:p>
        </w:tc>
        <w:tc>
          <w:tcPr>
            <w:tcW w:w="2551" w:type="dxa"/>
            <w:vAlign w:val="center"/>
          </w:tcPr>
          <w:p>
            <w:pPr>
              <w:pStyle w:val="15"/>
            </w:pPr>
          </w:p>
        </w:tc>
        <w:tc>
          <w:tcPr>
            <w:tcW w:w="2551" w:type="dxa"/>
            <w:vAlign w:val="center"/>
          </w:tcPr>
          <w:p>
            <w:pPr>
              <w:pStyle w:val="15"/>
            </w:pPr>
            <w:r>
              <w:t>4829.00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2120816</w:t>
            </w:r>
          </w:p>
        </w:tc>
        <w:tc>
          <w:tcPr>
            <w:tcW w:w="4535" w:type="dxa"/>
            <w:vAlign w:val="center"/>
          </w:tcPr>
          <w:p>
            <w:pPr>
              <w:pStyle w:val="16"/>
            </w:pPr>
            <w:r>
              <w:rPr>
                <w:rFonts w:hint="eastAsia"/>
              </w:rPr>
              <w:t>农业农村生态环境支出</w:t>
            </w:r>
          </w:p>
        </w:tc>
        <w:tc>
          <w:tcPr>
            <w:tcW w:w="2551" w:type="dxa"/>
            <w:vAlign w:val="center"/>
          </w:tcPr>
          <w:p>
            <w:pPr>
              <w:pStyle w:val="15"/>
            </w:pPr>
            <w:r>
              <w:t>4829.00</w:t>
            </w:r>
          </w:p>
        </w:tc>
        <w:tc>
          <w:tcPr>
            <w:tcW w:w="2551" w:type="dxa"/>
            <w:vAlign w:val="center"/>
          </w:tcPr>
          <w:p>
            <w:pPr>
              <w:pStyle w:val="15"/>
            </w:pPr>
          </w:p>
        </w:tc>
        <w:tc>
          <w:tcPr>
            <w:tcW w:w="2551" w:type="dxa"/>
            <w:vAlign w:val="center"/>
          </w:tcPr>
          <w:p>
            <w:pPr>
              <w:pStyle w:val="15"/>
            </w:pPr>
            <w:r>
              <w:t>4829.00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w:t>
            </w:r>
            <w:r>
              <w:rPr>
                <w:rFonts w:hint="eastAsia"/>
              </w:rPr>
              <w:t>魏县财政局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318</w:t>
            </w:r>
            <w:r>
              <w:rPr>
                <w:rFonts w:hint="eastAsia"/>
              </w:rPr>
              <w:t>魏县财政局</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2.20</w:t>
            </w:r>
          </w:p>
        </w:tc>
        <w:tc>
          <w:tcPr>
            <w:tcW w:w="2381" w:type="dxa"/>
            <w:vAlign w:val="center"/>
          </w:tcPr>
          <w:p>
            <w:pPr>
              <w:pStyle w:val="19"/>
            </w:pPr>
            <w:r>
              <w:t>2.20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pPr>
            <w:r>
              <w:t>2.20</w:t>
            </w:r>
          </w:p>
        </w:tc>
        <w:tc>
          <w:tcPr>
            <w:tcW w:w="2381" w:type="dxa"/>
            <w:vAlign w:val="center"/>
          </w:tcPr>
          <w:p>
            <w:pPr>
              <w:pStyle w:val="15"/>
            </w:pPr>
            <w:r>
              <w:t>2.20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魏县财政局</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魏县财政局</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按照《预算法》、《地方预决算公开操作规程》和《关于进一步推进预算公开工作的实施意见》规定，现将魏县财政局</w:t>
      </w:r>
      <w:r>
        <w:rPr>
          <w:rFonts w:eastAsia="方正仿宋_GBK"/>
          <w:color w:val="000000"/>
          <w:sz w:val="28"/>
        </w:rPr>
        <w:t>2023</w:t>
      </w:r>
      <w:r>
        <w:rPr>
          <w:rFonts w:hint="eastAsia" w:eastAsia="方正仿宋_GBK"/>
          <w:color w:val="000000"/>
          <w:sz w:val="28"/>
        </w:rPr>
        <w:t>年部门预算公开如下：</w:t>
      </w:r>
    </w:p>
    <w:p>
      <w:pPr>
        <w:spacing w:line="360" w:lineRule="auto"/>
        <w:ind w:firstLine="641"/>
        <w:outlineLvl w:val="2"/>
      </w:pPr>
      <w:bookmarkStart w:id="9" w:name="_Toc_3_3_0000000010"/>
      <w:r>
        <w:rPr>
          <w:rFonts w:hint="eastAsia" w:ascii="黑体" w:hAnsi="黑体" w:eastAsia="黑体" w:cs="黑体"/>
          <w:color w:val="000000"/>
          <w:sz w:val="32"/>
        </w:rPr>
        <w:t>一、部门职责及机构设置情况</w:t>
      </w:r>
      <w:bookmarkEnd w:id="9"/>
    </w:p>
    <w:p>
      <w:pPr>
        <w:ind w:firstLine="641"/>
      </w:pPr>
      <w:r>
        <w:rPr>
          <w:rFonts w:hint="eastAsia" w:ascii="方正楷体_GBK" w:hAnsi="方正楷体_GBK" w:eastAsia="方正楷体_GBK" w:cs="方正楷体_GBK"/>
          <w:b/>
          <w:color w:val="000000"/>
          <w:sz w:val="32"/>
        </w:rPr>
        <w:t>部门职责：</w:t>
      </w:r>
    </w:p>
    <w:p>
      <w:pPr>
        <w:pStyle w:val="21"/>
      </w:pPr>
      <w:r>
        <w:rPr>
          <w:rFonts w:hint="eastAsia"/>
        </w:rPr>
        <w:t>（一）拟订财税发展战略、规划和改革方案并组织实施。分析预测财政经济形势，参与制定各项财政经济政策，提出运用财税政策实施经济调控和综合平衡社会财力的建议。拟订县与县以下、政府与企业的分配政策，完善鼓励公益事业发展的财税政策。</w:t>
      </w:r>
    </w:p>
    <w:p>
      <w:pPr>
        <w:pStyle w:val="21"/>
      </w:pPr>
      <w:r>
        <w:rPr>
          <w:rFonts w:hint="eastAsia"/>
        </w:rPr>
        <w:t>（二）贯彻执行财政、税收、财务、会计管理的法律、行政法规、规章。</w:t>
      </w:r>
    </w:p>
    <w:p>
      <w:pPr>
        <w:pStyle w:val="21"/>
      </w:pPr>
      <w:r>
        <w:rPr>
          <w:rFonts w:hint="eastAsia"/>
        </w:rPr>
        <w:t>（三）拟订财政收入分配政策，承担财政预算管理的责任。编制年度县本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组织制定经费开支标准、定额，承担项目库管理工作。实行全口径预算管理。负责审核批复部门（单位）的年度预决算。全面推进绩效预算改革，开展绩效评价工作。</w:t>
      </w:r>
    </w:p>
    <w:p>
      <w:pPr>
        <w:pStyle w:val="21"/>
      </w:pPr>
      <w:r>
        <w:rPr>
          <w:rFonts w:hint="eastAsia"/>
        </w:rPr>
        <w:t>（四）配合上级起草税收实施细则和税收政策调整方案。提出中央授权税目税率调整、减免和地方税收政策等重大事项的建议。组织推进税收制度改革。协调税务部门，加强综合治理，促进公平税负，提高收入质量，实现应收尽收。</w:t>
      </w:r>
    </w:p>
    <w:p>
      <w:pPr>
        <w:pStyle w:val="21"/>
      </w:pPr>
      <w:r>
        <w:rPr>
          <w:rFonts w:hint="eastAsia"/>
        </w:rPr>
        <w:t>（五）按分工负责政府非税收入管理。负责政府性基金管理，按规定管理行政事业性收费。制定彩票管理政策和有关办法，监管彩票市场，按规定管理彩票资金。拟订政府非税收入管理制度和政策。承担政府性基金、行政事业性收费管理等相关工作。编制非税财政收入预算。落实非税财政收入</w:t>
      </w:r>
      <w:r>
        <w:t>“</w:t>
      </w:r>
      <w:r>
        <w:rPr>
          <w:rFonts w:hint="eastAsia"/>
        </w:rPr>
        <w:t>收支两条线</w:t>
      </w:r>
      <w:r>
        <w:t>”</w:t>
      </w:r>
      <w:r>
        <w:rPr>
          <w:rFonts w:hint="eastAsia"/>
        </w:rPr>
        <w:t>征缴管理制度。负责罚没物资的收缴、处置和变价收入上缴国库。管理全县财政票据。指导全县（乡、镇）的非税收入管理工作。</w:t>
      </w:r>
    </w:p>
    <w:p>
      <w:pPr>
        <w:pStyle w:val="21"/>
      </w:pPr>
      <w:r>
        <w:rPr>
          <w:rFonts w:hint="eastAsia"/>
        </w:rPr>
        <w:t>（六）研究制定国库管理制度、国库集中收付制度，指导和监督县级国库业务，开展国库现金管理工作。制定政府财务报告编制办法并组织实施。贯彻执行政府采购政策，制定相关制度办法并监督实施。</w:t>
      </w:r>
    </w:p>
    <w:p>
      <w:pPr>
        <w:pStyle w:val="21"/>
      </w:pPr>
      <w:r>
        <w:rPr>
          <w:rFonts w:hint="eastAsia"/>
        </w:rPr>
        <w:t>（七）执行政府债务管理制度和政策，拟订具体办法。负责政府债务限额管理、债券发行和还本付息等工作。执行国家外债管理政策，拟订具体办法，管理县政府国外债权、债务。开展对外财经交流。提出全县政府债务政策建议，拟订政府债务管理制度和办法。承担县本级政府债务限额管理。承担政府债券发行、转贷、兑付和还本付息等有关工作。组织开展政府债务统计、风险预警和应急处置工作。</w:t>
      </w:r>
    </w:p>
    <w:p>
      <w:pPr>
        <w:pStyle w:val="21"/>
      </w:pPr>
      <w:r>
        <w:rPr>
          <w:rFonts w:hint="eastAsia"/>
        </w:rPr>
        <w:t>（八）牵头编制国有资产管理情况报告。根据县政府授权，集中统一履行县级国有金融资本出资人职责。执行国有金融资本管理规章制度，制定具体办法。拟订行政事业单位国有资产管理制度并组织实施，制定需要全县统一规定的开支标准和支出政策。承担行政事业单位公务车辆编制管理职责。拟订行政事业单位国有资产管理制度、企业财务制度及企业财务会计报告编制办法并组织实施。落实国有资产管理情况报告工作。研究提出支持国有企业改革和发展的财政政策。承担县级国有资产、机关事务等方面的部门预算有关工作。承担县级行政事业单位新增资产配置预算的审核。负责全县行政事业单位各类公务用车车辆编制核定和购置审批。承担执法执勤、特种专业技术用车管理。</w:t>
      </w:r>
    </w:p>
    <w:p>
      <w:pPr>
        <w:pStyle w:val="21"/>
      </w:pPr>
      <w:r>
        <w:rPr>
          <w:rFonts w:hint="eastAsia"/>
        </w:rPr>
        <w:t>（九）负责审核并汇总编制全县国有资本经营预决算草案，组织实施国有资本经营预算制度，制定具体办法，收取县属企业国有资本收益。组织实施企业财务制度。负责财政预算内行政事业单位和社会团体的非贸易外汇管理。</w:t>
      </w:r>
    </w:p>
    <w:p>
      <w:pPr>
        <w:pStyle w:val="21"/>
      </w:pPr>
      <w:r>
        <w:rPr>
          <w:rFonts w:hint="eastAsia"/>
        </w:rPr>
        <w:t>（十）负责审核并汇总编制全县社会保险基金预决算草案</w:t>
      </w:r>
      <w:r>
        <w:t>,</w:t>
      </w:r>
      <w:r>
        <w:rPr>
          <w:rFonts w:hint="eastAsia"/>
        </w:rPr>
        <w:t>会同有关部门拟订有关资金（基金）财务管理制度并组织实施。承担社会保险基金财政监管工作。承担人力资源和社会保障、民政、卫生健康、退役军人事务、医疗保障等方面的部门预算和相关领域预算支出有关工作，提出相关财政政策建议。会同有关方面拟订有关资金（基金）财务管理制度。审核并汇总编制县级和全县社会保险基金预决算草案，配合有关部门拟订社会保险费征收、社会保险待遇政策，承担社会保险基金财政监管工作</w:t>
      </w:r>
    </w:p>
    <w:p>
      <w:pPr>
        <w:pStyle w:val="21"/>
      </w:pPr>
      <w:r>
        <w:rPr>
          <w:rFonts w:hint="eastAsia"/>
        </w:rPr>
        <w:t>（十一）负责办理和监督县级财政的经济发展支出、县级政府性投资项目的财政拨款，参与拟订县级建设投资的有关政策，制定基建财务管理制度。负责财政预算评审管理。</w:t>
      </w:r>
    </w:p>
    <w:p>
      <w:pPr>
        <w:pStyle w:val="21"/>
      </w:pPr>
      <w:r>
        <w:rPr>
          <w:rFonts w:hint="eastAsia"/>
        </w:rPr>
        <w:t>（十二）负责管理全县会计工作，监督和规范会计行为，组织实施会计制度，指导和管理社会审计。</w:t>
      </w:r>
    </w:p>
    <w:p>
      <w:pPr>
        <w:pStyle w:val="21"/>
      </w:pPr>
      <w:r>
        <w:rPr>
          <w:rFonts w:hint="eastAsia"/>
        </w:rPr>
        <w:t>（十三）承担政府和社会资本合作有关工作，负责政府股权投资引导基金管理。拟订公共服务领域政府和社会资本合作制度并组织实施，承担项目库管理、业务指导、宣传培训、信息统计分析和项目推介工作。提出政府投资基金管理政策建议，组织开展政府投资基金运行情况的统计分析和绩效评价。</w:t>
      </w:r>
    </w:p>
    <w:p>
      <w:pPr>
        <w:pStyle w:val="21"/>
      </w:pPr>
      <w:r>
        <w:rPr>
          <w:rFonts w:hint="eastAsia"/>
        </w:rPr>
        <w:t>（十四）监督检查财税法规、政策的执行情况，依法查处违反财经纪律行为；反映财政收支管理中的重大问题，提出加强财政税收及财务会计管理的政策建议。承担财税法规和政策执行情况、预算管理有关监督工作。承担监督检查会计信息质量有关工作。承担预算绩效评价有关工作。组织实施财政内部控制工作。</w:t>
      </w:r>
    </w:p>
    <w:p>
      <w:pPr>
        <w:pStyle w:val="21"/>
      </w:pPr>
      <w:r>
        <w:t>(</w:t>
      </w:r>
      <w:r>
        <w:rPr>
          <w:rFonts w:hint="eastAsia"/>
        </w:rPr>
        <w:t>十五）承担县级宣传、文化旅游、科技、教育、体育等方面的部门预算和相关领域预算支出有关工作，提出相关财政政策建议。拟订事业单位通用的财务管理制度。承担县属文化企业财务管理有关工作。</w:t>
      </w:r>
    </w:p>
    <w:p>
      <w:pPr>
        <w:pStyle w:val="21"/>
      </w:pPr>
      <w:r>
        <w:t>(</w:t>
      </w:r>
      <w:r>
        <w:rPr>
          <w:rFonts w:hint="eastAsia"/>
        </w:rPr>
        <w:t>十六）承担发展改革、工信、交通、能源、商贸、粮食和物资储备、建设、城管、供销、应急、军民融合发展等方面的部门预算和相关领域预算支出有关工作，提出相关财政政策建议。参与拟订县级基建投资财政有关政策，拟订基建财务管理制度。承担有关政策性补贴和专项储备资金财政管理。</w:t>
      </w:r>
    </w:p>
    <w:p>
      <w:pPr>
        <w:pStyle w:val="21"/>
      </w:pPr>
      <w:r>
        <w:t>(</w:t>
      </w:r>
      <w:r>
        <w:rPr>
          <w:rFonts w:hint="eastAsia"/>
        </w:rPr>
        <w:t>十七）拟订全县政府采购政策、制度。受理采购人政府采购计划和采购合同备案审查。承担政府采购方式、政府采购信息管理。负责审核、汇编部门政府采购预算。受理供应商投诉。负责监督检查政府采购活动。</w:t>
      </w:r>
    </w:p>
    <w:p>
      <w:pPr>
        <w:pStyle w:val="21"/>
      </w:pPr>
      <w:r>
        <w:rPr>
          <w:rFonts w:hint="eastAsia"/>
        </w:rPr>
        <w:t>（十八）承办县委、县政府交办的其他事项。</w:t>
      </w:r>
    </w:p>
    <w:p>
      <w:pPr>
        <w:ind w:firstLine="640"/>
        <w:rPr>
          <w:rFonts w:ascii="方正楷体_GBK" w:hAnsi="方正楷体_GBK" w:eastAsia="方正楷体_GBK" w:cs="方正楷体_GBK"/>
          <w:b/>
          <w:color w:val="000000"/>
          <w:sz w:val="32"/>
          <w:lang w:eastAsia="zh-CN"/>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魏县财政局本级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line="360" w:lineRule="auto"/>
        <w:ind w:firstLine="640"/>
        <w:outlineLvl w:val="2"/>
        <w:rPr>
          <w:rFonts w:ascii="黑体" w:hAnsi="黑体" w:eastAsia="黑体" w:cs="黑体"/>
          <w:color w:val="000000"/>
          <w:sz w:val="32"/>
          <w:lang w:eastAsia="zh-CN"/>
        </w:rPr>
      </w:pPr>
      <w:bookmarkStart w:id="10" w:name="_Toc_3_3_0000000011"/>
    </w:p>
    <w:p>
      <w:pPr>
        <w:widowControl w:val="0"/>
        <w:spacing w:line="360" w:lineRule="auto"/>
        <w:ind w:firstLine="640"/>
        <w:outlineLvl w:val="2"/>
      </w:pPr>
      <w:r>
        <w:rPr>
          <w:rFonts w:hint="eastAsia" w:ascii="黑体" w:hAnsi="黑体" w:eastAsia="黑体" w:cs="黑体"/>
          <w:color w:val="000000"/>
          <w:sz w:val="32"/>
        </w:rPr>
        <w:t>二、部门预算安排的总体情况</w:t>
      </w:r>
      <w:bookmarkEnd w:id="10"/>
    </w:p>
    <w:p>
      <w:pPr>
        <w:widowControl w:val="0"/>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部门预算的编制实行综合预算管理，即全部收入和支出都反映在预算中。魏县财政局机关及所属事业单位的收支包含在部门预算中。</w:t>
      </w:r>
    </w:p>
    <w:p>
      <w:pPr>
        <w:pStyle w:val="22"/>
      </w:pPr>
      <w:r>
        <w:t>1.</w:t>
      </w:r>
      <w:r>
        <w:rPr>
          <w:rFonts w:hint="eastAsia"/>
        </w:rPr>
        <w:t>收入说明</w:t>
      </w:r>
    </w:p>
    <w:p>
      <w:pPr>
        <w:pStyle w:val="22"/>
      </w:pPr>
      <w:r>
        <w:rPr>
          <w:rFonts w:hint="eastAsia"/>
        </w:rPr>
        <w:t>反映本部门当年全部收入。</w:t>
      </w:r>
      <w:r>
        <w:t>2023</w:t>
      </w:r>
      <w:r>
        <w:rPr>
          <w:rFonts w:hint="eastAsia"/>
        </w:rPr>
        <w:t>年预算收入</w:t>
      </w:r>
      <w:r>
        <w:rPr>
          <w:rFonts w:hint="eastAsia"/>
          <w:lang w:eastAsia="zh-CN"/>
        </w:rPr>
        <w:t>11572</w:t>
      </w:r>
      <w:r>
        <w:t>.07</w:t>
      </w:r>
      <w:r>
        <w:rPr>
          <w:rFonts w:hint="eastAsia"/>
        </w:rPr>
        <w:t>万元，其中：一般公共预算拨款收入</w:t>
      </w:r>
      <w:r>
        <w:rPr>
          <w:rFonts w:hint="eastAsia"/>
          <w:lang w:eastAsia="zh-CN"/>
        </w:rPr>
        <w:t>6743</w:t>
      </w:r>
      <w:r>
        <w:t>.07</w:t>
      </w:r>
      <w:r>
        <w:rPr>
          <w:rFonts w:hint="eastAsia"/>
        </w:rPr>
        <w:t>万元，政府性基金预算拨款收入</w:t>
      </w:r>
      <w:r>
        <w:rPr>
          <w:rFonts w:hint="eastAsia"/>
          <w:lang w:eastAsia="zh-CN"/>
        </w:rPr>
        <w:t>4829</w:t>
      </w:r>
      <w:r>
        <w:rPr>
          <w:rFonts w:hint="eastAsia"/>
        </w:rPr>
        <w:t>万元，国有资本经营预算拨款收入</w:t>
      </w:r>
      <w:r>
        <w:t>0</w:t>
      </w:r>
      <w:r>
        <w:rPr>
          <w:rFonts w:hint="eastAsia"/>
        </w:rPr>
        <w:t>万元，其他收入为</w:t>
      </w:r>
      <w:r>
        <w:t>0</w:t>
      </w:r>
      <w:r>
        <w:rPr>
          <w:rFonts w:hint="eastAsia"/>
        </w:rPr>
        <w:t>万元等。</w:t>
      </w:r>
    </w:p>
    <w:p>
      <w:pPr>
        <w:pStyle w:val="22"/>
      </w:pPr>
      <w:r>
        <w:t>2.</w:t>
      </w:r>
      <w:r>
        <w:rPr>
          <w:rFonts w:hint="eastAsia"/>
        </w:rPr>
        <w:t>支出说明</w:t>
      </w:r>
    </w:p>
    <w:p>
      <w:pPr>
        <w:pStyle w:val="22"/>
      </w:pPr>
      <w:r>
        <w:rPr>
          <w:rFonts w:hint="eastAsia"/>
        </w:rPr>
        <w:t>收支预算总表支出栏、基本支出表、项目支出表按经济分类和支出功能分类科目编制，反映魏县财政局年度部门预算中支出预算的总体情况。</w:t>
      </w:r>
      <w:r>
        <w:t>2023</w:t>
      </w:r>
      <w:r>
        <w:rPr>
          <w:rFonts w:hint="eastAsia"/>
        </w:rPr>
        <w:t>年支出预算</w:t>
      </w:r>
      <w:r>
        <w:rPr>
          <w:rFonts w:hint="eastAsia"/>
          <w:lang w:eastAsia="zh-CN"/>
        </w:rPr>
        <w:t>11572</w:t>
      </w:r>
      <w:r>
        <w:t>.07</w:t>
      </w:r>
      <w:r>
        <w:rPr>
          <w:rFonts w:hint="eastAsia"/>
        </w:rPr>
        <w:t>万元，其中基本支出</w:t>
      </w:r>
      <w:r>
        <w:t>1700.53</w:t>
      </w:r>
      <w:r>
        <w:rPr>
          <w:rFonts w:hint="eastAsia"/>
        </w:rPr>
        <w:t>万元，包括人员经费</w:t>
      </w:r>
      <w:r>
        <w:t>1549.31</w:t>
      </w:r>
      <w:r>
        <w:rPr>
          <w:rFonts w:hint="eastAsia"/>
        </w:rPr>
        <w:t>万元和公用经费</w:t>
      </w:r>
      <w:r>
        <w:t>151.22</w:t>
      </w:r>
      <w:r>
        <w:rPr>
          <w:rFonts w:hint="eastAsia"/>
        </w:rPr>
        <w:t>万元；项目支出</w:t>
      </w:r>
      <w:r>
        <w:rPr>
          <w:rFonts w:hint="eastAsia"/>
          <w:lang w:eastAsia="zh-CN"/>
        </w:rPr>
        <w:t>987</w:t>
      </w:r>
      <w:r>
        <w:t>1.54</w:t>
      </w:r>
      <w:r>
        <w:rPr>
          <w:rFonts w:hint="eastAsia"/>
        </w:rPr>
        <w:t>万元，主要为局机关本身财政业务和事务资金、农林水支出等。</w:t>
      </w:r>
    </w:p>
    <w:p>
      <w:pPr>
        <w:pStyle w:val="22"/>
      </w:pPr>
      <w:r>
        <w:t>3.</w:t>
      </w:r>
      <w:r>
        <w:rPr>
          <w:rFonts w:hint="eastAsia"/>
        </w:rPr>
        <w:t>比上年增减情况</w:t>
      </w:r>
    </w:p>
    <w:p>
      <w:pPr>
        <w:pStyle w:val="22"/>
      </w:pPr>
      <w:r>
        <w:t>2023</w:t>
      </w:r>
      <w:r>
        <w:rPr>
          <w:rFonts w:hint="eastAsia"/>
        </w:rPr>
        <w:t>年预算收支安排</w:t>
      </w:r>
      <w:r>
        <w:rPr>
          <w:rFonts w:hint="eastAsia"/>
          <w:lang w:eastAsia="zh-CN"/>
        </w:rPr>
        <w:t>11572</w:t>
      </w:r>
      <w:r>
        <w:t>.07</w:t>
      </w:r>
      <w:r>
        <w:rPr>
          <w:rFonts w:hint="eastAsia"/>
        </w:rPr>
        <w:t>万元，较</w:t>
      </w:r>
      <w:r>
        <w:t>2022</w:t>
      </w:r>
      <w:r>
        <w:rPr>
          <w:rFonts w:hint="eastAsia"/>
        </w:rPr>
        <w:t>年预算增加</w:t>
      </w:r>
      <w:r>
        <w:t>8596.44</w:t>
      </w:r>
      <w:r>
        <w:rPr>
          <w:rFonts w:hint="eastAsia"/>
        </w:rPr>
        <w:t>万元，其中基本支出增加</w:t>
      </w:r>
      <w:r>
        <w:t>563.07</w:t>
      </w:r>
      <w:r>
        <w:rPr>
          <w:rFonts w:hint="eastAsia"/>
        </w:rPr>
        <w:t>万元，主要原因是增加了人员经费；项目支出增加</w:t>
      </w:r>
      <w:r>
        <w:t>8033.37</w:t>
      </w:r>
      <w:r>
        <w:rPr>
          <w:rFonts w:hint="eastAsia"/>
        </w:rPr>
        <w:t>万元，主要原因是增加了乡村振兴等相关资金。</w:t>
      </w:r>
    </w:p>
    <w:p>
      <w:pPr>
        <w:widowControl w:val="0"/>
        <w:spacing w:before="10" w:after="10" w:line="360" w:lineRule="auto"/>
        <w:ind w:firstLine="641"/>
        <w:outlineLvl w:val="2"/>
        <w:rPr>
          <w:rFonts w:ascii="黑体" w:hAnsi="黑体" w:eastAsia="黑体" w:cs="黑体"/>
          <w:color w:val="000000"/>
          <w:sz w:val="32"/>
          <w:lang w:eastAsia="zh-CN"/>
        </w:rPr>
      </w:pPr>
      <w:bookmarkStart w:id="11" w:name="_Toc_3_3_0000000012"/>
      <w:r>
        <w:rPr>
          <w:rFonts w:hint="eastAsia" w:ascii="黑体" w:hAnsi="黑体" w:eastAsia="黑体" w:cs="黑体"/>
          <w:color w:val="000000"/>
          <w:sz w:val="32"/>
        </w:rPr>
        <w:t>三、机关运行经费安排情况</w:t>
      </w:r>
      <w:bookmarkEnd w:id="11"/>
    </w:p>
    <w:p>
      <w:pPr>
        <w:widowControl w:val="0"/>
        <w:spacing w:before="10" w:after="10" w:line="360" w:lineRule="auto"/>
        <w:ind w:firstLine="641"/>
        <w:outlineLvl w:val="2"/>
      </w:pPr>
      <w:r>
        <w:t>2023</w:t>
      </w:r>
      <w:r>
        <w:rPr>
          <w:rFonts w:hint="eastAsia"/>
        </w:rPr>
        <w:t>年我部门机关运行经费共计安排</w:t>
      </w:r>
      <w:r>
        <w:t>151.22</w:t>
      </w:r>
      <w:r>
        <w:rPr>
          <w:rFonts w:hint="eastAsia"/>
        </w:rPr>
        <w:t>万元，主要用于保证正常办公的基本需要和维持单位日常业务运转，包括：办公费、邮电费、差旅费、维修维护费、水费、公务接待费、工会经费、公务用车运行维护费和印刷费等。</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t>2023</w:t>
      </w:r>
      <w:r>
        <w:rPr>
          <w:rFonts w:hint="eastAsia"/>
        </w:rPr>
        <w:t>年，我部门财政拨款</w:t>
      </w:r>
      <w:r>
        <w:t>“</w:t>
      </w:r>
      <w:r>
        <w:rPr>
          <w:rFonts w:hint="eastAsia"/>
        </w:rPr>
        <w:t>三公</w:t>
      </w:r>
      <w:r>
        <w:t>”</w:t>
      </w:r>
      <w:r>
        <w:rPr>
          <w:rFonts w:hint="eastAsia"/>
        </w:rPr>
        <w:t>经费预算安排</w:t>
      </w:r>
      <w:r>
        <w:t>2.2</w:t>
      </w:r>
      <w:r>
        <w:rPr>
          <w:rFonts w:hint="eastAsia"/>
        </w:rPr>
        <w:t>万元，其中因公出国（境）费</w:t>
      </w:r>
      <w:r>
        <w:t>0</w:t>
      </w:r>
      <w:r>
        <w:rPr>
          <w:rFonts w:hint="eastAsia"/>
        </w:rPr>
        <w:t>万元；公务用车购置及运维费</w:t>
      </w:r>
      <w:r>
        <w:t>1.2</w:t>
      </w:r>
      <w:r>
        <w:rPr>
          <w:rFonts w:hint="eastAsia"/>
        </w:rPr>
        <w:t>万元（其中：公务用车购置费为</w:t>
      </w:r>
      <w:r>
        <w:t>0</w:t>
      </w:r>
      <w:r>
        <w:rPr>
          <w:rFonts w:hint="eastAsia"/>
        </w:rPr>
        <w:t>万元，公务用车运维费</w:t>
      </w:r>
      <w:r>
        <w:t>1.2</w:t>
      </w:r>
      <w:r>
        <w:rPr>
          <w:rFonts w:hint="eastAsia"/>
        </w:rPr>
        <w:t>万元</w:t>
      </w:r>
      <w:r>
        <w:t>)</w:t>
      </w:r>
      <w:r>
        <w:rPr>
          <w:rFonts w:hint="eastAsia"/>
        </w:rPr>
        <w:t>；公务接待费</w:t>
      </w:r>
      <w:r>
        <w:t>1</w:t>
      </w:r>
      <w:r>
        <w:rPr>
          <w:rFonts w:hint="eastAsia"/>
        </w:rPr>
        <w:t>万元。与</w:t>
      </w:r>
      <w:r>
        <w:t>2022</w:t>
      </w:r>
      <w:r>
        <w:rPr>
          <w:rFonts w:hint="eastAsia"/>
        </w:rPr>
        <w:t>年持平。</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坚持以习近平新时代中国特色社会主义思想为指导，深入贯彻党的二十大精神，认真落实县委县政府工作要求，凝神聚力，开拓创新，攻</w:t>
      </w:r>
      <w:r>
        <w:rPr>
          <w:rFonts w:hint="eastAsia"/>
          <w:lang w:val="en-US" w:eastAsia="zh-CN"/>
        </w:rPr>
        <w:t>坚</w:t>
      </w:r>
      <w:r>
        <w:rPr>
          <w:rFonts w:hint="eastAsia"/>
        </w:rPr>
        <w:t>克难，砥砺奋进，以更加高昂的激情，更加有力的措施，更加务实的作风，全面开创工作新局面。落实落细各项财政政策，有效发挥财政调控保障作用，坚定不移抓好财政收入，加强税源监控分析，加大综合治税力度，做到应征尽征、应缴尽缴；狠抓项目建设，提高招商引资工作成效；健全财政监管体系，提升资金使用效益；强化民生保障，积极推进民生事业建设；探索创新投融资模式，有效破解建设资金瓶颈；强化绩效管理，提升理财水平；落实政府采购政策，持续优化营商环境；财政资源配置更加科学，财政政策体系更加完善，全县财政运行总体平稳，实现全年财政收支平衡，保障全县公教人员工资发放和各项事业发展。</w:t>
      </w:r>
    </w:p>
    <w:p>
      <w:pPr>
        <w:spacing w:line="500" w:lineRule="exact"/>
        <w:ind w:firstLine="560"/>
      </w:pPr>
      <w:r>
        <w:rPr>
          <w:rFonts w:hint="eastAsia" w:eastAsia="方正仿宋_GBK"/>
          <w:color w:val="000000"/>
          <w:sz w:val="28"/>
        </w:rPr>
        <w:t>（二）分项绩效目标</w:t>
      </w:r>
    </w:p>
    <w:p>
      <w:pPr>
        <w:pStyle w:val="26"/>
        <w:widowControl w:val="0"/>
        <w:ind w:firstLine="561"/>
        <w:rPr>
          <w:lang w:eastAsia="zh-CN"/>
        </w:rPr>
      </w:pPr>
      <w:r>
        <w:t>1</w:t>
      </w:r>
      <w:r>
        <w:rPr>
          <w:rFonts w:hint="eastAsia"/>
        </w:rPr>
        <w:t>、财政收入水平进一步提高</w:t>
      </w:r>
    </w:p>
    <w:p>
      <w:pPr>
        <w:pStyle w:val="26"/>
        <w:widowControl w:val="0"/>
        <w:ind w:firstLine="561"/>
      </w:pPr>
      <w:r>
        <w:rPr>
          <w:rFonts w:hint="eastAsia"/>
        </w:rPr>
        <w:t>绩效目标：积极协调税务、开发区等有关部门，持续强化房地产企业、园区企业、加油站等重点行业征管，做到依法征收，应收尽收；同时积极筹建综合治税大数据信息平台，进一步强化综合治税措施，积极开展协税护税工作，加大对重点行业和重点税源的培植力度。制定非税收入管理政策，加强非税收入征管，加强彩票公益金管理，制定彩票管理政策和有关办法，管理彩票市场及彩票资金，确保资金安全，财政收入及时足额入库，全县财政收入规模进一步提升，收入结构持续优化，可用财力稳步增长。</w:t>
      </w:r>
    </w:p>
    <w:p>
      <w:pPr>
        <w:pStyle w:val="26"/>
      </w:pPr>
      <w:r>
        <w:rPr>
          <w:rFonts w:hint="eastAsia"/>
        </w:rPr>
        <w:t>绩效指标：全县财政收入增幅与经济增长相匹配，税收收入和非税收入按月按季实现均衡入库，开展打击非法彩票专项治理工作，确保我县彩票市场健康发展。</w:t>
      </w:r>
    </w:p>
    <w:p>
      <w:pPr>
        <w:pStyle w:val="26"/>
      </w:pPr>
      <w:r>
        <w:t>2</w:t>
      </w:r>
      <w:r>
        <w:rPr>
          <w:rFonts w:hint="eastAsia"/>
        </w:rPr>
        <w:t>、财政资源配置更加科学</w:t>
      </w:r>
    </w:p>
    <w:p>
      <w:pPr>
        <w:pStyle w:val="26"/>
      </w:pPr>
      <w:r>
        <w:rPr>
          <w:rFonts w:hint="eastAsia"/>
        </w:rPr>
        <w:t>绩效目标：通过对县级财政收支以及相应的财政税收政策，调整和引导现有社会经济资源的流向和流量，以达到资源的优化配置和充分利用，实现最大的经济效益和社会效益功能。</w:t>
      </w:r>
    </w:p>
    <w:p>
      <w:pPr>
        <w:pStyle w:val="26"/>
      </w:pPr>
      <w:r>
        <w:rPr>
          <w:rFonts w:hint="eastAsia"/>
        </w:rPr>
        <w:t>绩效指标：按照法定程序审查和批准的财政预算，通过规范的预算执行程序，落实各项财政收入，依法分配各项预算支出。随时监控财政收支预算的执行过程，根据实际情况需要，按照相关法规政策对预算进行适时调整，确保全年预算平衡和社会事业发展需要，在做好财政资金执行分配的同时，加强财政资金绩效管理，提高其使用效率和效益。</w:t>
      </w:r>
    </w:p>
    <w:p>
      <w:pPr>
        <w:pStyle w:val="26"/>
      </w:pPr>
      <w:r>
        <w:t>3</w:t>
      </w:r>
      <w:r>
        <w:rPr>
          <w:rFonts w:hint="eastAsia"/>
        </w:rPr>
        <w:t>、强化绩效管理，提升财政资金使用效益</w:t>
      </w:r>
    </w:p>
    <w:p>
      <w:pPr>
        <w:pStyle w:val="26"/>
      </w:pPr>
      <w:r>
        <w:rPr>
          <w:rFonts w:hint="eastAsia"/>
        </w:rPr>
        <w:t>绩效目标：</w:t>
      </w:r>
      <w:r>
        <w:t>“</w:t>
      </w:r>
      <w:r>
        <w:rPr>
          <w:rFonts w:hint="eastAsia"/>
        </w:rPr>
        <w:t>花钱必问效、无效必问责</w:t>
      </w:r>
      <w:r>
        <w:t>”</w:t>
      </w:r>
      <w:r>
        <w:rPr>
          <w:rFonts w:hint="eastAsia"/>
        </w:rPr>
        <w:t>，确保财政资金用到</w:t>
      </w:r>
      <w:r>
        <w:t>“</w:t>
      </w:r>
      <w:r>
        <w:rPr>
          <w:rFonts w:hint="eastAsia"/>
        </w:rPr>
        <w:t>刀刃</w:t>
      </w:r>
      <w:r>
        <w:t>”</w:t>
      </w:r>
      <w:r>
        <w:rPr>
          <w:rFonts w:hint="eastAsia"/>
        </w:rPr>
        <w:t>上。预算绩效管理全面实施，严格管理各评价环节，实现财政资金聚力增效和防范化解重大风险。</w:t>
      </w:r>
    </w:p>
    <w:p>
      <w:pPr>
        <w:pStyle w:val="26"/>
      </w:pPr>
      <w:r>
        <w:rPr>
          <w:rFonts w:hint="eastAsia"/>
        </w:rPr>
        <w:t>绩效指标：制定预算绩效管理各环节的管理办法和操作规程，将绩效管理融入预算编制、执行、监督的全过程，构建事前事中事后全过程预算绩效管理链条；全面实施事前绩效目标管理，从源头提高财政资源配置效率；实施绩效运行监控，报驾项目预算有效执行；强化结果应用，落实预算和绩效管理一体，将绩效评价结果应用于下一年预算编审环节，硬化激励约束，切实提高财政资金使用效益。</w:t>
      </w:r>
    </w:p>
    <w:p>
      <w:pPr>
        <w:pStyle w:val="26"/>
      </w:pPr>
      <w:r>
        <w:t>4</w:t>
      </w:r>
      <w:r>
        <w:rPr>
          <w:rFonts w:hint="eastAsia"/>
        </w:rPr>
        <w:t>、落实政府性融资担保政策，争取普惠金融示范县</w:t>
      </w:r>
    </w:p>
    <w:p>
      <w:pPr>
        <w:pStyle w:val="26"/>
      </w:pPr>
      <w:r>
        <w:rPr>
          <w:rFonts w:hint="eastAsia"/>
        </w:rPr>
        <w:t>绩效目标：进一步加大我县政银、政担、银担合作力度，创新投融资模式，破解建设资金瓶颈</w:t>
      </w:r>
    </w:p>
    <w:p>
      <w:pPr>
        <w:pStyle w:val="26"/>
      </w:pPr>
      <w:r>
        <w:rPr>
          <w:rFonts w:hint="eastAsia"/>
        </w:rPr>
        <w:t>绩效指标：扎实推进政府和社会资本合作（</w:t>
      </w:r>
      <w:r>
        <w:t>PPP</w:t>
      </w:r>
      <w:r>
        <w:rPr>
          <w:rFonts w:hint="eastAsia"/>
        </w:rPr>
        <w:t>）项目，统筹资源，完善政府性融资担保政策体系，聚焦支小支农融资担保主业，引导更多金融</w:t>
      </w:r>
      <w:r>
        <w:t>“</w:t>
      </w:r>
      <w:r>
        <w:rPr>
          <w:rFonts w:hint="eastAsia"/>
        </w:rPr>
        <w:t>活水</w:t>
      </w:r>
      <w:r>
        <w:t>”</w:t>
      </w:r>
      <w:r>
        <w:rPr>
          <w:rFonts w:hint="eastAsia"/>
        </w:rPr>
        <w:t>流向小微企业，加大政策支持力度，提升机构积极性；发挥绩效评价</w:t>
      </w:r>
      <w:r>
        <w:t>“</w:t>
      </w:r>
      <w:r>
        <w:rPr>
          <w:rFonts w:hint="eastAsia"/>
        </w:rPr>
        <w:t>指挥棒</w:t>
      </w:r>
      <w:r>
        <w:t>”</w:t>
      </w:r>
      <w:r>
        <w:rPr>
          <w:rFonts w:hint="eastAsia"/>
        </w:rPr>
        <w:t>作用，对政府性融资担保机构开展绩效评价考核，激励融资担保机构降低担保费率。</w:t>
      </w:r>
    </w:p>
    <w:p>
      <w:pPr>
        <w:pStyle w:val="26"/>
      </w:pPr>
      <w:r>
        <w:t>5.</w:t>
      </w:r>
      <w:r>
        <w:rPr>
          <w:rFonts w:hint="eastAsia"/>
        </w:rPr>
        <w:t>落实政府采购政策，放宽政府采购门槛</w:t>
      </w:r>
    </w:p>
    <w:p>
      <w:pPr>
        <w:pStyle w:val="26"/>
      </w:pPr>
      <w:r>
        <w:rPr>
          <w:rFonts w:hint="eastAsia"/>
        </w:rPr>
        <w:t>绩效目标：实现政府采购与互联网深度融合；放宽政府采购门槛，持续优化营商环境。</w:t>
      </w:r>
    </w:p>
    <w:p>
      <w:pPr>
        <w:pStyle w:val="26"/>
      </w:pPr>
      <w:r>
        <w:rPr>
          <w:rFonts w:hint="eastAsia"/>
        </w:rPr>
        <w:t>绩效指标：持续推进</w:t>
      </w:r>
      <w:r>
        <w:t>“</w:t>
      </w:r>
      <w:r>
        <w:rPr>
          <w:rFonts w:hint="eastAsia"/>
        </w:rPr>
        <w:t>互联网</w:t>
      </w:r>
      <w:r>
        <w:t>+</w:t>
      </w:r>
      <w:r>
        <w:rPr>
          <w:rFonts w:hint="eastAsia"/>
        </w:rPr>
        <w:t>政府采购</w:t>
      </w:r>
      <w:r>
        <w:t>”</w:t>
      </w:r>
      <w:r>
        <w:rPr>
          <w:rFonts w:hint="eastAsia"/>
        </w:rPr>
        <w:t>，严格落实政府采购货物、服务预留中小企业份额政策，提高政府采购工程面向中小企业的预留份额，加大支持中小企业力度，简化政府采购供应商资格条件的形式审查。</w:t>
      </w:r>
    </w:p>
    <w:p>
      <w:pPr>
        <w:pStyle w:val="26"/>
      </w:pPr>
      <w:r>
        <w:t>6</w:t>
      </w:r>
      <w:r>
        <w:rPr>
          <w:rFonts w:hint="eastAsia"/>
        </w:rPr>
        <w:t>、积极财政政策得到有效落实</w:t>
      </w:r>
    </w:p>
    <w:p>
      <w:pPr>
        <w:pStyle w:val="26"/>
      </w:pPr>
      <w:r>
        <w:rPr>
          <w:rFonts w:hint="eastAsia"/>
        </w:rPr>
        <w:t>绩效目标：围绕助推全县经济高质量发展目标，按照</w:t>
      </w:r>
      <w:r>
        <w:t>“</w:t>
      </w:r>
      <w:r>
        <w:rPr>
          <w:rFonts w:hint="eastAsia"/>
        </w:rPr>
        <w:t>积极的财政政策要提升政策效能</w:t>
      </w:r>
      <w:r>
        <w:t>”</w:t>
      </w:r>
      <w:r>
        <w:rPr>
          <w:rFonts w:hint="eastAsia"/>
        </w:rPr>
        <w:t>要求，找准切入点，抓准发力点，更好发挥政策效能，坚持用好中央、省、市、县预内基建资金，管好用好政府债券，直达资金实现严管快用，促进县域经济高质量发展及产业发展的财政政策更加完善，减税降费政策全面落实，全县创新能力不断提升，减轻企业负担的成效更加明显。</w:t>
      </w:r>
    </w:p>
    <w:p>
      <w:pPr>
        <w:pStyle w:val="26"/>
      </w:pPr>
      <w:r>
        <w:rPr>
          <w:rFonts w:hint="eastAsia"/>
        </w:rPr>
        <w:t>绩效指标：落实好《财政引导金融支持实体经济发展十条措施》，进一步规范政府投资引导基金运作，不断增强县域经济发展内生动力；管好用好政府债券，将专项债监控支出延伸为工作量形成情况，督促尽早形成实物工作量；继续落实好直达机制，进一步扩大监控系统使用范围，督促县加快支出，更好发挥政策效能；支持科技创新、战略性新兴产业等财政专项资金持续增加，优化科研经费管理流程，加大简政放权和激励力度，激发全县创新活力。</w:t>
      </w:r>
    </w:p>
    <w:p>
      <w:pPr>
        <w:spacing w:line="500" w:lineRule="exact"/>
        <w:ind w:firstLine="560"/>
      </w:pPr>
      <w:r>
        <w:rPr>
          <w:rFonts w:hint="eastAsia" w:eastAsia="方正仿宋_GBK"/>
          <w:color w:val="000000"/>
          <w:sz w:val="28"/>
        </w:rPr>
        <w:t>（三）工作保障措施</w:t>
      </w:r>
    </w:p>
    <w:p>
      <w:pPr>
        <w:pStyle w:val="27"/>
      </w:pPr>
      <w:r>
        <w:t>1.</w:t>
      </w:r>
      <w:r>
        <w:rPr>
          <w:rFonts w:hint="eastAsia"/>
        </w:rPr>
        <w:t>完善制度建设。建立健全部门预算绩效管理路径和制度体系，不断完善工作机制和工作流程。制定完善的预算绩效管理制度，为全年预算绩效目标的实现奠定制度基础；推进财政资金管理制度改革，加大对财务管理工作的监督力度；建立健全行政事业单位国有资产管理制度及政府采购制度，保证国有资产增值增效，采购活动公正规范。</w:t>
      </w:r>
    </w:p>
    <w:p>
      <w:pPr>
        <w:pStyle w:val="27"/>
      </w:pPr>
      <w:r>
        <w:t>2.</w:t>
      </w:r>
      <w:r>
        <w:rPr>
          <w:rFonts w:hint="eastAsia"/>
        </w:rPr>
        <w:t>加强支出管理。通过优化支出结构、编细编实预算、加快履行政府采购程序、尽快启动项目、及时支付资金。进一步提升基层管理水平，规范财政资金使用和管理，做到按照时间节点完成支出任务。</w:t>
      </w:r>
    </w:p>
    <w:p>
      <w:pPr>
        <w:pStyle w:val="27"/>
      </w:pPr>
      <w:r>
        <w:t>3.</w:t>
      </w:r>
      <w:r>
        <w:rPr>
          <w:rFonts w:hint="eastAsia"/>
        </w:rPr>
        <w:t>加强绩效运行监控。按要求开展绩效运行监控，确保绩效目标如期保质实现。做好部门预算绩效自评和重点评价工作，发现问题及时整改，调整优化支出结构，提高财政资金使用效益。</w:t>
      </w:r>
    </w:p>
    <w:p>
      <w:pPr>
        <w:pStyle w:val="27"/>
      </w:pPr>
      <w:r>
        <w:t>4.</w:t>
      </w:r>
      <w:r>
        <w:rPr>
          <w:rFonts w:hint="eastAsia"/>
        </w:rPr>
        <w:t>做好绩效自评。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7"/>
        <w:jc w:val="both"/>
      </w:pPr>
      <w:r>
        <w:t>5.</w:t>
      </w:r>
      <w:r>
        <w:rPr>
          <w:rFonts w:hint="eastAsia"/>
        </w:rPr>
        <w:t>规范财务资产管理。完善财务管理制度，严格审批程序。加强内部监督制度建设，对资产处置及其他重要经济业务事项的决策和执行进行督导，对会计资料进行内部审计。配合做好审计、财政监督检查的外部监督工作，确保财政资金安全有效。促进财政预算管理质量不断提升，促进部门财务管理水平持续改进，促进财政政策和县委县政府重大决策、部署贯彻落实。</w:t>
      </w:r>
    </w:p>
    <w:p>
      <w:pPr>
        <w:pStyle w:val="27"/>
        <w:rPr>
          <w:rFonts w:hint="eastAsia"/>
          <w:lang w:eastAsia="zh-CN"/>
        </w:rPr>
      </w:pPr>
      <w:r>
        <w:t>6.</w:t>
      </w:r>
      <w:r>
        <w:rPr>
          <w:rFonts w:hint="eastAsia"/>
        </w:rPr>
        <w:t>加强宣传培训调研。加强人员专项培训，提高部门人员业务素质和业务水平；通过实地调研，为优化财政资金配置、提高资金使用效益奠定实践基础；加大宣传力度，强化预算绩效管理意识，促进预算绩效管理水平进一步提升。</w:t>
      </w:r>
    </w:p>
    <w:p>
      <w:pPr>
        <w:pStyle w:val="27"/>
        <w:rPr>
          <w:rFonts w:hint="eastAsia"/>
          <w:lang w:eastAsia="zh-CN"/>
        </w:rPr>
      </w:pPr>
    </w:p>
    <w:p>
      <w:pPr>
        <w:pStyle w:val="27"/>
        <w:rPr>
          <w:rFonts w:hint="eastAsia"/>
          <w:lang w:eastAsia="zh-CN"/>
        </w:rPr>
      </w:pPr>
    </w:p>
    <w:p>
      <w:pPr>
        <w:pStyle w:val="27"/>
        <w:rPr>
          <w:lang w:eastAsia="zh-CN"/>
        </w:rPr>
      </w:pPr>
    </w:p>
    <w:p>
      <w:pPr>
        <w:widowControl w:val="0"/>
        <w:ind w:firstLine="641"/>
        <w:rPr>
          <w:rFonts w:ascii="方正楷体_GBK" w:hAnsi="方正楷体_GBK" w:eastAsia="方正楷体_GBK" w:cs="方正楷体_GBK"/>
          <w:b/>
          <w:color w:val="000000"/>
          <w:sz w:val="32"/>
          <w:lang w:eastAsia="zh-CN"/>
        </w:rPr>
      </w:pPr>
    </w:p>
    <w:p>
      <w:pPr>
        <w:widowControl w:val="0"/>
        <w:ind w:firstLine="641"/>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w:t>
      </w:r>
      <w:r>
        <w:rPr>
          <w:rFonts w:hint="eastAsia" w:ascii="方正楷体_GBK" w:hAnsi="方正楷体_GBK" w:eastAsia="方正楷体_GBK" w:cs="方正楷体_GBK"/>
          <w:b/>
          <w:color w:val="000000"/>
          <w:sz w:val="32"/>
          <w:lang w:eastAsia="zh-CN"/>
        </w:rPr>
        <w:t>标</w:t>
      </w:r>
    </w:p>
    <w:p>
      <w:pPr>
        <w:widowControl w:val="0"/>
        <w:ind w:firstLine="641"/>
        <w:rPr>
          <w:lang w:eastAsia="zh-CN"/>
        </w:rPr>
      </w:pPr>
    </w:p>
    <w:p>
      <w:pPr>
        <w:tabs>
          <w:tab w:val="left" w:pos="840"/>
        </w:tabs>
        <w:rPr>
          <w:lang w:eastAsia="zh-CN"/>
        </w:rPr>
      </w:pPr>
      <w:r>
        <w:rPr>
          <w:lang w:eastAsia="zh-CN"/>
        </w:rPr>
        <w:tab/>
      </w:r>
      <w:r>
        <w:rPr>
          <w:rFonts w:hint="eastAsia"/>
          <w:lang w:eastAsia="zh-CN"/>
        </w:rPr>
        <w:t>无</w:t>
      </w:r>
    </w:p>
    <w:p>
      <w:pPr>
        <w:rPr>
          <w:lang w:eastAsia="zh-CN"/>
        </w:rPr>
      </w:pPr>
    </w:p>
    <w:p>
      <w:pPr>
        <w:rPr>
          <w:lang w:eastAsia="zh-CN"/>
        </w:rPr>
      </w:pPr>
    </w:p>
    <w:p>
      <w:pPr>
        <w:rPr>
          <w:lang w:eastAsia="zh-CN"/>
        </w:rPr>
      </w:pPr>
    </w:p>
    <w:p>
      <w:pPr>
        <w:widowControl w:val="0"/>
        <w:ind w:firstLine="642" w:firstLineChars="200"/>
        <w:rPr>
          <w:lang w:eastAsia="zh-CN"/>
        </w:r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rPr>
          <w:lang w:eastAsia="zh-CN"/>
        </w:rPr>
      </w:pPr>
    </w:p>
    <w:p>
      <w:pPr>
        <w:rPr>
          <w:lang w:eastAsia="zh-CN"/>
        </w:rPr>
      </w:pPr>
    </w:p>
    <w:p>
      <w:pPr>
        <w:ind w:firstLine="281" w:firstLineChars="10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、财政机关运行维护经费绩效目标表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用于单位保洁、保安、食堂等后勤服务支出，保障局机关</w:t>
            </w:r>
            <w:r>
              <w:t>26</w:t>
            </w:r>
            <w:r>
              <w:rPr>
                <w:rFonts w:hint="eastAsia"/>
              </w:rPr>
              <w:t>个科室日常办公所需，为办公人员提供一个舒适的办公环境，保障局机关正常运转。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工作完成率</w:t>
            </w:r>
          </w:p>
        </w:tc>
        <w:tc>
          <w:tcPr>
            <w:tcW w:w="2835" w:type="dxa"/>
            <w:vAlign w:val="center"/>
          </w:tcPr>
          <w:p>
            <w:pPr>
              <w:pStyle w:val="16"/>
            </w:pPr>
            <w:r>
              <w:rPr>
                <w:rFonts w:hint="eastAsia"/>
              </w:rPr>
              <w:t>工作完成的数量占总工作数量的比例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工作合格率</w:t>
            </w:r>
          </w:p>
        </w:tc>
        <w:tc>
          <w:tcPr>
            <w:tcW w:w="2835" w:type="dxa"/>
            <w:vAlign w:val="center"/>
          </w:tcPr>
          <w:p>
            <w:pPr>
              <w:pStyle w:val="16"/>
            </w:pPr>
            <w:r>
              <w:rPr>
                <w:rFonts w:hint="eastAsia"/>
              </w:rPr>
              <w:t>工作合格率</w:t>
            </w:r>
          </w:p>
        </w:tc>
        <w:tc>
          <w:tcPr>
            <w:tcW w:w="2551" w:type="dxa"/>
            <w:vAlign w:val="center"/>
          </w:tcPr>
          <w:p>
            <w:pPr>
              <w:pStyle w:val="16"/>
            </w:pPr>
            <w:r>
              <w:rPr>
                <w:rFonts w:hint="eastAsia"/>
              </w:rPr>
              <w:t>≥</w:t>
            </w:r>
            <w:r>
              <w:t>92%</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120</w:t>
            </w:r>
            <w:r>
              <w:rPr>
                <w:rFonts w:hint="eastAsia"/>
              </w:rPr>
              <w:t>万元</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机关正常运转</w:t>
            </w:r>
          </w:p>
        </w:tc>
        <w:tc>
          <w:tcPr>
            <w:tcW w:w="2835" w:type="dxa"/>
            <w:vAlign w:val="center"/>
          </w:tcPr>
          <w:p>
            <w:pPr>
              <w:pStyle w:val="16"/>
            </w:pPr>
            <w:r>
              <w:rPr>
                <w:rFonts w:hint="eastAsia"/>
              </w:rPr>
              <w:t>机关正常运转</w:t>
            </w:r>
          </w:p>
        </w:tc>
        <w:tc>
          <w:tcPr>
            <w:tcW w:w="2551" w:type="dxa"/>
            <w:vAlign w:val="center"/>
          </w:tcPr>
          <w:p>
            <w:pPr>
              <w:pStyle w:val="16"/>
            </w:pPr>
            <w:r>
              <w:rPr>
                <w:rFonts w:hint="eastAsia"/>
              </w:rPr>
              <w:t>机关正常运转</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持续改善办公环境</w:t>
            </w:r>
          </w:p>
        </w:tc>
        <w:tc>
          <w:tcPr>
            <w:tcW w:w="2835" w:type="dxa"/>
            <w:vAlign w:val="center"/>
          </w:tcPr>
          <w:p>
            <w:pPr>
              <w:pStyle w:val="16"/>
            </w:pPr>
            <w:r>
              <w:rPr>
                <w:rFonts w:hint="eastAsia"/>
              </w:rPr>
              <w:t>持续改善办公环境</w:t>
            </w:r>
          </w:p>
        </w:tc>
        <w:tc>
          <w:tcPr>
            <w:tcW w:w="2551" w:type="dxa"/>
            <w:vAlign w:val="center"/>
          </w:tcPr>
          <w:p>
            <w:pPr>
              <w:pStyle w:val="16"/>
            </w:pPr>
            <w:r>
              <w:rPr>
                <w:rFonts w:hint="eastAsia"/>
              </w:rPr>
              <w:t>持续改善办公环境</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工作人员满意度</w:t>
            </w:r>
          </w:p>
        </w:tc>
        <w:tc>
          <w:tcPr>
            <w:tcW w:w="2835" w:type="dxa"/>
            <w:vAlign w:val="center"/>
          </w:tcPr>
          <w:p>
            <w:pPr>
              <w:pStyle w:val="16"/>
            </w:pPr>
            <w:r>
              <w:rPr>
                <w:rFonts w:hint="eastAsia"/>
              </w:rPr>
              <w:t>工作人员满意人数占总人数的比例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、财政业务工作经费绩效目标表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保障局</w:t>
            </w:r>
            <w:r>
              <w:t>26</w:t>
            </w:r>
            <w:r>
              <w:rPr>
                <w:rFonts w:hint="eastAsia"/>
              </w:rPr>
              <w:t>个科室的财政业务顺利开展，为各财政信息系统提供必要的技术支持。</w:t>
            </w:r>
            <w:r>
              <w:tab/>
            </w:r>
            <w:r>
              <w:tab/>
            </w:r>
            <w:r>
              <w:tab/>
            </w:r>
            <w:r>
              <w:tab/>
            </w:r>
            <w:r>
              <w:tab/>
            </w:r>
            <w:r>
              <w:tab/>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业务完成率</w:t>
            </w:r>
          </w:p>
        </w:tc>
        <w:tc>
          <w:tcPr>
            <w:tcW w:w="2835" w:type="dxa"/>
            <w:vAlign w:val="center"/>
          </w:tcPr>
          <w:p>
            <w:pPr>
              <w:pStyle w:val="16"/>
            </w:pPr>
            <w:r>
              <w:rPr>
                <w:rFonts w:hint="eastAsia"/>
              </w:rPr>
              <w:t>完成业务数量占总数量比例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资金拨付到位率</w:t>
            </w:r>
          </w:p>
        </w:tc>
        <w:tc>
          <w:tcPr>
            <w:tcW w:w="2835" w:type="dxa"/>
            <w:vAlign w:val="center"/>
          </w:tcPr>
          <w:p>
            <w:pPr>
              <w:pStyle w:val="16"/>
            </w:pPr>
            <w:r>
              <w:rPr>
                <w:rFonts w:hint="eastAsia"/>
              </w:rPr>
              <w:t>资金拨付到位率</w:t>
            </w:r>
          </w:p>
        </w:tc>
        <w:tc>
          <w:tcPr>
            <w:tcW w:w="2551" w:type="dxa"/>
            <w:vAlign w:val="center"/>
          </w:tcPr>
          <w:p>
            <w:pPr>
              <w:pStyle w:val="16"/>
            </w:pPr>
            <w:r>
              <w:rPr>
                <w:rFonts w:hint="eastAsia"/>
              </w:rPr>
              <w:t>≥</w:t>
            </w:r>
            <w:r>
              <w:t>92%</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资金拨付及时率</w:t>
            </w:r>
          </w:p>
        </w:tc>
        <w:tc>
          <w:tcPr>
            <w:tcW w:w="2835" w:type="dxa"/>
            <w:vAlign w:val="center"/>
          </w:tcPr>
          <w:p>
            <w:pPr>
              <w:pStyle w:val="16"/>
            </w:pPr>
            <w:r>
              <w:rPr>
                <w:rFonts w:hint="eastAsia"/>
              </w:rPr>
              <w:t>资金拨付及时率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485</w:t>
            </w:r>
            <w:r>
              <w:rPr>
                <w:rFonts w:hint="eastAsia"/>
              </w:rPr>
              <w:t>万元</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业务保障能力显著提高</w:t>
            </w:r>
          </w:p>
        </w:tc>
        <w:tc>
          <w:tcPr>
            <w:tcW w:w="2835" w:type="dxa"/>
            <w:vAlign w:val="center"/>
          </w:tcPr>
          <w:p>
            <w:pPr>
              <w:pStyle w:val="16"/>
            </w:pPr>
            <w:r>
              <w:rPr>
                <w:rFonts w:hint="eastAsia"/>
              </w:rPr>
              <w:t>业务保障能力显著提高</w:t>
            </w:r>
          </w:p>
        </w:tc>
        <w:tc>
          <w:tcPr>
            <w:tcW w:w="2551" w:type="dxa"/>
            <w:vAlign w:val="center"/>
          </w:tcPr>
          <w:p>
            <w:pPr>
              <w:pStyle w:val="16"/>
            </w:pPr>
            <w:r>
              <w:rPr>
                <w:rFonts w:hint="eastAsia"/>
              </w:rPr>
              <w:t>业务保障能力显著提高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持续提高资金使用效益</w:t>
            </w:r>
          </w:p>
        </w:tc>
        <w:tc>
          <w:tcPr>
            <w:tcW w:w="2835" w:type="dxa"/>
            <w:vAlign w:val="center"/>
          </w:tcPr>
          <w:p>
            <w:pPr>
              <w:pStyle w:val="16"/>
            </w:pPr>
            <w:r>
              <w:rPr>
                <w:rFonts w:hint="eastAsia"/>
              </w:rPr>
              <w:t>持续提高资金使用效益</w:t>
            </w:r>
          </w:p>
        </w:tc>
        <w:tc>
          <w:tcPr>
            <w:tcW w:w="2551" w:type="dxa"/>
            <w:vAlign w:val="center"/>
          </w:tcPr>
          <w:p>
            <w:pPr>
              <w:pStyle w:val="16"/>
            </w:pPr>
            <w:r>
              <w:rPr>
                <w:rFonts w:hint="eastAsia"/>
              </w:rPr>
              <w:t>持续提高资金使用效益</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职工满意度</w:t>
            </w:r>
          </w:p>
        </w:tc>
        <w:tc>
          <w:tcPr>
            <w:tcW w:w="2835" w:type="dxa"/>
            <w:vAlign w:val="center"/>
          </w:tcPr>
          <w:p>
            <w:pPr>
              <w:pStyle w:val="16"/>
            </w:pPr>
            <w:r>
              <w:rPr>
                <w:rFonts w:hint="eastAsia"/>
              </w:rPr>
              <w:t>职工满意人数占总人数的比例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、财政一体化运行维护服务费绩效目标表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保障一体化平台各个模块子系统正常顺利运行，出现故障及时排除，保障资金拨付工作顺利完成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完成工作率</w:t>
            </w:r>
          </w:p>
        </w:tc>
        <w:tc>
          <w:tcPr>
            <w:tcW w:w="2835" w:type="dxa"/>
            <w:vAlign w:val="center"/>
          </w:tcPr>
          <w:p>
            <w:pPr>
              <w:pStyle w:val="16"/>
            </w:pPr>
            <w:r>
              <w:rPr>
                <w:rFonts w:hint="eastAsia"/>
              </w:rPr>
              <w:t>全年资金拨付工作完成情况</w:t>
            </w:r>
          </w:p>
        </w:tc>
        <w:tc>
          <w:tcPr>
            <w:tcW w:w="2551" w:type="dxa"/>
            <w:vAlign w:val="center"/>
          </w:tcPr>
          <w:p>
            <w:pPr>
              <w:pStyle w:val="16"/>
            </w:pPr>
            <w:r>
              <w:t>100%</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资金足额拨付到位</w:t>
            </w:r>
          </w:p>
        </w:tc>
        <w:tc>
          <w:tcPr>
            <w:tcW w:w="2835" w:type="dxa"/>
            <w:vAlign w:val="center"/>
          </w:tcPr>
          <w:p>
            <w:pPr>
              <w:pStyle w:val="16"/>
            </w:pPr>
            <w:r>
              <w:rPr>
                <w:rFonts w:hint="eastAsia"/>
              </w:rPr>
              <w:t>全年资金足额拨付到位</w:t>
            </w:r>
          </w:p>
        </w:tc>
        <w:tc>
          <w:tcPr>
            <w:tcW w:w="2551" w:type="dxa"/>
            <w:vAlign w:val="center"/>
          </w:tcPr>
          <w:p>
            <w:pPr>
              <w:pStyle w:val="16"/>
            </w:pPr>
            <w:r>
              <w:t>100%</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及时排除故障</w:t>
            </w:r>
          </w:p>
        </w:tc>
        <w:tc>
          <w:tcPr>
            <w:tcW w:w="2835" w:type="dxa"/>
            <w:vAlign w:val="center"/>
          </w:tcPr>
          <w:p>
            <w:pPr>
              <w:pStyle w:val="16"/>
            </w:pPr>
            <w:r>
              <w:rPr>
                <w:rFonts w:hint="eastAsia"/>
              </w:rPr>
              <w:t>系统出现问题，能及时得到解决</w:t>
            </w:r>
          </w:p>
        </w:tc>
        <w:tc>
          <w:tcPr>
            <w:tcW w:w="2551" w:type="dxa"/>
            <w:vAlign w:val="center"/>
          </w:tcPr>
          <w:p>
            <w:pPr>
              <w:pStyle w:val="16"/>
            </w:pPr>
            <w:r>
              <w:rPr>
                <w:rFonts w:hint="eastAsia"/>
              </w:rPr>
              <w:t>系统出现问题，能及时得到解决</w:t>
            </w:r>
          </w:p>
        </w:tc>
        <w:tc>
          <w:tcPr>
            <w:tcW w:w="2268" w:type="dxa"/>
            <w:vAlign w:val="center"/>
          </w:tcPr>
          <w:p>
            <w:pPr>
              <w:pStyle w:val="16"/>
            </w:pPr>
            <w:r>
              <w:rPr>
                <w:rFonts w:hint="eastAsia"/>
              </w:rPr>
              <w:t>工作实际开展情况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15</w:t>
            </w:r>
            <w:r>
              <w:rPr>
                <w:rFonts w:hint="eastAsia"/>
              </w:rPr>
              <w:t>万元</w:t>
            </w:r>
          </w:p>
        </w:tc>
        <w:tc>
          <w:tcPr>
            <w:tcW w:w="2268" w:type="dxa"/>
            <w:vAlign w:val="center"/>
          </w:tcPr>
          <w:p>
            <w:pPr>
              <w:pStyle w:val="16"/>
            </w:pPr>
            <w:r>
              <w:rPr>
                <w:rFonts w:hint="eastAsia"/>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资金拨付顺利</w:t>
            </w:r>
          </w:p>
        </w:tc>
        <w:tc>
          <w:tcPr>
            <w:tcW w:w="2835" w:type="dxa"/>
            <w:vAlign w:val="center"/>
          </w:tcPr>
          <w:p>
            <w:pPr>
              <w:pStyle w:val="16"/>
            </w:pPr>
            <w:r>
              <w:rPr>
                <w:rFonts w:hint="eastAsia"/>
              </w:rPr>
              <w:t>全年资金拨付工作顺利完成</w:t>
            </w:r>
          </w:p>
        </w:tc>
        <w:tc>
          <w:tcPr>
            <w:tcW w:w="2551" w:type="dxa"/>
            <w:vAlign w:val="center"/>
          </w:tcPr>
          <w:p>
            <w:pPr>
              <w:pStyle w:val="16"/>
            </w:pPr>
            <w:r>
              <w:rPr>
                <w:rFonts w:hint="eastAsia"/>
              </w:rPr>
              <w:t>全年资金拨付工作顺利完成</w:t>
            </w:r>
          </w:p>
          <w:p>
            <w:pPr>
              <w:pStyle w:val="16"/>
            </w:pP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一体化平台稳定运行</w:t>
            </w:r>
          </w:p>
        </w:tc>
        <w:tc>
          <w:tcPr>
            <w:tcW w:w="2551" w:type="dxa"/>
            <w:vAlign w:val="center"/>
          </w:tcPr>
          <w:p>
            <w:pPr>
              <w:pStyle w:val="16"/>
            </w:pPr>
            <w:r>
              <w:rPr>
                <w:rFonts w:hint="eastAsia"/>
              </w:rPr>
              <w:t>一体化平台稳定运行</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使用对象满意度</w:t>
            </w:r>
          </w:p>
        </w:tc>
        <w:tc>
          <w:tcPr>
            <w:tcW w:w="2835" w:type="dxa"/>
            <w:vAlign w:val="center"/>
          </w:tcPr>
          <w:p>
            <w:pPr>
              <w:pStyle w:val="16"/>
            </w:pPr>
            <w:r>
              <w:rPr>
                <w:rFonts w:hint="eastAsia"/>
              </w:rPr>
              <w:t>使用对象满意的人数占总使用人数的比例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、非税工作经费绩效目标表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为提高财政收入，保障非税工作顺利进行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工作完成率</w:t>
            </w:r>
          </w:p>
        </w:tc>
        <w:tc>
          <w:tcPr>
            <w:tcW w:w="2835" w:type="dxa"/>
            <w:vAlign w:val="center"/>
          </w:tcPr>
          <w:p>
            <w:pPr>
              <w:pStyle w:val="16"/>
            </w:pPr>
            <w:r>
              <w:rPr>
                <w:rFonts w:hint="eastAsia"/>
              </w:rPr>
              <w:t>工作完成数量占总工作数量的比例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工作完成合格率</w:t>
            </w:r>
          </w:p>
        </w:tc>
        <w:tc>
          <w:tcPr>
            <w:tcW w:w="2835" w:type="dxa"/>
            <w:vAlign w:val="center"/>
          </w:tcPr>
          <w:p>
            <w:pPr>
              <w:pStyle w:val="16"/>
            </w:pPr>
            <w:r>
              <w:rPr>
                <w:rFonts w:hint="eastAsia"/>
              </w:rPr>
              <w:t>工作完成合格的数量占总工作数量的比例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按预定时间完成各项工作</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15</w:t>
            </w:r>
            <w:r>
              <w:rPr>
                <w:rFonts w:hint="eastAsia"/>
              </w:rPr>
              <w:t>万元</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非税收入显著提高</w:t>
            </w:r>
          </w:p>
        </w:tc>
        <w:tc>
          <w:tcPr>
            <w:tcW w:w="2835" w:type="dxa"/>
            <w:vAlign w:val="center"/>
          </w:tcPr>
          <w:p>
            <w:pPr>
              <w:pStyle w:val="16"/>
            </w:pPr>
            <w:r>
              <w:rPr>
                <w:rFonts w:hint="eastAsia"/>
              </w:rPr>
              <w:t>非税收入显著提高</w:t>
            </w:r>
          </w:p>
        </w:tc>
        <w:tc>
          <w:tcPr>
            <w:tcW w:w="2551" w:type="dxa"/>
            <w:vAlign w:val="center"/>
          </w:tcPr>
          <w:p>
            <w:pPr>
              <w:pStyle w:val="16"/>
            </w:pPr>
            <w:r>
              <w:rPr>
                <w:rFonts w:hint="eastAsia"/>
              </w:rPr>
              <w:t>非税收入显著提高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非税工作顺利开展</w:t>
            </w:r>
          </w:p>
        </w:tc>
        <w:tc>
          <w:tcPr>
            <w:tcW w:w="2835" w:type="dxa"/>
            <w:vAlign w:val="center"/>
          </w:tcPr>
          <w:p>
            <w:pPr>
              <w:pStyle w:val="16"/>
            </w:pPr>
            <w:r>
              <w:rPr>
                <w:rFonts w:hint="eastAsia"/>
              </w:rPr>
              <w:t>非税工作顺利开展</w:t>
            </w:r>
          </w:p>
        </w:tc>
        <w:tc>
          <w:tcPr>
            <w:tcW w:w="2551" w:type="dxa"/>
            <w:vAlign w:val="center"/>
          </w:tcPr>
          <w:p>
            <w:pPr>
              <w:pStyle w:val="16"/>
            </w:pPr>
            <w:r>
              <w:rPr>
                <w:rFonts w:hint="eastAsia"/>
              </w:rPr>
              <w:t>非税工作顺利开展</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群众满意的人数占总人数的比例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[2022]156</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年省级农村财会人员培训资金预算的通知绩效目标表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培训全县所有村级会计人员，培训质量满足日常工作需求，群众满意度在</w:t>
            </w:r>
            <w:r>
              <w:t>90%</w:t>
            </w:r>
            <w:r>
              <w:rPr>
                <w:rFonts w:hint="eastAsia"/>
              </w:rPr>
              <w:t>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村级财会人员培训覆盖率</w:t>
            </w:r>
          </w:p>
        </w:tc>
        <w:tc>
          <w:tcPr>
            <w:tcW w:w="2835" w:type="dxa"/>
            <w:vAlign w:val="center"/>
          </w:tcPr>
          <w:p>
            <w:pPr>
              <w:pStyle w:val="16"/>
            </w:pPr>
            <w:r>
              <w:rPr>
                <w:rFonts w:hint="eastAsia"/>
              </w:rPr>
              <w:t>村级财会人员培训覆盖率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培训合格率</w:t>
            </w:r>
          </w:p>
        </w:tc>
        <w:tc>
          <w:tcPr>
            <w:tcW w:w="2835" w:type="dxa"/>
            <w:vAlign w:val="center"/>
          </w:tcPr>
          <w:p>
            <w:pPr>
              <w:pStyle w:val="16"/>
            </w:pPr>
            <w:r>
              <w:rPr>
                <w:rFonts w:hint="eastAsia"/>
              </w:rPr>
              <w:t>培训合格人员占全部培训人员比例</w:t>
            </w:r>
          </w:p>
        </w:tc>
        <w:tc>
          <w:tcPr>
            <w:tcW w:w="2551" w:type="dxa"/>
            <w:vAlign w:val="center"/>
          </w:tcPr>
          <w:p>
            <w:pPr>
              <w:pStyle w:val="16"/>
            </w:pPr>
            <w:r>
              <w:rPr>
                <w:rFonts w:hint="eastAsia"/>
              </w:rPr>
              <w:t>≥</w:t>
            </w:r>
            <w:r>
              <w:t>92%</w:t>
            </w:r>
          </w:p>
        </w:tc>
        <w:tc>
          <w:tcPr>
            <w:tcW w:w="2268" w:type="dxa"/>
            <w:vAlign w:val="center"/>
          </w:tcPr>
          <w:p>
            <w:pPr>
              <w:pStyle w:val="16"/>
            </w:pPr>
            <w:r>
              <w:rPr>
                <w:rFonts w:hint="eastAsia"/>
              </w:rPr>
              <w:t>培训试卷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培训完成时间</w:t>
            </w:r>
          </w:p>
        </w:tc>
        <w:tc>
          <w:tcPr>
            <w:tcW w:w="2835" w:type="dxa"/>
            <w:vAlign w:val="center"/>
          </w:tcPr>
          <w:p>
            <w:pPr>
              <w:pStyle w:val="16"/>
            </w:pPr>
            <w:r>
              <w:rPr>
                <w:rFonts w:hint="eastAsia"/>
              </w:rPr>
              <w:t>培训完成时间</w:t>
            </w:r>
          </w:p>
        </w:tc>
        <w:tc>
          <w:tcPr>
            <w:tcW w:w="2551" w:type="dxa"/>
            <w:vAlign w:val="center"/>
          </w:tcPr>
          <w:p>
            <w:pPr>
              <w:pStyle w:val="16"/>
            </w:pPr>
            <w:r>
              <w:rPr>
                <w:rFonts w:hint="eastAsia"/>
              </w:rPr>
              <w:t>≤</w:t>
            </w:r>
            <w:r>
              <w:t>12</w:t>
            </w:r>
            <w:r>
              <w:rPr>
                <w:rFonts w:hint="eastAsia"/>
              </w:rPr>
              <w:t>月底</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培训成本</w:t>
            </w:r>
          </w:p>
        </w:tc>
        <w:tc>
          <w:tcPr>
            <w:tcW w:w="2835" w:type="dxa"/>
            <w:vAlign w:val="center"/>
          </w:tcPr>
          <w:p>
            <w:pPr>
              <w:pStyle w:val="16"/>
            </w:pPr>
            <w:r>
              <w:rPr>
                <w:rFonts w:hint="eastAsia"/>
              </w:rPr>
              <w:t>培训成本</w:t>
            </w:r>
          </w:p>
        </w:tc>
        <w:tc>
          <w:tcPr>
            <w:tcW w:w="2551" w:type="dxa"/>
            <w:vAlign w:val="center"/>
          </w:tcPr>
          <w:p>
            <w:pPr>
              <w:pStyle w:val="16"/>
            </w:pPr>
            <w:r>
              <w:rPr>
                <w:rFonts w:hint="eastAsia"/>
              </w:rPr>
              <w:t>≤</w:t>
            </w:r>
            <w:r>
              <w:t>10</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政策掌握程度显著提高</w:t>
            </w:r>
          </w:p>
        </w:tc>
        <w:tc>
          <w:tcPr>
            <w:tcW w:w="2835" w:type="dxa"/>
            <w:vAlign w:val="center"/>
          </w:tcPr>
          <w:p>
            <w:pPr>
              <w:pStyle w:val="16"/>
            </w:pPr>
            <w:r>
              <w:rPr>
                <w:rFonts w:hint="eastAsia"/>
              </w:rPr>
              <w:t>政策掌握程度显著提高</w:t>
            </w:r>
          </w:p>
        </w:tc>
        <w:tc>
          <w:tcPr>
            <w:tcW w:w="2551" w:type="dxa"/>
            <w:vAlign w:val="center"/>
          </w:tcPr>
          <w:p>
            <w:pPr>
              <w:pStyle w:val="16"/>
            </w:pPr>
            <w:r>
              <w:rPr>
                <w:rFonts w:hint="eastAsia"/>
              </w:rPr>
              <w:t>政策掌握程度显著提高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财务人员业务水平提高</w:t>
            </w:r>
          </w:p>
        </w:tc>
        <w:tc>
          <w:tcPr>
            <w:tcW w:w="2835" w:type="dxa"/>
            <w:vAlign w:val="center"/>
          </w:tcPr>
          <w:p>
            <w:pPr>
              <w:pStyle w:val="16"/>
            </w:pPr>
            <w:r>
              <w:rPr>
                <w:rFonts w:hint="eastAsia"/>
              </w:rPr>
              <w:t>财务人员业务水平提高</w:t>
            </w:r>
          </w:p>
        </w:tc>
        <w:tc>
          <w:tcPr>
            <w:tcW w:w="2551" w:type="dxa"/>
            <w:vAlign w:val="center"/>
          </w:tcPr>
          <w:p>
            <w:pPr>
              <w:pStyle w:val="16"/>
            </w:pPr>
            <w:r>
              <w:rPr>
                <w:rFonts w:hint="eastAsia"/>
              </w:rPr>
              <w:t>财务人员业务水平提高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、预算单位会计核算平台经费绩效目标表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保障我县</w:t>
            </w:r>
            <w:r>
              <w:t>95</w:t>
            </w:r>
            <w:r>
              <w:rPr>
                <w:rFonts w:hint="eastAsia"/>
              </w:rPr>
              <w:t>家一级预算单位能正常使用会计核算平台进行各项账务处理，提供必要的系统维护、业务培训、技术支持等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预算单位覆盖数</w:t>
            </w:r>
          </w:p>
        </w:tc>
        <w:tc>
          <w:tcPr>
            <w:tcW w:w="2835" w:type="dxa"/>
            <w:vAlign w:val="center"/>
          </w:tcPr>
          <w:p>
            <w:pPr>
              <w:pStyle w:val="16"/>
            </w:pPr>
            <w:r>
              <w:rPr>
                <w:rFonts w:hint="eastAsia"/>
              </w:rPr>
              <w:t>使用会计核算平台的一级预算单位数量</w:t>
            </w:r>
          </w:p>
        </w:tc>
        <w:tc>
          <w:tcPr>
            <w:tcW w:w="2551" w:type="dxa"/>
            <w:vAlign w:val="center"/>
          </w:tcPr>
          <w:p>
            <w:pPr>
              <w:pStyle w:val="16"/>
            </w:pPr>
            <w:r>
              <w:t>95</w:t>
            </w:r>
            <w:r>
              <w:rPr>
                <w:rFonts w:hint="eastAsia"/>
              </w:rPr>
              <w:t>个</w:t>
            </w:r>
          </w:p>
        </w:tc>
        <w:tc>
          <w:tcPr>
            <w:tcW w:w="2268" w:type="dxa"/>
            <w:vAlign w:val="center"/>
          </w:tcPr>
          <w:p>
            <w:pPr>
              <w:pStyle w:val="16"/>
            </w:pPr>
            <w:r>
              <w:rPr>
                <w:rFonts w:hint="eastAsia"/>
              </w:rP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顺利完成账务工作</w:t>
            </w:r>
          </w:p>
        </w:tc>
        <w:tc>
          <w:tcPr>
            <w:tcW w:w="2835" w:type="dxa"/>
            <w:vAlign w:val="center"/>
          </w:tcPr>
          <w:p>
            <w:pPr>
              <w:pStyle w:val="16"/>
            </w:pPr>
            <w:r>
              <w:rPr>
                <w:rFonts w:hint="eastAsia"/>
              </w:rPr>
              <w:t>本年账务工作顺利开展</w:t>
            </w:r>
          </w:p>
        </w:tc>
        <w:tc>
          <w:tcPr>
            <w:tcW w:w="2551" w:type="dxa"/>
            <w:vAlign w:val="center"/>
          </w:tcPr>
          <w:p>
            <w:pPr>
              <w:pStyle w:val="16"/>
            </w:pPr>
            <w:r>
              <w:t>12</w:t>
            </w:r>
            <w:r>
              <w:rPr>
                <w:rFonts w:hint="eastAsia"/>
              </w:rPr>
              <w:t>个月</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及时排除故障</w:t>
            </w:r>
          </w:p>
        </w:tc>
        <w:tc>
          <w:tcPr>
            <w:tcW w:w="2835" w:type="dxa"/>
            <w:vAlign w:val="center"/>
          </w:tcPr>
          <w:p>
            <w:pPr>
              <w:pStyle w:val="16"/>
            </w:pPr>
            <w:r>
              <w:rPr>
                <w:rFonts w:hint="eastAsia"/>
              </w:rPr>
              <w:t>会计核算平台出现故障时，能及时得到解决</w:t>
            </w:r>
          </w:p>
        </w:tc>
        <w:tc>
          <w:tcPr>
            <w:tcW w:w="2551" w:type="dxa"/>
            <w:vAlign w:val="center"/>
          </w:tcPr>
          <w:p>
            <w:pPr>
              <w:pStyle w:val="16"/>
            </w:pPr>
            <w:r>
              <w:rPr>
                <w:rFonts w:hint="eastAsia"/>
              </w:rPr>
              <w:t>及时排除故障，不影响正常工作</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15.15</w:t>
            </w:r>
            <w:r>
              <w:rPr>
                <w:rFonts w:hint="eastAsia"/>
              </w:rPr>
              <w:t>万元</w:t>
            </w:r>
          </w:p>
        </w:tc>
        <w:tc>
          <w:tcPr>
            <w:tcW w:w="2268" w:type="dxa"/>
            <w:vAlign w:val="center"/>
          </w:tcPr>
          <w:p>
            <w:pPr>
              <w:pStyle w:val="16"/>
            </w:pPr>
            <w:r>
              <w:rPr>
                <w:rFonts w:hint="eastAsia"/>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账务工作顺利开展</w:t>
            </w:r>
          </w:p>
        </w:tc>
        <w:tc>
          <w:tcPr>
            <w:tcW w:w="2835" w:type="dxa"/>
            <w:vAlign w:val="center"/>
          </w:tcPr>
          <w:p>
            <w:pPr>
              <w:pStyle w:val="16"/>
            </w:pPr>
            <w:r>
              <w:rPr>
                <w:rFonts w:hint="eastAsia"/>
              </w:rPr>
              <w:t>账务工作顺利开展</w:t>
            </w:r>
          </w:p>
        </w:tc>
        <w:tc>
          <w:tcPr>
            <w:tcW w:w="2551" w:type="dxa"/>
            <w:vAlign w:val="center"/>
          </w:tcPr>
          <w:p>
            <w:pPr>
              <w:pStyle w:val="16"/>
            </w:pPr>
            <w:r>
              <w:rPr>
                <w:rFonts w:hint="eastAsia"/>
              </w:rPr>
              <w:t>账务工作进展顺利</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会计核算平台稳定运行</w:t>
            </w:r>
          </w:p>
        </w:tc>
        <w:tc>
          <w:tcPr>
            <w:tcW w:w="2551" w:type="dxa"/>
            <w:vAlign w:val="center"/>
          </w:tcPr>
          <w:p>
            <w:pPr>
              <w:pStyle w:val="16"/>
            </w:pPr>
            <w:r>
              <w:rPr>
                <w:rFonts w:hint="eastAsia"/>
              </w:rPr>
              <w:t>会计核算平台稳定运行</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使用单位满意度</w:t>
            </w:r>
          </w:p>
        </w:tc>
        <w:tc>
          <w:tcPr>
            <w:tcW w:w="2835" w:type="dxa"/>
            <w:vAlign w:val="center"/>
          </w:tcPr>
          <w:p>
            <w:pPr>
              <w:pStyle w:val="16"/>
            </w:pPr>
            <w:r>
              <w:rPr>
                <w:rFonts w:hint="eastAsia"/>
              </w:rPr>
              <w:t>使用单位满意的数量占总使用数量的比例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、预算绩效管理经费绩效目标表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强化各部门预算绩效管理责任，促进绩效目标实现，确保财政资金使用效益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对全县单位绩效管理覆盖率</w:t>
            </w:r>
          </w:p>
        </w:tc>
        <w:tc>
          <w:tcPr>
            <w:tcW w:w="2835" w:type="dxa"/>
            <w:vAlign w:val="center"/>
          </w:tcPr>
          <w:p>
            <w:pPr>
              <w:pStyle w:val="16"/>
            </w:pPr>
            <w:r>
              <w:rPr>
                <w:rFonts w:hint="eastAsia"/>
              </w:rPr>
              <w:t>对全县单位绩效管理覆盖率</w:t>
            </w:r>
          </w:p>
        </w:tc>
        <w:tc>
          <w:tcPr>
            <w:tcW w:w="2551" w:type="dxa"/>
            <w:vAlign w:val="center"/>
          </w:tcPr>
          <w:p>
            <w:pPr>
              <w:pStyle w:val="16"/>
            </w:pPr>
            <w:r>
              <w:t>100%</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绩效考核结果</w:t>
            </w:r>
          </w:p>
        </w:tc>
        <w:tc>
          <w:tcPr>
            <w:tcW w:w="2835" w:type="dxa"/>
            <w:vAlign w:val="center"/>
          </w:tcPr>
          <w:p>
            <w:pPr>
              <w:pStyle w:val="16"/>
            </w:pPr>
            <w:r>
              <w:rPr>
                <w:rFonts w:hint="eastAsia"/>
              </w:rPr>
              <w:t>绩效考核结果</w:t>
            </w:r>
          </w:p>
        </w:tc>
        <w:tc>
          <w:tcPr>
            <w:tcW w:w="2551" w:type="dxa"/>
            <w:vAlign w:val="center"/>
          </w:tcPr>
          <w:p>
            <w:pPr>
              <w:pStyle w:val="16"/>
            </w:pPr>
            <w:r>
              <w:rPr>
                <w:rFonts w:hint="eastAsia"/>
              </w:rPr>
              <w:t>良好以上等次</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绩效管理开展及时率</w:t>
            </w:r>
          </w:p>
        </w:tc>
        <w:tc>
          <w:tcPr>
            <w:tcW w:w="2835" w:type="dxa"/>
            <w:vAlign w:val="center"/>
          </w:tcPr>
          <w:p>
            <w:pPr>
              <w:pStyle w:val="16"/>
            </w:pPr>
            <w:r>
              <w:rPr>
                <w:rFonts w:hint="eastAsia"/>
              </w:rPr>
              <w:t>绩效管理开展及时率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120</w:t>
            </w:r>
            <w:r>
              <w:rPr>
                <w:rFonts w:hint="eastAsia"/>
              </w:rPr>
              <w:t>万元</w:t>
            </w:r>
          </w:p>
        </w:tc>
        <w:tc>
          <w:tcPr>
            <w:tcW w:w="2268" w:type="dxa"/>
            <w:vAlign w:val="center"/>
          </w:tcPr>
          <w:p>
            <w:pPr>
              <w:pStyle w:val="16"/>
            </w:pPr>
            <w:r>
              <w:rPr>
                <w:rFonts w:hint="eastAsia"/>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绩效管理水平显著提高</w:t>
            </w:r>
          </w:p>
        </w:tc>
        <w:tc>
          <w:tcPr>
            <w:tcW w:w="2835" w:type="dxa"/>
            <w:vAlign w:val="center"/>
          </w:tcPr>
          <w:p>
            <w:pPr>
              <w:pStyle w:val="16"/>
            </w:pPr>
            <w:r>
              <w:rPr>
                <w:rFonts w:hint="eastAsia"/>
              </w:rPr>
              <w:t>绩效管理水平显著提高</w:t>
            </w:r>
          </w:p>
        </w:tc>
        <w:tc>
          <w:tcPr>
            <w:tcW w:w="2551" w:type="dxa"/>
            <w:vAlign w:val="center"/>
          </w:tcPr>
          <w:p>
            <w:pPr>
              <w:pStyle w:val="16"/>
            </w:pPr>
            <w:r>
              <w:rPr>
                <w:rFonts w:hint="eastAsia"/>
              </w:rPr>
              <w:t>绩效管理水平显著提高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财政资金使用效益显著提高</w:t>
            </w:r>
          </w:p>
        </w:tc>
        <w:tc>
          <w:tcPr>
            <w:tcW w:w="2835" w:type="dxa"/>
            <w:vAlign w:val="center"/>
          </w:tcPr>
          <w:p>
            <w:pPr>
              <w:pStyle w:val="16"/>
            </w:pPr>
            <w:r>
              <w:rPr>
                <w:rFonts w:hint="eastAsia"/>
              </w:rPr>
              <w:t>财政资金使用效益显著提高</w:t>
            </w:r>
          </w:p>
        </w:tc>
        <w:tc>
          <w:tcPr>
            <w:tcW w:w="2551" w:type="dxa"/>
            <w:vAlign w:val="center"/>
          </w:tcPr>
          <w:p>
            <w:pPr>
              <w:pStyle w:val="16"/>
            </w:pPr>
            <w:r>
              <w:rPr>
                <w:rFonts w:hint="eastAsia"/>
              </w:rPr>
              <w:t>财政资金使用效益显著提高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群众满意人数占总人数的比例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、政府投资企业及投资平台负责人绩效考核绩效目标表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促进全县</w:t>
            </w:r>
            <w:r>
              <w:t>40</w:t>
            </w:r>
            <w:r>
              <w:rPr>
                <w:rFonts w:hint="eastAsia"/>
              </w:rPr>
              <w:t>多家国有企业和国有控股企业保值增值、增强企业的可持续发展能力，提高整个经济的活力</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审计企业覆盖数</w:t>
            </w:r>
          </w:p>
        </w:tc>
        <w:tc>
          <w:tcPr>
            <w:tcW w:w="2835" w:type="dxa"/>
            <w:vAlign w:val="center"/>
          </w:tcPr>
          <w:p>
            <w:pPr>
              <w:pStyle w:val="16"/>
            </w:pPr>
            <w:r>
              <w:rPr>
                <w:rFonts w:hint="eastAsia"/>
              </w:rPr>
              <w:t>接受审计的企业数量</w:t>
            </w:r>
          </w:p>
        </w:tc>
        <w:tc>
          <w:tcPr>
            <w:tcW w:w="2551" w:type="dxa"/>
            <w:vAlign w:val="center"/>
          </w:tcPr>
          <w:p>
            <w:pPr>
              <w:pStyle w:val="16"/>
            </w:pPr>
            <w:r>
              <w:rPr>
                <w:rFonts w:hint="eastAsia"/>
              </w:rPr>
              <w:t>≥</w:t>
            </w:r>
            <w:r>
              <w:t>40</w:t>
            </w:r>
            <w:r>
              <w:rPr>
                <w:rFonts w:hint="eastAsia"/>
              </w:rPr>
              <w:t>个</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完成工作合格率</w:t>
            </w:r>
          </w:p>
        </w:tc>
        <w:tc>
          <w:tcPr>
            <w:tcW w:w="2835" w:type="dxa"/>
            <w:vAlign w:val="center"/>
          </w:tcPr>
          <w:p>
            <w:pPr>
              <w:pStyle w:val="16"/>
            </w:pPr>
            <w:r>
              <w:rPr>
                <w:rFonts w:hint="eastAsia"/>
              </w:rPr>
              <w:t>完成工作合格的数量占总工作数量的比例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按预定时间完成各项工作</w:t>
            </w:r>
          </w:p>
        </w:tc>
        <w:tc>
          <w:tcPr>
            <w:tcW w:w="2551" w:type="dxa"/>
            <w:vAlign w:val="center"/>
          </w:tcPr>
          <w:p>
            <w:pPr>
              <w:pStyle w:val="16"/>
            </w:pPr>
            <w:r>
              <w:t>12</w:t>
            </w:r>
            <w:r>
              <w:rPr>
                <w:rFonts w:hint="eastAsia"/>
              </w:rPr>
              <w:t>月底</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62</w:t>
            </w:r>
            <w:r>
              <w:rPr>
                <w:rFonts w:hint="eastAsia"/>
              </w:rPr>
              <w:t>万元</w:t>
            </w:r>
          </w:p>
        </w:tc>
        <w:tc>
          <w:tcPr>
            <w:tcW w:w="2268" w:type="dxa"/>
            <w:vAlign w:val="center"/>
          </w:tcPr>
          <w:p>
            <w:pPr>
              <w:pStyle w:val="16"/>
            </w:pPr>
            <w:r>
              <w:rPr>
                <w:rFonts w:hint="eastAsia"/>
              </w:rPr>
              <w:t>签订服务合同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企业经济管理水平显著提高</w:t>
            </w:r>
          </w:p>
        </w:tc>
        <w:tc>
          <w:tcPr>
            <w:tcW w:w="2835" w:type="dxa"/>
            <w:vAlign w:val="center"/>
          </w:tcPr>
          <w:p>
            <w:pPr>
              <w:pStyle w:val="16"/>
            </w:pPr>
            <w:r>
              <w:rPr>
                <w:rFonts w:hint="eastAsia"/>
              </w:rPr>
              <w:t>提高了企业经济管理水平和绩效</w:t>
            </w:r>
          </w:p>
        </w:tc>
        <w:tc>
          <w:tcPr>
            <w:tcW w:w="2551" w:type="dxa"/>
            <w:vAlign w:val="center"/>
          </w:tcPr>
          <w:p>
            <w:pPr>
              <w:pStyle w:val="16"/>
            </w:pPr>
            <w:r>
              <w:rPr>
                <w:rFonts w:hint="eastAsia"/>
              </w:rPr>
              <w:t>促进企业经济管理水平和经济效益的提高</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保护公共利益</w:t>
            </w:r>
          </w:p>
        </w:tc>
        <w:tc>
          <w:tcPr>
            <w:tcW w:w="2835" w:type="dxa"/>
            <w:vAlign w:val="center"/>
          </w:tcPr>
          <w:p>
            <w:pPr>
              <w:pStyle w:val="16"/>
            </w:pPr>
            <w:r>
              <w:rPr>
                <w:rFonts w:hint="eastAsia"/>
              </w:rPr>
              <w:t>防止国有资产流失，保护社会公共利益</w:t>
            </w:r>
          </w:p>
        </w:tc>
        <w:tc>
          <w:tcPr>
            <w:tcW w:w="2551" w:type="dxa"/>
            <w:vAlign w:val="center"/>
          </w:tcPr>
          <w:p>
            <w:pPr>
              <w:pStyle w:val="16"/>
            </w:pPr>
            <w:r>
              <w:rPr>
                <w:rFonts w:hint="eastAsia"/>
              </w:rPr>
              <w:t>防止国有资产流失，促进现代企业制度完善，保护社会公共利益</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企业满意度</w:t>
            </w:r>
          </w:p>
        </w:tc>
        <w:tc>
          <w:tcPr>
            <w:tcW w:w="2835" w:type="dxa"/>
            <w:vAlign w:val="center"/>
          </w:tcPr>
          <w:p>
            <w:pPr>
              <w:pStyle w:val="16"/>
            </w:pPr>
            <w:r>
              <w:rPr>
                <w:rFonts w:hint="eastAsia"/>
              </w:rPr>
              <w:t>企业满意的数量占总企业数量的比例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、资产证券化项目前期费用绩效目标表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确保资产证券化工作顺利推进，支付第三方服务机构前期服务费。</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完成工作率</w:t>
            </w:r>
          </w:p>
        </w:tc>
        <w:tc>
          <w:tcPr>
            <w:tcW w:w="2835" w:type="dxa"/>
            <w:vAlign w:val="center"/>
          </w:tcPr>
          <w:p>
            <w:pPr>
              <w:pStyle w:val="16"/>
            </w:pPr>
            <w:r>
              <w:rPr>
                <w:rFonts w:hint="eastAsia"/>
              </w:rPr>
              <w:t>完成工作的数量占总工作数量的比例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完成工作合格率</w:t>
            </w:r>
          </w:p>
        </w:tc>
        <w:tc>
          <w:tcPr>
            <w:tcW w:w="2835" w:type="dxa"/>
            <w:vAlign w:val="center"/>
          </w:tcPr>
          <w:p>
            <w:pPr>
              <w:pStyle w:val="16"/>
            </w:pPr>
            <w:r>
              <w:rPr>
                <w:rFonts w:hint="eastAsia"/>
              </w:rPr>
              <w:t>完成工作合格的数量占总工作数量的比例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按预定时间完成各项工作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116</w:t>
            </w:r>
            <w:r>
              <w:rPr>
                <w:rFonts w:hint="eastAsia"/>
              </w:rPr>
              <w:t>万元</w:t>
            </w:r>
          </w:p>
        </w:tc>
        <w:tc>
          <w:tcPr>
            <w:tcW w:w="2268" w:type="dxa"/>
            <w:vAlign w:val="center"/>
          </w:tcPr>
          <w:p>
            <w:pPr>
              <w:pStyle w:val="16"/>
            </w:pPr>
            <w:r>
              <w:rPr>
                <w:rFonts w:hint="eastAsia"/>
              </w:rPr>
              <w:t>签订服务合同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经济水平显著提升</w:t>
            </w:r>
          </w:p>
        </w:tc>
        <w:tc>
          <w:tcPr>
            <w:tcW w:w="2835" w:type="dxa"/>
            <w:vAlign w:val="center"/>
          </w:tcPr>
          <w:p>
            <w:pPr>
              <w:pStyle w:val="16"/>
            </w:pPr>
            <w:r>
              <w:rPr>
                <w:rFonts w:hint="eastAsia"/>
              </w:rPr>
              <w:t>极大地促进了县域经济发展</w:t>
            </w:r>
          </w:p>
        </w:tc>
        <w:tc>
          <w:tcPr>
            <w:tcW w:w="2551" w:type="dxa"/>
            <w:vAlign w:val="center"/>
          </w:tcPr>
          <w:p>
            <w:pPr>
              <w:pStyle w:val="16"/>
            </w:pPr>
            <w:r>
              <w:rPr>
                <w:rFonts w:hint="eastAsia"/>
              </w:rPr>
              <w:t>对县域经济发展起到了极大地促进作用</w:t>
            </w:r>
          </w:p>
          <w:p>
            <w:pPr>
              <w:pStyle w:val="16"/>
            </w:pPr>
          </w:p>
        </w:tc>
        <w:tc>
          <w:tcPr>
            <w:tcW w:w="2268" w:type="dxa"/>
            <w:vAlign w:val="center"/>
          </w:tcPr>
          <w:p>
            <w:pPr>
              <w:pStyle w:val="16"/>
            </w:pPr>
            <w:r>
              <w:rPr>
                <w:rFonts w:hint="eastAsia"/>
              </w:rPr>
              <w:t>年度工作考核指标</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前期工作顺利完成</w:t>
            </w:r>
          </w:p>
        </w:tc>
        <w:tc>
          <w:tcPr>
            <w:tcW w:w="2835" w:type="dxa"/>
            <w:vAlign w:val="center"/>
          </w:tcPr>
          <w:p>
            <w:pPr>
              <w:pStyle w:val="16"/>
            </w:pPr>
            <w:r>
              <w:rPr>
                <w:rFonts w:hint="eastAsia"/>
              </w:rPr>
              <w:t>前期工作顺利完成</w:t>
            </w:r>
          </w:p>
        </w:tc>
        <w:tc>
          <w:tcPr>
            <w:tcW w:w="2551" w:type="dxa"/>
            <w:vAlign w:val="center"/>
          </w:tcPr>
          <w:p>
            <w:pPr>
              <w:pStyle w:val="16"/>
            </w:pPr>
            <w:r>
              <w:rPr>
                <w:rFonts w:hint="eastAsia"/>
              </w:rPr>
              <w:t>前期工作顺利完成</w:t>
            </w:r>
          </w:p>
        </w:tc>
        <w:tc>
          <w:tcPr>
            <w:tcW w:w="2268" w:type="dxa"/>
            <w:vAlign w:val="center"/>
          </w:tcPr>
          <w:p>
            <w:pPr>
              <w:pStyle w:val="16"/>
            </w:pPr>
            <w:r>
              <w:rPr>
                <w:rFonts w:hint="eastAsia"/>
              </w:rPr>
              <w:t>年度工作考核指标</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群众满意的人数占总人数的比例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144</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年中央农村综合改革转移支付资金绩效目标表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w:t>
            </w:r>
            <w:r>
              <w:t>25</w:t>
            </w:r>
            <w:r>
              <w:rPr>
                <w:rFonts w:hint="eastAsia"/>
              </w:rPr>
              <w:t>个村修建道路及亮化，建设基础设施等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硬化亮化农村覆盖数量</w:t>
            </w:r>
          </w:p>
        </w:tc>
        <w:tc>
          <w:tcPr>
            <w:tcW w:w="2835" w:type="dxa"/>
            <w:vAlign w:val="center"/>
          </w:tcPr>
          <w:p>
            <w:pPr>
              <w:pStyle w:val="16"/>
            </w:pPr>
            <w:r>
              <w:rPr>
                <w:rFonts w:hint="eastAsia"/>
              </w:rPr>
              <w:t>硬化亮化农村覆盖数量</w:t>
            </w:r>
          </w:p>
        </w:tc>
        <w:tc>
          <w:tcPr>
            <w:tcW w:w="2551" w:type="dxa"/>
            <w:vAlign w:val="center"/>
          </w:tcPr>
          <w:p>
            <w:pPr>
              <w:pStyle w:val="16"/>
            </w:pPr>
            <w:r>
              <w:rPr>
                <w:rFonts w:hint="eastAsia"/>
              </w:rPr>
              <w:t>≤</w:t>
            </w:r>
            <w:r>
              <w:t>25</w:t>
            </w:r>
            <w:r>
              <w:rPr>
                <w:rFonts w:hint="eastAsia"/>
              </w:rPr>
              <w:t>村</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质量达标率</w:t>
            </w:r>
          </w:p>
        </w:tc>
        <w:tc>
          <w:tcPr>
            <w:tcW w:w="2835" w:type="dxa"/>
            <w:vAlign w:val="center"/>
          </w:tcPr>
          <w:p>
            <w:pPr>
              <w:pStyle w:val="16"/>
            </w:pPr>
            <w:r>
              <w:rPr>
                <w:rFonts w:hint="eastAsia"/>
              </w:rPr>
              <w:t>质量合格的设施占总设施的比例</w:t>
            </w:r>
          </w:p>
        </w:tc>
        <w:tc>
          <w:tcPr>
            <w:tcW w:w="2551" w:type="dxa"/>
            <w:vAlign w:val="center"/>
          </w:tcPr>
          <w:p>
            <w:pPr>
              <w:pStyle w:val="16"/>
            </w:pPr>
            <w:r>
              <w:t>100%</w:t>
            </w:r>
          </w:p>
        </w:tc>
        <w:tc>
          <w:tcPr>
            <w:tcW w:w="2268" w:type="dxa"/>
            <w:vAlign w:val="center"/>
          </w:tcPr>
          <w:p>
            <w:pPr>
              <w:pStyle w:val="16"/>
            </w:pPr>
            <w:r>
              <w:rPr>
                <w:rFonts w:hint="eastAsia"/>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项目完工时限</w:t>
            </w:r>
          </w:p>
        </w:tc>
        <w:tc>
          <w:tcPr>
            <w:tcW w:w="2835" w:type="dxa"/>
            <w:vAlign w:val="center"/>
          </w:tcPr>
          <w:p>
            <w:pPr>
              <w:pStyle w:val="16"/>
            </w:pPr>
            <w:r>
              <w:rPr>
                <w:rFonts w:hint="eastAsia"/>
              </w:rPr>
              <w:t>项目完工时限</w:t>
            </w:r>
          </w:p>
        </w:tc>
        <w:tc>
          <w:tcPr>
            <w:tcW w:w="2551" w:type="dxa"/>
            <w:vAlign w:val="center"/>
          </w:tcPr>
          <w:p>
            <w:pPr>
              <w:pStyle w:val="16"/>
            </w:pPr>
            <w:r>
              <w:t>2023</w:t>
            </w:r>
            <w:r>
              <w:rPr>
                <w:rFonts w:hint="eastAsia"/>
              </w:rPr>
              <w:t>年</w:t>
            </w:r>
            <w:r>
              <w:t>12</w:t>
            </w:r>
            <w:r>
              <w:rPr>
                <w:rFonts w:hint="eastAsia"/>
              </w:rPr>
              <w:t>月月底</w:t>
            </w:r>
          </w:p>
        </w:tc>
        <w:tc>
          <w:tcPr>
            <w:tcW w:w="2268" w:type="dxa"/>
            <w:vAlign w:val="center"/>
          </w:tcPr>
          <w:p>
            <w:pPr>
              <w:pStyle w:val="16"/>
            </w:pPr>
            <w:r>
              <w:rPr>
                <w:rFonts w:hint="eastAsia"/>
              </w:rPr>
              <w:t>年底项目实施方案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成本控制</w:t>
            </w:r>
          </w:p>
        </w:tc>
        <w:tc>
          <w:tcPr>
            <w:tcW w:w="2551" w:type="dxa"/>
            <w:vAlign w:val="center"/>
          </w:tcPr>
          <w:p>
            <w:pPr>
              <w:pStyle w:val="16"/>
            </w:pPr>
            <w:r>
              <w:rPr>
                <w:rFonts w:hint="eastAsia"/>
              </w:rPr>
              <w:t>≤</w:t>
            </w:r>
            <w:r>
              <w:t>582</w:t>
            </w:r>
            <w:r>
              <w:rPr>
                <w:rFonts w:hint="eastAsia"/>
              </w:rPr>
              <w:t>万元</w:t>
            </w:r>
          </w:p>
        </w:tc>
        <w:tc>
          <w:tcPr>
            <w:tcW w:w="2268" w:type="dxa"/>
            <w:vAlign w:val="center"/>
          </w:tcPr>
          <w:p>
            <w:pPr>
              <w:pStyle w:val="16"/>
            </w:pPr>
            <w:r>
              <w:rPr>
                <w:rFonts w:hint="eastAsia"/>
              </w:rPr>
              <w:t>签订工程合同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农村经济水平提高</w:t>
            </w:r>
          </w:p>
        </w:tc>
        <w:tc>
          <w:tcPr>
            <w:tcW w:w="2835" w:type="dxa"/>
            <w:vAlign w:val="center"/>
          </w:tcPr>
          <w:p>
            <w:pPr>
              <w:pStyle w:val="16"/>
            </w:pPr>
            <w:r>
              <w:rPr>
                <w:rFonts w:hint="eastAsia"/>
              </w:rPr>
              <w:t>农村经济水平提高</w:t>
            </w:r>
          </w:p>
        </w:tc>
        <w:tc>
          <w:tcPr>
            <w:tcW w:w="2551" w:type="dxa"/>
            <w:vAlign w:val="center"/>
          </w:tcPr>
          <w:p>
            <w:pPr>
              <w:pStyle w:val="16"/>
            </w:pPr>
            <w:r>
              <w:rPr>
                <w:rFonts w:hint="eastAsia"/>
              </w:rPr>
              <w:t>农村经济水平提高、环境得到改善。</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农村生活环境水平持续提升</w:t>
            </w:r>
          </w:p>
        </w:tc>
        <w:tc>
          <w:tcPr>
            <w:tcW w:w="2835" w:type="dxa"/>
            <w:vAlign w:val="center"/>
          </w:tcPr>
          <w:p>
            <w:pPr>
              <w:pStyle w:val="16"/>
            </w:pPr>
            <w:r>
              <w:rPr>
                <w:rFonts w:hint="eastAsia"/>
              </w:rPr>
              <w:t>农村生活环境水平持续提升</w:t>
            </w:r>
          </w:p>
        </w:tc>
        <w:tc>
          <w:tcPr>
            <w:tcW w:w="2551" w:type="dxa"/>
            <w:vAlign w:val="center"/>
          </w:tcPr>
          <w:p>
            <w:pPr>
              <w:pStyle w:val="16"/>
            </w:pPr>
            <w:r>
              <w:rPr>
                <w:rFonts w:hint="eastAsia"/>
              </w:rPr>
              <w:t>农村生活环境水平持续提升</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163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年省级农村综合改革转移支付资金绩效目标表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w:t>
            </w:r>
            <w:r>
              <w:t>20</w:t>
            </w:r>
            <w:r>
              <w:rPr>
                <w:rFonts w:hint="eastAsia"/>
              </w:rPr>
              <w:t>个村修建道路，建设基础设施等</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硬化亮化农村覆盖数量</w:t>
            </w:r>
          </w:p>
        </w:tc>
        <w:tc>
          <w:tcPr>
            <w:tcW w:w="2835" w:type="dxa"/>
            <w:vAlign w:val="center"/>
          </w:tcPr>
          <w:p>
            <w:pPr>
              <w:pStyle w:val="16"/>
            </w:pPr>
            <w:r>
              <w:rPr>
                <w:rFonts w:hint="eastAsia"/>
              </w:rPr>
              <w:t>硬化亮化农村覆盖数量</w:t>
            </w:r>
          </w:p>
        </w:tc>
        <w:tc>
          <w:tcPr>
            <w:tcW w:w="2551" w:type="dxa"/>
            <w:vAlign w:val="center"/>
          </w:tcPr>
          <w:p>
            <w:pPr>
              <w:pStyle w:val="16"/>
            </w:pPr>
            <w:r>
              <w:rPr>
                <w:rFonts w:hint="eastAsia"/>
              </w:rPr>
              <w:t>≥</w:t>
            </w:r>
            <w:r>
              <w:t>20</w:t>
            </w:r>
            <w:r>
              <w:rPr>
                <w:rFonts w:hint="eastAsia"/>
              </w:rPr>
              <w:t>村</w:t>
            </w:r>
          </w:p>
        </w:tc>
        <w:tc>
          <w:tcPr>
            <w:tcW w:w="2268" w:type="dxa"/>
            <w:vAlign w:val="center"/>
          </w:tcPr>
          <w:p>
            <w:pPr>
              <w:pStyle w:val="16"/>
            </w:pPr>
            <w:r>
              <w:rPr>
                <w:rFonts w:hint="eastAsia"/>
              </w:rP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质量达标率</w:t>
            </w:r>
          </w:p>
        </w:tc>
        <w:tc>
          <w:tcPr>
            <w:tcW w:w="2835" w:type="dxa"/>
            <w:vAlign w:val="center"/>
          </w:tcPr>
          <w:p>
            <w:pPr>
              <w:pStyle w:val="16"/>
            </w:pPr>
            <w:r>
              <w:rPr>
                <w:rFonts w:hint="eastAsia"/>
              </w:rPr>
              <w:t>质量合格的设施占总设施的比例</w:t>
            </w:r>
          </w:p>
        </w:tc>
        <w:tc>
          <w:tcPr>
            <w:tcW w:w="2551" w:type="dxa"/>
            <w:vAlign w:val="center"/>
          </w:tcPr>
          <w:p>
            <w:pPr>
              <w:pStyle w:val="16"/>
            </w:pPr>
            <w:r>
              <w:t>100%</w:t>
            </w:r>
          </w:p>
        </w:tc>
        <w:tc>
          <w:tcPr>
            <w:tcW w:w="2268" w:type="dxa"/>
            <w:vAlign w:val="center"/>
          </w:tcPr>
          <w:p>
            <w:pPr>
              <w:pStyle w:val="16"/>
            </w:pPr>
            <w:r>
              <w:rPr>
                <w:rFonts w:hint="eastAsia"/>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项目完工时限</w:t>
            </w:r>
          </w:p>
        </w:tc>
        <w:tc>
          <w:tcPr>
            <w:tcW w:w="2835" w:type="dxa"/>
            <w:vAlign w:val="center"/>
          </w:tcPr>
          <w:p>
            <w:pPr>
              <w:pStyle w:val="16"/>
            </w:pPr>
            <w:r>
              <w:rPr>
                <w:rFonts w:hint="eastAsia"/>
              </w:rPr>
              <w:t>项目完工时限</w:t>
            </w:r>
          </w:p>
        </w:tc>
        <w:tc>
          <w:tcPr>
            <w:tcW w:w="2551" w:type="dxa"/>
            <w:vAlign w:val="center"/>
          </w:tcPr>
          <w:p>
            <w:pPr>
              <w:pStyle w:val="16"/>
            </w:pPr>
            <w:r>
              <w:t>2023</w:t>
            </w:r>
            <w:r>
              <w:rPr>
                <w:rFonts w:hint="eastAsia"/>
              </w:rPr>
              <w:t>年</w:t>
            </w:r>
            <w:r>
              <w:t>12</w:t>
            </w:r>
            <w:r>
              <w:rPr>
                <w:rFonts w:hint="eastAsia"/>
              </w:rPr>
              <w:t>月底</w:t>
            </w:r>
          </w:p>
        </w:tc>
        <w:tc>
          <w:tcPr>
            <w:tcW w:w="2268" w:type="dxa"/>
            <w:vAlign w:val="center"/>
          </w:tcPr>
          <w:p>
            <w:pPr>
              <w:pStyle w:val="16"/>
            </w:pPr>
            <w:r>
              <w:rPr>
                <w:rFonts w:hint="eastAsia"/>
              </w:rPr>
              <w:t>年底项目实施方案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成本控制</w:t>
            </w:r>
          </w:p>
        </w:tc>
        <w:tc>
          <w:tcPr>
            <w:tcW w:w="2551" w:type="dxa"/>
            <w:vAlign w:val="center"/>
          </w:tcPr>
          <w:p>
            <w:pPr>
              <w:pStyle w:val="16"/>
            </w:pPr>
            <w:r>
              <w:rPr>
                <w:rFonts w:hint="eastAsia"/>
              </w:rPr>
              <w:t>≤</w:t>
            </w:r>
            <w:r>
              <w:t>512</w:t>
            </w:r>
            <w:r>
              <w:rPr>
                <w:rFonts w:hint="eastAsia"/>
              </w:rPr>
              <w:t>万元</w:t>
            </w:r>
          </w:p>
        </w:tc>
        <w:tc>
          <w:tcPr>
            <w:tcW w:w="2268" w:type="dxa"/>
            <w:vAlign w:val="center"/>
          </w:tcPr>
          <w:p>
            <w:pPr>
              <w:pStyle w:val="16"/>
            </w:pPr>
            <w:r>
              <w:rPr>
                <w:rFonts w:hint="eastAsia"/>
              </w:rPr>
              <w:t>签订工程合同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农村经济水平提高</w:t>
            </w:r>
          </w:p>
        </w:tc>
        <w:tc>
          <w:tcPr>
            <w:tcW w:w="2835" w:type="dxa"/>
            <w:vAlign w:val="center"/>
          </w:tcPr>
          <w:p>
            <w:pPr>
              <w:pStyle w:val="16"/>
            </w:pPr>
            <w:r>
              <w:rPr>
                <w:rFonts w:hint="eastAsia"/>
              </w:rPr>
              <w:t>农村经济水平提高</w:t>
            </w:r>
          </w:p>
        </w:tc>
        <w:tc>
          <w:tcPr>
            <w:tcW w:w="2551" w:type="dxa"/>
            <w:vAlign w:val="center"/>
          </w:tcPr>
          <w:p>
            <w:pPr>
              <w:pStyle w:val="16"/>
            </w:pPr>
            <w:r>
              <w:rPr>
                <w:rFonts w:hint="eastAsia"/>
              </w:rPr>
              <w:t>农村经济水平提高、环境得到了改善</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提高了项目所在地基础干部工作效率</w:t>
            </w:r>
          </w:p>
        </w:tc>
        <w:tc>
          <w:tcPr>
            <w:tcW w:w="2835" w:type="dxa"/>
            <w:vAlign w:val="center"/>
          </w:tcPr>
          <w:p>
            <w:pPr>
              <w:pStyle w:val="16"/>
            </w:pPr>
            <w:r>
              <w:rPr>
                <w:rFonts w:hint="eastAsia"/>
              </w:rPr>
              <w:t>提高了项目所在地基础干部工作效率</w:t>
            </w:r>
          </w:p>
        </w:tc>
        <w:tc>
          <w:tcPr>
            <w:tcW w:w="2551" w:type="dxa"/>
            <w:vAlign w:val="center"/>
          </w:tcPr>
          <w:p>
            <w:pPr>
              <w:pStyle w:val="16"/>
            </w:pPr>
            <w:r>
              <w:rPr>
                <w:rFonts w:hint="eastAsia"/>
              </w:rPr>
              <w:t>得到了群众和基础干部的广泛拥护</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、全县农村环境整治资金绩效目标表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对</w:t>
            </w:r>
            <w:r>
              <w:t>22</w:t>
            </w:r>
            <w:r>
              <w:rPr>
                <w:rFonts w:hint="eastAsia"/>
              </w:rPr>
              <w:t>个乡镇进行环境整治，改善农村居民居住环境，实现垃圾资源化利用</w:t>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对</w:t>
            </w:r>
            <w:r>
              <w:t>22</w:t>
            </w:r>
            <w:r>
              <w:rPr>
                <w:rFonts w:hint="eastAsia"/>
              </w:rPr>
              <w:t>个乡镇进行环境整治</w:t>
            </w:r>
          </w:p>
        </w:tc>
        <w:tc>
          <w:tcPr>
            <w:tcW w:w="2835" w:type="dxa"/>
            <w:vAlign w:val="center"/>
          </w:tcPr>
          <w:p>
            <w:pPr>
              <w:pStyle w:val="16"/>
            </w:pPr>
            <w:r>
              <w:rPr>
                <w:rFonts w:hint="eastAsia"/>
              </w:rPr>
              <w:t>对</w:t>
            </w:r>
            <w:r>
              <w:t>22</w:t>
            </w:r>
            <w:r>
              <w:rPr>
                <w:rFonts w:hint="eastAsia"/>
              </w:rPr>
              <w:t>个乡镇进行环境整治</w:t>
            </w:r>
          </w:p>
        </w:tc>
        <w:tc>
          <w:tcPr>
            <w:tcW w:w="2551" w:type="dxa"/>
            <w:vAlign w:val="center"/>
          </w:tcPr>
          <w:p>
            <w:pPr>
              <w:pStyle w:val="16"/>
            </w:pPr>
            <w:r>
              <w:t>22</w:t>
            </w:r>
            <w:r>
              <w:rPr>
                <w:rFonts w:hint="eastAsia"/>
              </w:rPr>
              <w:t>个</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保洁费发放率</w:t>
            </w:r>
          </w:p>
        </w:tc>
        <w:tc>
          <w:tcPr>
            <w:tcW w:w="2835" w:type="dxa"/>
            <w:vAlign w:val="center"/>
          </w:tcPr>
          <w:p>
            <w:pPr>
              <w:pStyle w:val="16"/>
            </w:pPr>
            <w:r>
              <w:rPr>
                <w:rFonts w:hint="eastAsia"/>
              </w:rPr>
              <w:t>保洁费发放率</w:t>
            </w:r>
          </w:p>
        </w:tc>
        <w:tc>
          <w:tcPr>
            <w:tcW w:w="2551" w:type="dxa"/>
            <w:vAlign w:val="center"/>
          </w:tcPr>
          <w:p>
            <w:pPr>
              <w:pStyle w:val="16"/>
            </w:pPr>
            <w:r>
              <w:t>100%</w:t>
            </w:r>
          </w:p>
        </w:tc>
        <w:tc>
          <w:tcPr>
            <w:tcW w:w="2268" w:type="dxa"/>
            <w:vAlign w:val="center"/>
          </w:tcPr>
          <w:p>
            <w:pPr>
              <w:pStyle w:val="16"/>
            </w:pPr>
            <w:r>
              <w:rPr>
                <w:rFonts w:hint="eastAsia"/>
              </w:rPr>
              <w:t>保洁费发放率达到</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p>
        </w:tc>
        <w:tc>
          <w:tcPr>
            <w:tcW w:w="2835" w:type="dxa"/>
            <w:vAlign w:val="center"/>
          </w:tcPr>
          <w:p>
            <w:pPr>
              <w:pStyle w:val="16"/>
            </w:pPr>
            <w:r>
              <w:rPr>
                <w:rFonts w:hint="eastAsia"/>
              </w:rPr>
              <w:t>完成时限</w:t>
            </w:r>
          </w:p>
        </w:tc>
        <w:tc>
          <w:tcPr>
            <w:tcW w:w="2551" w:type="dxa"/>
            <w:vAlign w:val="center"/>
          </w:tcPr>
          <w:p>
            <w:pPr>
              <w:pStyle w:val="16"/>
            </w:pPr>
            <w:r>
              <w:t>2013</w:t>
            </w:r>
            <w:r>
              <w:rPr>
                <w:rFonts w:hint="eastAsia"/>
              </w:rPr>
              <w:t>年</w:t>
            </w:r>
            <w:r>
              <w:t>12</w:t>
            </w:r>
            <w:r>
              <w:rPr>
                <w:rFonts w:hint="eastAsia"/>
              </w:rPr>
              <w:t>月底</w:t>
            </w:r>
          </w:p>
        </w:tc>
        <w:tc>
          <w:tcPr>
            <w:tcW w:w="2268" w:type="dxa"/>
            <w:vAlign w:val="center"/>
          </w:tcPr>
          <w:p>
            <w:pPr>
              <w:pStyle w:val="16"/>
            </w:pPr>
            <w:r>
              <w:t>2023</w:t>
            </w:r>
            <w:r>
              <w:rPr>
                <w:rFonts w:hint="eastAsia"/>
              </w:rPr>
              <w:t>年</w:t>
            </w:r>
            <w:r>
              <w:t>12</w:t>
            </w:r>
            <w:r>
              <w:rPr>
                <w:rFonts w:hint="eastAsia"/>
              </w:rPr>
              <w:t>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资金成本</w:t>
            </w:r>
          </w:p>
        </w:tc>
        <w:tc>
          <w:tcPr>
            <w:tcW w:w="2551" w:type="dxa"/>
            <w:vAlign w:val="center"/>
          </w:tcPr>
          <w:p>
            <w:pPr>
              <w:pStyle w:val="16"/>
            </w:pPr>
            <w:r>
              <w:t>4829</w:t>
            </w:r>
            <w:r>
              <w:rPr>
                <w:rFonts w:hint="eastAsia"/>
              </w:rPr>
              <w:t>万元</w:t>
            </w:r>
          </w:p>
        </w:tc>
        <w:tc>
          <w:tcPr>
            <w:tcW w:w="2268" w:type="dxa"/>
            <w:vAlign w:val="center"/>
          </w:tcPr>
          <w:p>
            <w:pPr>
              <w:pStyle w:val="16"/>
            </w:pPr>
            <w:r>
              <w:rPr>
                <w:rFonts w:hint="eastAsia"/>
              </w:rPr>
              <w:t>资金成本是</w:t>
            </w:r>
            <w:r>
              <w:t>4829</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改善农村居民居住环境</w:t>
            </w:r>
          </w:p>
        </w:tc>
        <w:tc>
          <w:tcPr>
            <w:tcW w:w="2835" w:type="dxa"/>
            <w:vAlign w:val="center"/>
          </w:tcPr>
          <w:p>
            <w:pPr>
              <w:pStyle w:val="16"/>
            </w:pPr>
            <w:r>
              <w:rPr>
                <w:rFonts w:hint="eastAsia"/>
              </w:rPr>
              <w:t>改善农村居民居住环境</w:t>
            </w:r>
          </w:p>
        </w:tc>
        <w:tc>
          <w:tcPr>
            <w:tcW w:w="2551" w:type="dxa"/>
            <w:vAlign w:val="center"/>
          </w:tcPr>
          <w:p>
            <w:pPr>
              <w:pStyle w:val="16"/>
            </w:pPr>
            <w:r>
              <w:rPr>
                <w:rFonts w:hint="eastAsia"/>
              </w:rPr>
              <w:t>改善农村居民居住环境、提高生活水平</w:t>
            </w:r>
          </w:p>
        </w:tc>
        <w:tc>
          <w:tcPr>
            <w:tcW w:w="2268" w:type="dxa"/>
            <w:vAlign w:val="center"/>
          </w:tcPr>
          <w:p>
            <w:pPr>
              <w:pStyle w:val="16"/>
            </w:pPr>
            <w:r>
              <w:rPr>
                <w:rFonts w:hint="eastAsia"/>
              </w:rPr>
              <w:t>改善农村居民居住环境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实现垃圾资源化利用</w:t>
            </w:r>
          </w:p>
        </w:tc>
        <w:tc>
          <w:tcPr>
            <w:tcW w:w="2835" w:type="dxa"/>
            <w:vAlign w:val="center"/>
          </w:tcPr>
          <w:p>
            <w:pPr>
              <w:pStyle w:val="16"/>
            </w:pPr>
            <w:r>
              <w:rPr>
                <w:rFonts w:hint="eastAsia"/>
              </w:rPr>
              <w:t>实现垃圾资源化利用</w:t>
            </w:r>
          </w:p>
        </w:tc>
        <w:tc>
          <w:tcPr>
            <w:tcW w:w="2551" w:type="dxa"/>
            <w:vAlign w:val="center"/>
          </w:tcPr>
          <w:p>
            <w:pPr>
              <w:pStyle w:val="16"/>
            </w:pPr>
            <w:r>
              <w:rPr>
                <w:rFonts w:hint="eastAsia"/>
              </w:rPr>
              <w:t>实现垃圾资源化利用</w:t>
            </w:r>
          </w:p>
        </w:tc>
        <w:tc>
          <w:tcPr>
            <w:tcW w:w="2268" w:type="dxa"/>
            <w:vAlign w:val="center"/>
          </w:tcPr>
          <w:p>
            <w:pPr>
              <w:pStyle w:val="16"/>
            </w:pPr>
            <w:r>
              <w:rPr>
                <w:rFonts w:hint="eastAsia"/>
              </w:rPr>
              <w:t>实现垃圾资源化利用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群众满意度达到</w:t>
            </w:r>
            <w:r>
              <w:t>90%</w:t>
            </w:r>
            <w:r>
              <w:rPr>
                <w:rFonts w:hint="eastAsia"/>
              </w:rPr>
              <w:t>以上</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年省级财政衔接推进乡村振兴补助资金（偿还易地扶贫搬迁利息）绩效目标表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按时偿还易地扶贫搬迁债券资金利息</w:t>
            </w:r>
            <w:r>
              <w:t>1372.39</w:t>
            </w:r>
            <w:r>
              <w:rPr>
                <w:rFonts w:hint="eastAsia"/>
              </w:rPr>
              <w:t>万元，实现经济效益和社会效益，达到服务对象满意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还息金额</w:t>
            </w:r>
          </w:p>
        </w:tc>
        <w:tc>
          <w:tcPr>
            <w:tcW w:w="2835" w:type="dxa"/>
            <w:vAlign w:val="center"/>
          </w:tcPr>
          <w:p>
            <w:pPr>
              <w:pStyle w:val="16"/>
            </w:pPr>
            <w:r>
              <w:rPr>
                <w:rFonts w:hint="eastAsia"/>
              </w:rPr>
              <w:t>还息金额</w:t>
            </w:r>
          </w:p>
        </w:tc>
        <w:tc>
          <w:tcPr>
            <w:tcW w:w="2551" w:type="dxa"/>
            <w:vAlign w:val="center"/>
          </w:tcPr>
          <w:p>
            <w:pPr>
              <w:pStyle w:val="16"/>
            </w:pPr>
            <w:r>
              <w:t>1372.39</w:t>
            </w:r>
            <w:r>
              <w:rPr>
                <w:rFonts w:hint="eastAsia"/>
              </w:rPr>
              <w:t>万元</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利息偿还率</w:t>
            </w:r>
          </w:p>
        </w:tc>
        <w:tc>
          <w:tcPr>
            <w:tcW w:w="2835" w:type="dxa"/>
            <w:vAlign w:val="center"/>
          </w:tcPr>
          <w:p>
            <w:pPr>
              <w:pStyle w:val="16"/>
            </w:pPr>
            <w:r>
              <w:rPr>
                <w:rFonts w:hint="eastAsia"/>
              </w:rPr>
              <w:t>足额还息率</w:t>
            </w:r>
          </w:p>
        </w:tc>
        <w:tc>
          <w:tcPr>
            <w:tcW w:w="2551" w:type="dxa"/>
            <w:vAlign w:val="center"/>
          </w:tcPr>
          <w:p>
            <w:pPr>
              <w:pStyle w:val="16"/>
            </w:pPr>
            <w:r>
              <w:t>100%</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按时还息</w:t>
            </w:r>
          </w:p>
        </w:tc>
        <w:tc>
          <w:tcPr>
            <w:tcW w:w="2835" w:type="dxa"/>
            <w:vAlign w:val="center"/>
          </w:tcPr>
          <w:p>
            <w:pPr>
              <w:pStyle w:val="16"/>
            </w:pPr>
            <w:r>
              <w:rPr>
                <w:rFonts w:hint="eastAsia"/>
              </w:rPr>
              <w:t>还息及时率</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还息金额</w:t>
            </w:r>
          </w:p>
        </w:tc>
        <w:tc>
          <w:tcPr>
            <w:tcW w:w="2835" w:type="dxa"/>
            <w:vAlign w:val="center"/>
          </w:tcPr>
          <w:p>
            <w:pPr>
              <w:pStyle w:val="16"/>
            </w:pPr>
            <w:r>
              <w:rPr>
                <w:rFonts w:hint="eastAsia"/>
              </w:rPr>
              <w:t>还息金额</w:t>
            </w:r>
          </w:p>
        </w:tc>
        <w:tc>
          <w:tcPr>
            <w:tcW w:w="2551" w:type="dxa"/>
            <w:vAlign w:val="center"/>
          </w:tcPr>
          <w:p>
            <w:pPr>
              <w:pStyle w:val="16"/>
            </w:pPr>
            <w:r>
              <w:t>1372.39</w:t>
            </w:r>
            <w:r>
              <w:rPr>
                <w:rFonts w:hint="eastAsia"/>
              </w:rPr>
              <w:t>万元</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w:t>
            </w:r>
            <w:r>
              <w:rPr>
                <w:rFonts w:hint="eastAsia"/>
                <w:lang w:val="en-US" w:eastAsia="zh-CN"/>
              </w:rPr>
              <w:t>易</w:t>
            </w:r>
            <w:r>
              <w:rPr>
                <w:rFonts w:hint="eastAsia"/>
              </w:rPr>
              <w:t>地扶贫搬迁债券资金利息</w:t>
            </w:r>
          </w:p>
        </w:tc>
        <w:tc>
          <w:tcPr>
            <w:tcW w:w="2835" w:type="dxa"/>
            <w:vAlign w:val="center"/>
          </w:tcPr>
          <w:p>
            <w:pPr>
              <w:pStyle w:val="16"/>
            </w:pPr>
            <w:r>
              <w:rPr>
                <w:rFonts w:hint="eastAsia"/>
              </w:rPr>
              <w:t>减少</w:t>
            </w:r>
            <w:r>
              <w:rPr>
                <w:rFonts w:hint="eastAsia"/>
                <w:lang w:val="en-US" w:eastAsia="zh-CN"/>
              </w:rPr>
              <w:t>易</w:t>
            </w:r>
            <w:r>
              <w:rPr>
                <w:rFonts w:hint="eastAsia"/>
              </w:rPr>
              <w:t>地扶贫搬迁债券资金利息</w:t>
            </w:r>
          </w:p>
        </w:tc>
        <w:tc>
          <w:tcPr>
            <w:tcW w:w="2551" w:type="dxa"/>
            <w:vAlign w:val="center"/>
          </w:tcPr>
          <w:p>
            <w:pPr>
              <w:pStyle w:val="16"/>
            </w:pPr>
            <w:r>
              <w:t>1372.39</w:t>
            </w:r>
            <w:r>
              <w:rPr>
                <w:rFonts w:hint="eastAsia"/>
              </w:rPr>
              <w:t>万元</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w:t>
            </w:r>
            <w:r>
              <w:rPr>
                <w:rFonts w:hint="eastAsia"/>
                <w:lang w:val="en-US" w:eastAsia="zh-CN"/>
              </w:rPr>
              <w:t>易</w:t>
            </w:r>
            <w:r>
              <w:rPr>
                <w:rFonts w:hint="eastAsia"/>
              </w:rPr>
              <w:t>地扶贫搬迁居民生活环境</w:t>
            </w:r>
          </w:p>
        </w:tc>
        <w:tc>
          <w:tcPr>
            <w:tcW w:w="2835" w:type="dxa"/>
            <w:vAlign w:val="center"/>
          </w:tcPr>
          <w:p>
            <w:pPr>
              <w:pStyle w:val="16"/>
            </w:pPr>
            <w:r>
              <w:rPr>
                <w:rFonts w:hint="eastAsia"/>
              </w:rPr>
              <w:t>改善</w:t>
            </w:r>
            <w:r>
              <w:rPr>
                <w:rFonts w:hint="eastAsia"/>
                <w:lang w:val="en-US" w:eastAsia="zh-CN"/>
              </w:rPr>
              <w:t>易</w:t>
            </w:r>
            <w:r>
              <w:rPr>
                <w:rFonts w:hint="eastAsia"/>
              </w:rPr>
              <w:t>地扶贫搬迁居民生活环境</w:t>
            </w:r>
          </w:p>
        </w:tc>
        <w:tc>
          <w:tcPr>
            <w:tcW w:w="2551" w:type="dxa"/>
            <w:vAlign w:val="center"/>
          </w:tcPr>
          <w:p>
            <w:pPr>
              <w:pStyle w:val="16"/>
            </w:pPr>
            <w:r>
              <w:rPr>
                <w:rFonts w:hint="eastAsia"/>
              </w:rPr>
              <w:t>明显改善</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年省级财政衔接推进乡村振兴补助资金（易地扶贫搬迁还本）绩效目标表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按时偿还易地扶贫搬迁国开行贷款本金</w:t>
            </w:r>
            <w:r>
              <w:t>1618</w:t>
            </w:r>
            <w:r>
              <w:rPr>
                <w:rFonts w:hint="eastAsia"/>
              </w:rPr>
              <w:t>万元，实现经济效益和社会效益，达到服务对象满意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偿还本金金额</w:t>
            </w:r>
          </w:p>
        </w:tc>
        <w:tc>
          <w:tcPr>
            <w:tcW w:w="2835" w:type="dxa"/>
            <w:vAlign w:val="center"/>
          </w:tcPr>
          <w:p>
            <w:pPr>
              <w:pStyle w:val="16"/>
            </w:pPr>
            <w:r>
              <w:rPr>
                <w:rFonts w:hint="eastAsia"/>
              </w:rPr>
              <w:t>还款金额</w:t>
            </w:r>
          </w:p>
        </w:tc>
        <w:tc>
          <w:tcPr>
            <w:tcW w:w="2551" w:type="dxa"/>
            <w:vAlign w:val="center"/>
          </w:tcPr>
          <w:p>
            <w:pPr>
              <w:pStyle w:val="16"/>
            </w:pPr>
            <w:r>
              <w:t>1618</w:t>
            </w:r>
            <w:r>
              <w:rPr>
                <w:rFonts w:hint="eastAsia"/>
              </w:rPr>
              <w:t>万元</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本金偿还率</w:t>
            </w:r>
          </w:p>
        </w:tc>
        <w:tc>
          <w:tcPr>
            <w:tcW w:w="2835" w:type="dxa"/>
            <w:vAlign w:val="center"/>
          </w:tcPr>
          <w:p>
            <w:pPr>
              <w:pStyle w:val="16"/>
            </w:pPr>
            <w:r>
              <w:rPr>
                <w:rFonts w:hint="eastAsia"/>
              </w:rPr>
              <w:t>足额还款率</w:t>
            </w:r>
          </w:p>
        </w:tc>
        <w:tc>
          <w:tcPr>
            <w:tcW w:w="2551" w:type="dxa"/>
            <w:vAlign w:val="center"/>
          </w:tcPr>
          <w:p>
            <w:pPr>
              <w:pStyle w:val="16"/>
            </w:pPr>
            <w:r>
              <w:t>100%</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按时限还款</w:t>
            </w:r>
          </w:p>
        </w:tc>
        <w:tc>
          <w:tcPr>
            <w:tcW w:w="2835" w:type="dxa"/>
            <w:vAlign w:val="center"/>
          </w:tcPr>
          <w:p>
            <w:pPr>
              <w:pStyle w:val="16"/>
            </w:pPr>
            <w:r>
              <w:rPr>
                <w:rFonts w:hint="eastAsia"/>
              </w:rPr>
              <w:t>还款及时率</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偿还金额</w:t>
            </w:r>
          </w:p>
        </w:tc>
        <w:tc>
          <w:tcPr>
            <w:tcW w:w="2835" w:type="dxa"/>
            <w:vAlign w:val="center"/>
          </w:tcPr>
          <w:p>
            <w:pPr>
              <w:pStyle w:val="16"/>
            </w:pPr>
            <w:r>
              <w:rPr>
                <w:rFonts w:hint="eastAsia"/>
              </w:rPr>
              <w:t>还款金额</w:t>
            </w:r>
          </w:p>
        </w:tc>
        <w:tc>
          <w:tcPr>
            <w:tcW w:w="2551" w:type="dxa"/>
            <w:vAlign w:val="center"/>
          </w:tcPr>
          <w:p>
            <w:pPr>
              <w:pStyle w:val="16"/>
            </w:pPr>
            <w:r>
              <w:t>1618</w:t>
            </w:r>
            <w:r>
              <w:rPr>
                <w:rFonts w:hint="eastAsia"/>
              </w:rPr>
              <w:t>万元</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减少易地扶贫搬迁贷款金额</w:t>
            </w:r>
          </w:p>
        </w:tc>
        <w:tc>
          <w:tcPr>
            <w:tcW w:w="2835" w:type="dxa"/>
            <w:vAlign w:val="center"/>
          </w:tcPr>
          <w:p>
            <w:pPr>
              <w:pStyle w:val="16"/>
            </w:pPr>
            <w:r>
              <w:rPr>
                <w:rFonts w:hint="eastAsia"/>
              </w:rPr>
              <w:t>减少易地扶贫搬迁贷款金额</w:t>
            </w:r>
          </w:p>
        </w:tc>
        <w:tc>
          <w:tcPr>
            <w:tcW w:w="2551" w:type="dxa"/>
            <w:vAlign w:val="center"/>
          </w:tcPr>
          <w:p>
            <w:pPr>
              <w:pStyle w:val="16"/>
            </w:pPr>
            <w:r>
              <w:t>1618</w:t>
            </w:r>
            <w:r>
              <w:rPr>
                <w:rFonts w:hint="eastAsia"/>
              </w:rPr>
              <w:t>万元</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w:t>
            </w:r>
            <w:r>
              <w:rPr>
                <w:rFonts w:hint="eastAsia"/>
                <w:lang w:val="en-US" w:eastAsia="zh-CN"/>
              </w:rPr>
              <w:t>易</w:t>
            </w:r>
            <w:r>
              <w:rPr>
                <w:rFonts w:hint="eastAsia"/>
              </w:rPr>
              <w:t>地扶贫搬迁居民生活环境</w:t>
            </w:r>
          </w:p>
        </w:tc>
        <w:tc>
          <w:tcPr>
            <w:tcW w:w="2835" w:type="dxa"/>
            <w:vAlign w:val="center"/>
          </w:tcPr>
          <w:p>
            <w:pPr>
              <w:pStyle w:val="16"/>
            </w:pPr>
            <w:r>
              <w:rPr>
                <w:rFonts w:hint="eastAsia"/>
              </w:rPr>
              <w:t>改善</w:t>
            </w:r>
            <w:r>
              <w:rPr>
                <w:rFonts w:hint="eastAsia"/>
                <w:lang w:val="en-US" w:eastAsia="zh-CN"/>
              </w:rPr>
              <w:t>易</w:t>
            </w:r>
            <w:r>
              <w:rPr>
                <w:rFonts w:hint="eastAsia"/>
              </w:rPr>
              <w:t>地扶贫搬迁居民生活环境</w:t>
            </w:r>
          </w:p>
        </w:tc>
        <w:tc>
          <w:tcPr>
            <w:tcW w:w="2551" w:type="dxa"/>
            <w:vAlign w:val="center"/>
          </w:tcPr>
          <w:p>
            <w:pPr>
              <w:pStyle w:val="16"/>
            </w:pPr>
            <w:r>
              <w:rPr>
                <w:rFonts w:hint="eastAsia"/>
              </w:rPr>
              <w:t>明显改善</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冀财农（</w:t>
            </w:r>
            <w:r>
              <w:t>2022</w:t>
            </w:r>
            <w:r>
              <w:rPr>
                <w:rFonts w:hint="eastAsia"/>
              </w:rPr>
              <w:t>）</w:t>
            </w:r>
            <w:r>
              <w:t>155</w:t>
            </w:r>
            <w:r>
              <w:rPr>
                <w:rFonts w:hint="eastAsia"/>
              </w:rPr>
              <w:t>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年，魏县财政局安排政府采购预算</w:t>
      </w:r>
      <w:r>
        <w:rPr>
          <w:rFonts w:eastAsia="方正仿宋_GBK"/>
          <w:color w:val="000000"/>
          <w:sz w:val="28"/>
        </w:rPr>
        <w:t>5923.00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318</w:t>
            </w:r>
            <w:r>
              <w:rPr>
                <w:rFonts w:hint="eastAsia"/>
              </w:rPr>
              <w:t>魏县财政局</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rPr>
                <w:rFonts w:hint="eastAsia"/>
              </w:rPr>
              <w:t>合</w:t>
            </w:r>
            <w:r>
              <w:t xml:space="preserve">  </w:t>
            </w:r>
            <w:r>
              <w:rPr>
                <w:rFonts w:hint="eastAsia"/>
              </w:rPr>
              <w:t>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5923.00</w:t>
            </w:r>
          </w:p>
        </w:tc>
        <w:tc>
          <w:tcPr>
            <w:tcW w:w="964" w:type="dxa"/>
            <w:vAlign w:val="center"/>
          </w:tcPr>
          <w:p>
            <w:pPr>
              <w:pStyle w:val="19"/>
            </w:pPr>
            <w:r>
              <w:t>1094.00</w:t>
            </w:r>
          </w:p>
        </w:tc>
        <w:tc>
          <w:tcPr>
            <w:tcW w:w="964" w:type="dxa"/>
            <w:vAlign w:val="center"/>
          </w:tcPr>
          <w:p>
            <w:pPr>
              <w:pStyle w:val="19"/>
            </w:pPr>
            <w:r>
              <w:t>4829.00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rPr>
              <w:t>魏县乡村财税管理局小计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5923.00</w:t>
            </w:r>
          </w:p>
        </w:tc>
        <w:tc>
          <w:tcPr>
            <w:tcW w:w="964" w:type="dxa"/>
            <w:vAlign w:val="center"/>
          </w:tcPr>
          <w:p>
            <w:pPr>
              <w:pStyle w:val="19"/>
            </w:pPr>
            <w:r>
              <w:t>1094.00</w:t>
            </w:r>
          </w:p>
        </w:tc>
        <w:tc>
          <w:tcPr>
            <w:tcW w:w="964" w:type="dxa"/>
            <w:vAlign w:val="center"/>
          </w:tcPr>
          <w:p>
            <w:pPr>
              <w:pStyle w:val="19"/>
            </w:pPr>
            <w:r>
              <w:t>4829.00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冀财农（</w:t>
            </w:r>
            <w:r>
              <w:t>2022</w:t>
            </w:r>
            <w:r>
              <w:rPr>
                <w:rFonts w:hint="eastAsia"/>
              </w:rPr>
              <w:t>）</w:t>
            </w:r>
            <w:r>
              <w:t>144</w:t>
            </w:r>
            <w:r>
              <w:rPr>
                <w:rFonts w:hint="eastAsia"/>
              </w:rPr>
              <w:t>号提前下达</w:t>
            </w:r>
            <w:r>
              <w:t>2023</w:t>
            </w:r>
            <w:r>
              <w:rPr>
                <w:rFonts w:hint="eastAsia"/>
              </w:rPr>
              <w:t>年中央农村综合改革转移支付资金</w:t>
            </w:r>
          </w:p>
        </w:tc>
        <w:tc>
          <w:tcPr>
            <w:tcW w:w="964" w:type="dxa"/>
            <w:vAlign w:val="center"/>
          </w:tcPr>
          <w:p>
            <w:pPr>
              <w:pStyle w:val="15"/>
            </w:pPr>
            <w:r>
              <w:t>582.00</w:t>
            </w:r>
          </w:p>
        </w:tc>
        <w:tc>
          <w:tcPr>
            <w:tcW w:w="1134" w:type="dxa"/>
            <w:vAlign w:val="center"/>
          </w:tcPr>
          <w:p>
            <w:pPr>
              <w:pStyle w:val="16"/>
            </w:pPr>
            <w:r>
              <w:rPr>
                <w:rFonts w:hint="eastAsia"/>
              </w:rPr>
              <w:t>其他工程准备</w:t>
            </w:r>
          </w:p>
        </w:tc>
        <w:tc>
          <w:tcPr>
            <w:tcW w:w="1134" w:type="dxa"/>
            <w:vAlign w:val="center"/>
          </w:tcPr>
          <w:p>
            <w:pPr>
              <w:pStyle w:val="16"/>
            </w:pPr>
            <w:r>
              <w:t>B03990000</w:t>
            </w:r>
          </w:p>
        </w:tc>
        <w:tc>
          <w:tcPr>
            <w:tcW w:w="709" w:type="dxa"/>
            <w:vAlign w:val="center"/>
          </w:tcPr>
          <w:p>
            <w:pPr>
              <w:pStyle w:val="17"/>
            </w:pPr>
            <w:r>
              <w:rPr>
                <w:rFonts w:hint="eastAsia"/>
              </w:rPr>
              <w:t>批</w:t>
            </w:r>
          </w:p>
        </w:tc>
        <w:tc>
          <w:tcPr>
            <w:tcW w:w="850" w:type="dxa"/>
            <w:vAlign w:val="center"/>
          </w:tcPr>
          <w:p>
            <w:pPr>
              <w:pStyle w:val="15"/>
            </w:pPr>
            <w:r>
              <w:t>1</w:t>
            </w:r>
          </w:p>
        </w:tc>
        <w:tc>
          <w:tcPr>
            <w:tcW w:w="850" w:type="dxa"/>
            <w:vAlign w:val="center"/>
          </w:tcPr>
          <w:p>
            <w:pPr>
              <w:pStyle w:val="15"/>
            </w:pPr>
            <w:r>
              <w:t>582.00</w:t>
            </w:r>
          </w:p>
        </w:tc>
        <w:tc>
          <w:tcPr>
            <w:tcW w:w="964" w:type="dxa"/>
            <w:vAlign w:val="center"/>
          </w:tcPr>
          <w:p>
            <w:pPr>
              <w:pStyle w:val="15"/>
            </w:pPr>
            <w:r>
              <w:t>582.00</w:t>
            </w:r>
          </w:p>
        </w:tc>
        <w:tc>
          <w:tcPr>
            <w:tcW w:w="964" w:type="dxa"/>
            <w:vAlign w:val="center"/>
          </w:tcPr>
          <w:p>
            <w:pPr>
              <w:pStyle w:val="15"/>
            </w:pPr>
            <w:r>
              <w:t>582.00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冀财农（</w:t>
            </w:r>
            <w:r>
              <w:t>2022</w:t>
            </w:r>
            <w:r>
              <w:rPr>
                <w:rFonts w:hint="eastAsia"/>
              </w:rPr>
              <w:t>）</w:t>
            </w:r>
            <w:r>
              <w:t>163</w:t>
            </w:r>
            <w:r>
              <w:rPr>
                <w:rFonts w:hint="eastAsia"/>
              </w:rPr>
              <w:t>号</w:t>
            </w:r>
            <w:r>
              <w:t>2023</w:t>
            </w:r>
            <w:r>
              <w:rPr>
                <w:rFonts w:hint="eastAsia"/>
              </w:rPr>
              <w:t>年省级农村综合改革转移支付资金</w:t>
            </w:r>
          </w:p>
        </w:tc>
        <w:tc>
          <w:tcPr>
            <w:tcW w:w="964" w:type="dxa"/>
            <w:vAlign w:val="center"/>
          </w:tcPr>
          <w:p>
            <w:pPr>
              <w:pStyle w:val="15"/>
            </w:pPr>
            <w:r>
              <w:t>512.00</w:t>
            </w:r>
          </w:p>
        </w:tc>
        <w:tc>
          <w:tcPr>
            <w:tcW w:w="1134" w:type="dxa"/>
            <w:vAlign w:val="center"/>
          </w:tcPr>
          <w:p>
            <w:pPr>
              <w:pStyle w:val="16"/>
            </w:pPr>
            <w:r>
              <w:rPr>
                <w:rFonts w:hint="eastAsia"/>
              </w:rPr>
              <w:t>其他工程准备</w:t>
            </w:r>
          </w:p>
        </w:tc>
        <w:tc>
          <w:tcPr>
            <w:tcW w:w="1134" w:type="dxa"/>
            <w:vAlign w:val="center"/>
          </w:tcPr>
          <w:p>
            <w:pPr>
              <w:pStyle w:val="16"/>
            </w:pPr>
            <w:r>
              <w:t>B03990000</w:t>
            </w:r>
          </w:p>
        </w:tc>
        <w:tc>
          <w:tcPr>
            <w:tcW w:w="709" w:type="dxa"/>
            <w:vAlign w:val="center"/>
          </w:tcPr>
          <w:p>
            <w:pPr>
              <w:pStyle w:val="17"/>
            </w:pPr>
            <w:r>
              <w:rPr>
                <w:rFonts w:hint="eastAsia"/>
              </w:rPr>
              <w:t>米</w:t>
            </w:r>
          </w:p>
        </w:tc>
        <w:tc>
          <w:tcPr>
            <w:tcW w:w="850" w:type="dxa"/>
            <w:vAlign w:val="center"/>
          </w:tcPr>
          <w:p>
            <w:pPr>
              <w:pStyle w:val="15"/>
            </w:pPr>
            <w:r>
              <w:t>1</w:t>
            </w:r>
          </w:p>
        </w:tc>
        <w:tc>
          <w:tcPr>
            <w:tcW w:w="850" w:type="dxa"/>
            <w:vAlign w:val="center"/>
          </w:tcPr>
          <w:p>
            <w:pPr>
              <w:pStyle w:val="15"/>
            </w:pPr>
            <w:r>
              <w:t>512.00</w:t>
            </w:r>
          </w:p>
        </w:tc>
        <w:tc>
          <w:tcPr>
            <w:tcW w:w="964" w:type="dxa"/>
            <w:vAlign w:val="center"/>
          </w:tcPr>
          <w:p>
            <w:pPr>
              <w:pStyle w:val="15"/>
            </w:pPr>
            <w:r>
              <w:t>512.00</w:t>
            </w:r>
          </w:p>
        </w:tc>
        <w:tc>
          <w:tcPr>
            <w:tcW w:w="964" w:type="dxa"/>
            <w:vAlign w:val="center"/>
          </w:tcPr>
          <w:p>
            <w:pPr>
              <w:pStyle w:val="15"/>
            </w:pPr>
            <w:r>
              <w:t>512.00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rPr>
              <w:t>全县农村环境整治资金</w:t>
            </w:r>
          </w:p>
        </w:tc>
        <w:tc>
          <w:tcPr>
            <w:tcW w:w="964" w:type="dxa"/>
            <w:vAlign w:val="center"/>
          </w:tcPr>
          <w:p>
            <w:pPr>
              <w:pStyle w:val="15"/>
            </w:pPr>
            <w:r>
              <w:t>4829.00</w:t>
            </w:r>
          </w:p>
        </w:tc>
        <w:tc>
          <w:tcPr>
            <w:tcW w:w="1134" w:type="dxa"/>
            <w:vAlign w:val="center"/>
          </w:tcPr>
          <w:p>
            <w:pPr>
              <w:pStyle w:val="16"/>
            </w:pPr>
            <w:r>
              <w:rPr>
                <w:rFonts w:hint="eastAsia"/>
              </w:rPr>
              <w:t>农业农村环境治理服务</w:t>
            </w:r>
          </w:p>
        </w:tc>
        <w:tc>
          <w:tcPr>
            <w:tcW w:w="1134" w:type="dxa"/>
            <w:vAlign w:val="center"/>
          </w:tcPr>
          <w:p>
            <w:pPr>
              <w:pStyle w:val="16"/>
            </w:pPr>
            <w:r>
              <w:t>C07020900</w:t>
            </w:r>
          </w:p>
        </w:tc>
        <w:tc>
          <w:tcPr>
            <w:tcW w:w="709" w:type="dxa"/>
            <w:vAlign w:val="center"/>
          </w:tcPr>
          <w:p>
            <w:pPr>
              <w:pStyle w:val="17"/>
            </w:pPr>
            <w:r>
              <w:rPr>
                <w:rFonts w:hint="eastAsia"/>
              </w:rPr>
              <w:t>批</w:t>
            </w:r>
          </w:p>
        </w:tc>
        <w:tc>
          <w:tcPr>
            <w:tcW w:w="850" w:type="dxa"/>
            <w:vAlign w:val="center"/>
          </w:tcPr>
          <w:p>
            <w:pPr>
              <w:pStyle w:val="15"/>
            </w:pPr>
            <w:r>
              <w:t>1</w:t>
            </w:r>
          </w:p>
        </w:tc>
        <w:tc>
          <w:tcPr>
            <w:tcW w:w="850" w:type="dxa"/>
            <w:vAlign w:val="center"/>
          </w:tcPr>
          <w:p>
            <w:pPr>
              <w:pStyle w:val="15"/>
            </w:pPr>
            <w:r>
              <w:t>4829.00</w:t>
            </w:r>
          </w:p>
        </w:tc>
        <w:tc>
          <w:tcPr>
            <w:tcW w:w="964" w:type="dxa"/>
            <w:vAlign w:val="center"/>
          </w:tcPr>
          <w:p>
            <w:pPr>
              <w:pStyle w:val="15"/>
            </w:pPr>
            <w:r>
              <w:t>4829.00</w:t>
            </w:r>
          </w:p>
        </w:tc>
        <w:tc>
          <w:tcPr>
            <w:tcW w:w="964" w:type="dxa"/>
            <w:vAlign w:val="center"/>
          </w:tcPr>
          <w:p>
            <w:pPr>
              <w:pStyle w:val="15"/>
            </w:pPr>
          </w:p>
        </w:tc>
        <w:tc>
          <w:tcPr>
            <w:tcW w:w="964" w:type="dxa"/>
            <w:vAlign w:val="center"/>
          </w:tcPr>
          <w:p>
            <w:pPr>
              <w:pStyle w:val="15"/>
            </w:pPr>
            <w:r>
              <w:t>4829.00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4829.00</w:t>
            </w:r>
          </w:p>
        </w:tc>
      </w:tr>
    </w:tbl>
    <w:p>
      <w:pPr>
        <w:spacing w:line="500" w:lineRule="exact"/>
        <w:ind w:firstLine="420"/>
      </w:pP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lang w:eastAsia="zh-CN"/>
        </w:rPr>
      </w:pPr>
      <w:bookmarkStart w:id="15" w:name="_Toc_3_3_0000000016"/>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pPr>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魏县财政局（含所属单位）上年末固定资产金额为</w:t>
      </w:r>
      <w:r>
        <w:rPr>
          <w:rFonts w:eastAsia="方正仿宋_GBK"/>
          <w:color w:val="000000"/>
          <w:sz w:val="28"/>
        </w:rPr>
        <w:t>1193.31</w:t>
      </w:r>
      <w:r>
        <w:rPr>
          <w:rFonts w:hint="eastAsia" w:eastAsia="方正仿宋_GBK"/>
          <w:color w:val="000000"/>
          <w:sz w:val="28"/>
        </w:rPr>
        <w:t>万元（详见下表）。本年度拟购置固定资产总额为</w:t>
      </w:r>
      <w:r>
        <w:rPr>
          <w:rFonts w:eastAsia="方正仿宋_GBK"/>
          <w:color w:val="000000"/>
          <w:sz w:val="28"/>
        </w:rPr>
        <w:t>20.73</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318</w:t>
            </w:r>
            <w:r>
              <w:rPr>
                <w:rFonts w:hint="eastAsia"/>
              </w:rPr>
              <w:t>魏县财政局</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1193.31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r>
              <w:t>3645.60</w:t>
            </w:r>
          </w:p>
        </w:tc>
        <w:tc>
          <w:tcPr>
            <w:tcW w:w="2835" w:type="dxa"/>
            <w:vAlign w:val="center"/>
          </w:tcPr>
          <w:p>
            <w:pPr>
              <w:pStyle w:val="15"/>
            </w:pPr>
            <w:r>
              <w:t>616.31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r>
              <w:t>970.79</w:t>
            </w:r>
          </w:p>
        </w:tc>
        <w:tc>
          <w:tcPr>
            <w:tcW w:w="2835" w:type="dxa"/>
            <w:vAlign w:val="center"/>
          </w:tcPr>
          <w:p>
            <w:pPr>
              <w:pStyle w:val="15"/>
            </w:pPr>
            <w:r>
              <w:t>589.15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1</w:t>
            </w:r>
          </w:p>
        </w:tc>
        <w:tc>
          <w:tcPr>
            <w:tcW w:w="2835" w:type="dxa"/>
            <w:vAlign w:val="center"/>
          </w:tcPr>
          <w:p>
            <w:pPr>
              <w:pStyle w:val="15"/>
            </w:pPr>
            <w: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r>
              <w:t>4</w:t>
            </w:r>
          </w:p>
        </w:tc>
        <w:tc>
          <w:tcPr>
            <w:tcW w:w="2835" w:type="dxa"/>
            <w:vAlign w:val="center"/>
          </w:tcPr>
          <w:p>
            <w:pPr>
              <w:pStyle w:val="15"/>
            </w:pPr>
            <w:r>
              <w:t>234.00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pPr>
            <w:r>
              <w:t>326.02</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县级</w:t>
      </w:r>
      <w:r>
        <w:rPr>
          <w:rFonts w:hint="eastAsia"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lang w:eastAsia="zh-CN"/>
        </w:rPr>
      </w:pPr>
      <w:r>
        <w:rPr>
          <w:rFonts w:hint="eastAsia"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hideGrammaticalErrors/>
  <w:documentProtection w:enforcement="0"/>
  <w:defaultTabStop w:val="720"/>
  <w:evenAndOddHeaders w:val="true"/>
  <w:drawingGridHorizontalSpacing w:val="120"/>
  <w:displayHorizontalDrawingGridEvery w:val="2"/>
  <w:characterSpacingControl w:val="doNotCompress"/>
  <w:noLineBreaksAfter w:lang="zh-CN" w:val="$([{£¥·‘“〈《「『【〔〖〝﹙﹛﹝＄（．［｛￡￥"/>
  <w:noLineBreaksBefore w:lang="zh-CN" w:val="!%),.:;&gt;?]}¢¨°·ˇˉ―‖’”…‰′″›℃∶、。〃〉》」』】〕〗〞︶︺︾﹀﹄﹚﹜﹞！＂％＇），．：；？］｀｜｝～￠"/>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C31491"/>
    <w:rsid w:val="00001398"/>
    <w:rsid w:val="00070C13"/>
    <w:rsid w:val="000970A5"/>
    <w:rsid w:val="000D4D2E"/>
    <w:rsid w:val="001344F7"/>
    <w:rsid w:val="00247C71"/>
    <w:rsid w:val="00300E48"/>
    <w:rsid w:val="00631CBE"/>
    <w:rsid w:val="00651120"/>
    <w:rsid w:val="006945B6"/>
    <w:rsid w:val="006C526D"/>
    <w:rsid w:val="00701A4A"/>
    <w:rsid w:val="00743040"/>
    <w:rsid w:val="0075783E"/>
    <w:rsid w:val="00776BF5"/>
    <w:rsid w:val="007A61B3"/>
    <w:rsid w:val="007A7DFA"/>
    <w:rsid w:val="0090039C"/>
    <w:rsid w:val="00904468"/>
    <w:rsid w:val="00AC5C70"/>
    <w:rsid w:val="00AC63D1"/>
    <w:rsid w:val="00BD3547"/>
    <w:rsid w:val="00C01615"/>
    <w:rsid w:val="00C31491"/>
    <w:rsid w:val="00D1730A"/>
    <w:rsid w:val="00D47287"/>
    <w:rsid w:val="00D736D4"/>
    <w:rsid w:val="00DB1EA0"/>
    <w:rsid w:val="00E275BB"/>
    <w:rsid w:val="00E91AD7"/>
    <w:rsid w:val="00F26522"/>
    <w:rsid w:val="00F51AC1"/>
    <w:rsid w:val="27321F21"/>
    <w:rsid w:val="42E672E9"/>
    <w:rsid w:val="46774E9C"/>
    <w:rsid w:val="5D5F41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Char"/>
    <w:basedOn w:val="10"/>
    <w:link w:val="4"/>
    <w:qFormat/>
    <w:uiPriority w:val="99"/>
    <w:rPr>
      <w:sz w:val="18"/>
      <w:szCs w:val="18"/>
      <w:lang w:eastAsia="uk-UA"/>
    </w:rPr>
  </w:style>
  <w:style w:type="character" w:customStyle="1" w:styleId="34">
    <w:name w:val="页脚 Char"/>
    <w:basedOn w:val="10"/>
    <w:link w:val="3"/>
    <w:qFormat/>
    <w:uiPriority w:val="99"/>
    <w:rPr>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15060</Words>
  <Characters>17663</Characters>
  <Lines>157</Lines>
  <Paragraphs>44</Paragraphs>
  <TotalTime>2</TotalTime>
  <ScaleCrop>false</ScaleCrop>
  <LinksUpToDate>false</LinksUpToDate>
  <CharactersWithSpaces>17880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2023-08-07T09:37:00Z</dcterms:created>
  <dc:creator>Administrator</dc:creator>
  <cp:lastModifiedBy>wxak</cp:lastModifiedBy>
  <dcterms:modified xsi:type="dcterms:W3CDTF">2024-06-18T17:29:36Z</dcterms:modified>
  <dc:title>2023年部门预算信息公开目录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82A0AD2C049A4824B6B0A22DD50C4381_12</vt:lpwstr>
  </property>
</Properties>
</file>