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spacing w:line="600" w:lineRule="exact"/>
      </w:pP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20"/>
        <w:keepNext w:val="0"/>
        <w:keepLines w:val="0"/>
        <w:pageBreakBefore w:val="0"/>
        <w:kinsoku/>
        <w:wordWrap/>
        <w:overflowPunct/>
        <w:topLinePunct w:val="0"/>
        <w:autoSpaceDE/>
        <w:autoSpaceDN/>
        <w:bidi w:val="0"/>
        <w:spacing w:line="600" w:lineRule="exact"/>
        <w:ind w:left="0" w:leftChars="0" w:firstLine="0" w:firstLineChars="0"/>
      </w:pPr>
    </w:p>
    <w:p>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08</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60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spacing w:line="60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suppressLineNumbers w:val="0"/>
        <w:kinsoku/>
        <w:wordWrap/>
        <w:overflowPunct/>
        <w:topLinePunct w:val="0"/>
        <w:autoSpaceDE/>
        <w:autoSpaceDN/>
        <w:bidi w:val="0"/>
        <w:spacing w:line="60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default" w:ascii="Times New Roman" w:hAnsi="Times New Roman" w:eastAsia="宋体" w:cs="Times New Roman"/>
          <w:b/>
          <w:w w:val="92"/>
          <w:sz w:val="44"/>
          <w:szCs w:val="44"/>
          <w:lang w:val="en-US" w:eastAsia="zh-CN"/>
        </w:rPr>
        <w:t>魏县</w:t>
      </w:r>
      <w:r>
        <w:rPr>
          <w:rFonts w:hint="eastAsia" w:ascii="Times New Roman" w:hAnsi="Times New Roman" w:eastAsia="宋体" w:cs="Times New Roman"/>
          <w:b/>
          <w:w w:val="92"/>
          <w:sz w:val="44"/>
          <w:szCs w:val="44"/>
          <w:lang w:val="en-US" w:eastAsia="zh-CN"/>
        </w:rPr>
        <w:t>星河电力设备制造厂混塔塔筒生产项目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default" w:ascii="仿宋" w:hAnsi="仿宋" w:eastAsia="仿宋" w:cs="仿宋"/>
          <w:sz w:val="32"/>
          <w:szCs w:val="32"/>
          <w:lang w:val="en-US" w:eastAsia="zh-CN"/>
        </w:rPr>
        <w:t>魏县</w:t>
      </w:r>
      <w:r>
        <w:rPr>
          <w:rFonts w:hint="eastAsia" w:ascii="仿宋" w:hAnsi="仿宋" w:eastAsia="仿宋" w:cs="仿宋"/>
          <w:sz w:val="32"/>
          <w:szCs w:val="32"/>
          <w:lang w:val="en-US" w:eastAsia="zh-CN"/>
        </w:rPr>
        <w:t>星河电力设备制造厂：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lang w:val="en-US" w:eastAsia="zh-CN"/>
        </w:rPr>
        <w:t>魏县</w:t>
      </w:r>
      <w:r>
        <w:rPr>
          <w:rFonts w:hint="eastAsia" w:ascii="仿宋" w:hAnsi="仿宋" w:eastAsia="仿宋" w:cs="仿宋"/>
          <w:sz w:val="32"/>
          <w:szCs w:val="32"/>
          <w:lang w:val="en-US" w:eastAsia="zh-CN"/>
        </w:rPr>
        <w:t>星河电力设备制造厂混塔塔筒生产项目环</w:t>
      </w:r>
      <w:r>
        <w:rPr>
          <w:rFonts w:hint="eastAsia" w:ascii="仿宋" w:hAnsi="仿宋" w:eastAsia="仿宋" w:cs="仿宋"/>
          <w:sz w:val="32"/>
          <w:szCs w:val="32"/>
        </w:rPr>
        <w:t>境影响报告表》收悉。经研究，批复如下：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一、项目</w:t>
      </w:r>
      <w:r>
        <w:rPr>
          <w:rFonts w:hint="eastAsia" w:ascii="仿宋" w:hAnsi="仿宋" w:eastAsia="仿宋" w:cs="仿宋"/>
          <w:sz w:val="32"/>
          <w:szCs w:val="32"/>
        </w:rPr>
        <w:t>位于</w:t>
      </w:r>
      <w:r>
        <w:rPr>
          <w:rFonts w:hint="eastAsia" w:ascii="仿宋" w:hAnsi="仿宋" w:eastAsia="仿宋" w:cs="仿宋"/>
          <w:sz w:val="32"/>
          <w:szCs w:val="32"/>
          <w:lang w:val="en-US" w:eastAsia="zh-CN"/>
        </w:rPr>
        <w:t>魏县经济开发区管委会对面原远邦新能源地块</w:t>
      </w:r>
      <w:r>
        <w:rPr>
          <w:rFonts w:hint="eastAsia" w:ascii="仿宋" w:hAnsi="仿宋" w:eastAsia="仿宋" w:cs="仿宋"/>
          <w:sz w:val="32"/>
          <w:szCs w:val="32"/>
        </w:rPr>
        <w:t>，厂址中心地理坐标为北</w:t>
      </w:r>
      <w:r>
        <w:rPr>
          <w:rFonts w:hint="default" w:ascii="仿宋" w:hAnsi="仿宋" w:eastAsia="仿宋" w:cs="仿宋"/>
          <w:sz w:val="32"/>
          <w:szCs w:val="32"/>
          <w:lang w:val="en-US"/>
        </w:rPr>
        <w:t>36°</w:t>
      </w:r>
      <w:r>
        <w:rPr>
          <w:rFonts w:hint="eastAsia" w:ascii="仿宋" w:hAnsi="仿宋" w:eastAsia="仿宋" w:cs="仿宋"/>
          <w:sz w:val="32"/>
          <w:szCs w:val="32"/>
          <w:lang w:val="en-US" w:eastAsia="zh-CN"/>
        </w:rPr>
        <w:t>20</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500</w:t>
      </w:r>
      <w:r>
        <w:rPr>
          <w:rFonts w:hint="default" w:ascii="仿宋" w:hAnsi="仿宋" w:eastAsia="仿宋" w:cs="仿宋"/>
          <w:sz w:val="32"/>
          <w:szCs w:val="32"/>
          <w:lang w:val="en-US"/>
        </w:rPr>
        <w:t>"</w:t>
      </w:r>
      <w:r>
        <w:rPr>
          <w:rFonts w:hint="eastAsia" w:ascii="仿宋" w:hAnsi="仿宋" w:eastAsia="仿宋" w:cs="仿宋"/>
          <w:sz w:val="32"/>
          <w:szCs w:val="32"/>
        </w:rPr>
        <w:t>，东经</w:t>
      </w:r>
      <w:r>
        <w:rPr>
          <w:rFonts w:hint="default" w:ascii="仿宋" w:hAnsi="仿宋" w:eastAsia="仿宋" w:cs="仿宋"/>
          <w:sz w:val="32"/>
          <w:szCs w:val="32"/>
          <w:lang w:val="en-US"/>
        </w:rPr>
        <w:t>114°</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9</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34</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860</w:t>
      </w:r>
      <w:r>
        <w:rPr>
          <w:rFonts w:hint="default" w:ascii="仿宋" w:hAnsi="仿宋" w:eastAsia="仿宋" w:cs="仿宋"/>
          <w:sz w:val="32"/>
          <w:szCs w:val="32"/>
          <w:lang w:val="en-US"/>
        </w:rPr>
        <w:t>"</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项目总占地</w:t>
      </w:r>
      <w:r>
        <w:rPr>
          <w:rFonts w:hint="default" w:ascii="仿宋" w:hAnsi="仿宋" w:eastAsia="仿宋" w:cs="仿宋"/>
          <w:sz w:val="32"/>
          <w:szCs w:val="32"/>
          <w:lang w:val="en-US" w:eastAsia="zh-CN"/>
        </w:rPr>
        <w:t>20000</w:t>
      </w:r>
      <w:r>
        <w:rPr>
          <w:rFonts w:hint="eastAsia" w:ascii="仿宋" w:hAnsi="仿宋" w:eastAsia="仿宋" w:cs="仿宋"/>
          <w:sz w:val="32"/>
          <w:szCs w:val="32"/>
          <w:lang w:val="en-US" w:eastAsia="zh-CN"/>
        </w:rPr>
        <w:t xml:space="preserve">平方米（约合 </w:t>
      </w:r>
      <w:r>
        <w:rPr>
          <w:rFonts w:hint="default" w:ascii="仿宋" w:hAnsi="仿宋" w:eastAsia="仿宋" w:cs="仿宋"/>
          <w:sz w:val="32"/>
          <w:szCs w:val="32"/>
          <w:lang w:val="en-US" w:eastAsia="zh-CN"/>
        </w:rPr>
        <w:t xml:space="preserve">30 </w:t>
      </w:r>
      <w:r>
        <w:rPr>
          <w:rFonts w:hint="eastAsia" w:ascii="仿宋" w:hAnsi="仿宋" w:eastAsia="仿宋" w:cs="仿宋"/>
          <w:sz w:val="32"/>
          <w:szCs w:val="32"/>
          <w:lang w:val="en-US" w:eastAsia="zh-CN"/>
        </w:rPr>
        <w:t>亩）；建设塔筒浇注区、塔筒存放区、钢筋加工厂房、搅拌楼、三座骨料仓库、办公区及其它公辅设施；购置龙门吊车六套，搅拌站一套，水泥罐装车四辆，钢筋的调直、折弯、焊接等设备。项目建成后，年产混塔塔筒</w:t>
      </w:r>
      <w:r>
        <w:rPr>
          <w:rFonts w:hint="default" w:ascii="仿宋" w:hAnsi="仿宋" w:eastAsia="仿宋" w:cs="仿宋"/>
          <w:sz w:val="32"/>
          <w:szCs w:val="32"/>
          <w:lang w:val="en-US" w:eastAsia="zh-CN"/>
        </w:rPr>
        <w:t>600</w:t>
      </w:r>
      <w:r>
        <w:rPr>
          <w:rFonts w:hint="eastAsia" w:ascii="仿宋" w:hAnsi="仿宋" w:eastAsia="仿宋" w:cs="仿宋"/>
          <w:sz w:val="32"/>
          <w:szCs w:val="32"/>
          <w:lang w:val="en-US" w:eastAsia="zh-CN"/>
        </w:rPr>
        <w:t>套。</w:t>
      </w:r>
      <w:r>
        <w:rPr>
          <w:rFonts w:hint="default" w:ascii="仿宋" w:hAnsi="仿宋" w:eastAsia="仿宋" w:cs="仿宋"/>
          <w:sz w:val="32"/>
          <w:szCs w:val="32"/>
        </w:rPr>
        <w:t>总投资</w:t>
      </w:r>
      <w:r>
        <w:rPr>
          <w:rFonts w:hint="eastAsia" w:ascii="仿宋" w:hAnsi="仿宋" w:eastAsia="仿宋" w:cs="仿宋"/>
          <w:sz w:val="32"/>
          <w:szCs w:val="32"/>
          <w:lang w:val="en-US" w:eastAsia="zh-CN"/>
        </w:rPr>
        <w:t>12000万元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120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1.0</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zh-CN" w:eastAsia="zh-CN"/>
        </w:rPr>
        <w:t>河北永卓环保科技有限公司</w:t>
      </w:r>
      <w:r>
        <w:rPr>
          <w:rFonts w:hint="eastAsia" w:ascii="仿宋" w:hAnsi="仿宋" w:eastAsia="仿宋" w:cs="仿宋"/>
          <w:sz w:val="32"/>
          <w:szCs w:val="32"/>
        </w:rPr>
        <w:t>编制的《</w:t>
      </w:r>
      <w:r>
        <w:rPr>
          <w:rFonts w:hint="default" w:ascii="仿宋" w:hAnsi="仿宋" w:eastAsia="仿宋" w:cs="仿宋"/>
          <w:sz w:val="32"/>
          <w:szCs w:val="32"/>
          <w:lang w:val="en-US" w:eastAsia="zh-CN"/>
        </w:rPr>
        <w:t>魏县</w:t>
      </w:r>
      <w:r>
        <w:rPr>
          <w:rFonts w:hint="eastAsia" w:ascii="仿宋" w:hAnsi="仿宋" w:eastAsia="仿宋" w:cs="仿宋"/>
          <w:sz w:val="32"/>
          <w:szCs w:val="32"/>
          <w:lang w:val="en-US" w:eastAsia="zh-CN"/>
        </w:rPr>
        <w:t>星河电力设备制造厂混塔塔筒生产项目</w:t>
      </w:r>
      <w:r>
        <w:rPr>
          <w:rFonts w:hint="eastAsia" w:ascii="仿宋" w:hAnsi="仿宋" w:eastAsia="仿宋" w:cs="仿宋"/>
          <w:sz w:val="32"/>
          <w:szCs w:val="32"/>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有组织</w:t>
      </w:r>
      <w:r>
        <w:rPr>
          <w:rFonts w:hint="eastAsia" w:ascii="仿宋" w:hAnsi="仿宋" w:eastAsia="仿宋" w:cs="仿宋"/>
          <w:sz w:val="32"/>
          <w:szCs w:val="32"/>
          <w:lang w:eastAsia="zh-CN"/>
        </w:rPr>
        <w:t>废气</w:t>
      </w:r>
      <w:r>
        <w:rPr>
          <w:rFonts w:hint="default" w:ascii="仿宋" w:hAnsi="仿宋" w:eastAsia="仿宋" w:cs="仿宋"/>
          <w:sz w:val="32"/>
          <w:szCs w:val="32"/>
          <w:lang w:eastAsia="zh-CN"/>
        </w:rPr>
        <w:t>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骨料上料废气，粉料入仓、混凝土搅拌废气。项目上料工序顶部设置集气罩（三面围挡</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软帘）同时设置喷淋装置，废气经集气罩收集，经布袋除尘器处理，最后经</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高排气筒排放。项目在粉料入仓、混凝土搅拌工序</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个筒仓均设置集气管道、混凝土搅拌工序上方设置集气罩，粉料入仓过程产生的废气经各自仓顶除尘器处理，搅拌工序产生废气经布袋除尘器处理，最后经一根</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高排气筒排放，满足《水泥工业大气污染物超低排放标准》（</w:t>
      </w:r>
      <w:r>
        <w:rPr>
          <w:rFonts w:hint="default" w:ascii="仿宋" w:hAnsi="仿宋" w:eastAsia="仿宋" w:cs="仿宋"/>
          <w:sz w:val="32"/>
          <w:szCs w:val="32"/>
          <w:lang w:val="en-US" w:eastAsia="zh-CN"/>
        </w:rPr>
        <w:t>DB13/2167-2020</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中有组织排放限值。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组织废气主要为焊接烟尘，原料装卸、存储、转运无组织废气。焊接过程产生少量焊接烟尘，经移动式高效烟尘净化器收集处理后无组织排放；运输车辆加盖苫布，骨料全部存储于封闭的骨料仓内，骨料仓全部地面硬化并设置喷淋装置，做到抑尘全覆盖，骨料运输采用封闭通廊的皮带，上料工序设置喷淋装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w:t>
      </w:r>
      <w:r>
        <w:rPr>
          <w:rFonts w:hint="eastAsia" w:ascii="仿宋" w:hAnsi="仿宋" w:eastAsia="仿宋" w:cs="仿宋"/>
          <w:sz w:val="32"/>
          <w:szCs w:val="32"/>
          <w:lang w:val="en-US" w:eastAsia="zh-CN"/>
        </w:rPr>
        <w:t>为设备清洗废水、洗车平台废水及职工生活污水。搅拌机、出料斗、运输罐、模具清洗废水经砂石分离机</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沉淀池处理后循环使用不外排，洗车平台废水经沉淀池沉淀后循环使用，不外排；生活污水经厂区化粪池处理后排入魏县经济开发区污水处理厂进一步处理。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3）噪声：该项目噪声污染</w:t>
      </w:r>
      <w:r>
        <w:rPr>
          <w:rFonts w:hint="default" w:ascii="仿宋" w:hAnsi="仿宋" w:eastAsia="仿宋" w:cs="仿宋"/>
          <w:sz w:val="32"/>
          <w:szCs w:val="32"/>
          <w:lang w:val="en-US" w:eastAsia="zh-CN"/>
        </w:rPr>
        <w:t>主要</w:t>
      </w:r>
      <w:r>
        <w:rPr>
          <w:rFonts w:hint="eastAsia" w:ascii="仿宋" w:hAnsi="仿宋" w:eastAsia="仿宋" w:cs="仿宋"/>
          <w:sz w:val="32"/>
          <w:szCs w:val="32"/>
          <w:lang w:val="en-US" w:eastAsia="zh-CN"/>
        </w:rPr>
        <w:t>为生产设备、环保设备风机及各种泵类运行时产生的噪声。项目风机加装消声器，墙体隔声、距离衰减、选用低噪声设备等措施，满足《工业企业厂界噪声排放标准》（</w:t>
      </w:r>
      <w:r>
        <w:rPr>
          <w:rFonts w:hint="default" w:ascii="仿宋" w:hAnsi="仿宋" w:eastAsia="仿宋" w:cs="仿宋"/>
          <w:sz w:val="32"/>
          <w:szCs w:val="32"/>
          <w:lang w:val="en-US" w:eastAsia="zh-CN"/>
        </w:rPr>
        <w:t xml:space="preserve">GB12348-2008) </w:t>
      </w:r>
      <w:r>
        <w:rPr>
          <w:rFonts w:hint="eastAsia" w:ascii="仿宋" w:hAnsi="仿宋" w:eastAsia="仿宋" w:cs="仿宋"/>
          <w:sz w:val="32"/>
          <w:szCs w:val="32"/>
          <w:lang w:val="en-US" w:eastAsia="zh-CN"/>
        </w:rPr>
        <w:t xml:space="preserve">中 </w:t>
      </w:r>
      <w:r>
        <w:rPr>
          <w:rFonts w:hint="default" w:ascii="仿宋" w:hAnsi="仿宋" w:eastAsia="仿宋" w:cs="仿宋"/>
          <w:sz w:val="32"/>
          <w:szCs w:val="32"/>
          <w:lang w:val="en-US" w:eastAsia="zh-CN"/>
        </w:rPr>
        <w:t xml:space="preserve">3 </w:t>
      </w:r>
      <w:r>
        <w:rPr>
          <w:rFonts w:hint="eastAsia" w:ascii="仿宋" w:hAnsi="仿宋" w:eastAsia="仿宋" w:cs="仿宋"/>
          <w:sz w:val="32"/>
          <w:szCs w:val="32"/>
          <w:lang w:val="en-US" w:eastAsia="zh-CN"/>
        </w:rPr>
        <w:t>类标准限值。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（4）固体废物：该项目固体</w:t>
      </w:r>
      <w:r>
        <w:rPr>
          <w:rFonts w:hint="default" w:ascii="仿宋" w:hAnsi="仿宋" w:eastAsia="仿宋" w:cs="仿宋"/>
          <w:sz w:val="32"/>
          <w:szCs w:val="32"/>
          <w:lang w:eastAsia="zh-CN"/>
        </w:rPr>
        <w:t>废物主要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一般固体废物和危险废物。废模具、废钢筋及边角料、废包装材料、除尘灰、沉淀池污泥、废布袋、废焊材暂存于一般固体间，定期外售；不合格品定期外售；废液压油 、废润滑油、废油桶暂存于危废暂存间，定期交由有资质单位处理；员工生活垃圾由当地环卫部门集中收集后处理。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w:t>
      </w:r>
      <w:bookmarkStart w:id="0" w:name="_GoBack"/>
      <w:bookmarkEnd w:id="0"/>
      <w:r>
        <w:rPr>
          <w:rFonts w:hint="eastAsia" w:ascii="仿宋" w:hAnsi="仿宋" w:eastAsia="仿宋" w:cs="仿宋"/>
          <w:sz w:val="32"/>
          <w:szCs w:val="32"/>
        </w:rPr>
        <w:t>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SA"/>
        </w:rPr>
        <w:t>八、本项目主要污染物总量为:</w:t>
      </w:r>
      <w:r>
        <w:rPr>
          <w:rFonts w:hint="eastAsia" w:ascii="仿宋" w:hAnsi="仿宋" w:eastAsia="仿宋" w:cs="仿宋"/>
          <w:color w:val="000000"/>
          <w:kern w:val="0"/>
          <w:sz w:val="32"/>
          <w:szCs w:val="32"/>
          <w:lang w:val="en-US" w:eastAsia="zh-CN" w:bidi="ar"/>
        </w:rPr>
        <w:t>COD：0.08t/a、NH3-N：0.008t/a、</w:t>
      </w:r>
      <w:r>
        <w:rPr>
          <w:rFonts w:hint="eastAsia" w:ascii="仿宋" w:hAnsi="仿宋" w:eastAsia="仿宋" w:cs="仿宋"/>
          <w:color w:val="auto"/>
          <w:sz w:val="32"/>
          <w:szCs w:val="32"/>
          <w:highlight w:val="none"/>
        </w:rPr>
        <w:t>SO</w:t>
      </w:r>
      <w:r>
        <w:rPr>
          <w:rFonts w:hint="eastAsia" w:ascii="仿宋" w:hAnsi="仿宋" w:eastAsia="仿宋" w:cs="仿宋"/>
          <w:color w:val="auto"/>
          <w:sz w:val="32"/>
          <w:szCs w:val="32"/>
          <w:highlight w:val="none"/>
          <w:vertAlign w:val="subscript"/>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t/a、NOx：</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t/a</w:t>
      </w:r>
      <w:r>
        <w:rPr>
          <w:rFonts w:hint="eastAsia" w:ascii="仿宋" w:hAnsi="仿宋" w:eastAsia="仿宋" w:cs="仿宋"/>
          <w:color w:val="auto"/>
          <w:sz w:val="32"/>
          <w:szCs w:val="32"/>
          <w:highlight w:val="none"/>
          <w:lang w:eastAsia="zh-CN"/>
        </w:rPr>
        <w:t>，你公司</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申领排污许可证前完成排污权交易。</w:t>
      </w:r>
    </w:p>
    <w:p>
      <w:pPr>
        <w:keepNext w:val="0"/>
        <w:keepLines w:val="0"/>
        <w:pageBreakBefore w:val="0"/>
        <w:kinsoku/>
        <w:wordWrap/>
        <w:overflowPunct/>
        <w:topLinePunct w:val="0"/>
        <w:bidi w:val="0"/>
        <w:spacing w:line="600" w:lineRule="exact"/>
        <w:rPr>
          <w:rFonts w:hint="eastAsia"/>
        </w:rPr>
      </w:pPr>
    </w:p>
    <w:p>
      <w:pPr>
        <w:pStyle w:val="2"/>
        <w:keepNext w:val="0"/>
        <w:keepLines w:val="0"/>
        <w:pageBreakBefore w:val="0"/>
        <w:kinsoku/>
        <w:wordWrap/>
        <w:overflowPunct/>
        <w:topLinePunct w:val="0"/>
        <w:autoSpaceDE/>
        <w:autoSpaceDN/>
        <w:bidi w:val="0"/>
        <w:spacing w:line="600" w:lineRule="exact"/>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080" w:firstLineChars="19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ascii="Times New Roman" w:hAnsi="Times New Roman" w:eastAsia="仿宋_GB2312" w:cs="Times New Roman"/>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p>
    <w:p>
      <w:pPr>
        <w:pStyle w:val="3"/>
        <w:numPr>
          <w:numId w:val="0"/>
        </w:numPr>
        <w:ind w:leftChars="0"/>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3ZTA0MmIwYzBhODE2Yzk5YzZiZjZkYjkwNzA0MzM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85AC8"/>
    <w:rsid w:val="00DB7F25"/>
    <w:rsid w:val="00E41DD5"/>
    <w:rsid w:val="00E81A70"/>
    <w:rsid w:val="00F26C4E"/>
    <w:rsid w:val="00F46DFA"/>
    <w:rsid w:val="00F94154"/>
    <w:rsid w:val="013B30FD"/>
    <w:rsid w:val="014557C2"/>
    <w:rsid w:val="01C1789B"/>
    <w:rsid w:val="01F52905"/>
    <w:rsid w:val="01FD42EF"/>
    <w:rsid w:val="0221640D"/>
    <w:rsid w:val="026779BA"/>
    <w:rsid w:val="02CD5FA7"/>
    <w:rsid w:val="03962305"/>
    <w:rsid w:val="03A73B31"/>
    <w:rsid w:val="03A95C09"/>
    <w:rsid w:val="03E12F49"/>
    <w:rsid w:val="0430275A"/>
    <w:rsid w:val="052B389D"/>
    <w:rsid w:val="05810D93"/>
    <w:rsid w:val="05AB7BBE"/>
    <w:rsid w:val="06341C63"/>
    <w:rsid w:val="06A905A2"/>
    <w:rsid w:val="06DB1E5D"/>
    <w:rsid w:val="071C536B"/>
    <w:rsid w:val="07490707"/>
    <w:rsid w:val="076D5A73"/>
    <w:rsid w:val="07A74B10"/>
    <w:rsid w:val="07E31891"/>
    <w:rsid w:val="082E31FF"/>
    <w:rsid w:val="08514A4D"/>
    <w:rsid w:val="088705E1"/>
    <w:rsid w:val="09767801"/>
    <w:rsid w:val="09931095"/>
    <w:rsid w:val="09BD7309"/>
    <w:rsid w:val="09F73A01"/>
    <w:rsid w:val="0A4707FD"/>
    <w:rsid w:val="0A9D106A"/>
    <w:rsid w:val="0BEF4CA9"/>
    <w:rsid w:val="0C1E3C7C"/>
    <w:rsid w:val="0C2A5CE1"/>
    <w:rsid w:val="0C68597E"/>
    <w:rsid w:val="0D603871"/>
    <w:rsid w:val="0DE2215E"/>
    <w:rsid w:val="0F096081"/>
    <w:rsid w:val="0F1C2311"/>
    <w:rsid w:val="0F256C33"/>
    <w:rsid w:val="0F342781"/>
    <w:rsid w:val="0FA77015"/>
    <w:rsid w:val="10260EB5"/>
    <w:rsid w:val="10344A2F"/>
    <w:rsid w:val="11B83D8F"/>
    <w:rsid w:val="12172001"/>
    <w:rsid w:val="122B40DE"/>
    <w:rsid w:val="124666C8"/>
    <w:rsid w:val="12A62C58"/>
    <w:rsid w:val="12AB7149"/>
    <w:rsid w:val="13A730B3"/>
    <w:rsid w:val="13FD101A"/>
    <w:rsid w:val="14491426"/>
    <w:rsid w:val="147E4E1C"/>
    <w:rsid w:val="14863CD0"/>
    <w:rsid w:val="14B93139"/>
    <w:rsid w:val="14D017C6"/>
    <w:rsid w:val="15145780"/>
    <w:rsid w:val="157E222F"/>
    <w:rsid w:val="15D920DD"/>
    <w:rsid w:val="16F01DBA"/>
    <w:rsid w:val="16F413C5"/>
    <w:rsid w:val="17017217"/>
    <w:rsid w:val="17510115"/>
    <w:rsid w:val="17A70B2D"/>
    <w:rsid w:val="17B46DA6"/>
    <w:rsid w:val="17CD0467"/>
    <w:rsid w:val="188B7B07"/>
    <w:rsid w:val="189D783A"/>
    <w:rsid w:val="19415BB3"/>
    <w:rsid w:val="195B1BCF"/>
    <w:rsid w:val="19895A0E"/>
    <w:rsid w:val="19F24478"/>
    <w:rsid w:val="1C662D65"/>
    <w:rsid w:val="1CBA0CFD"/>
    <w:rsid w:val="1D073DB7"/>
    <w:rsid w:val="1D4806BC"/>
    <w:rsid w:val="1D5C1A72"/>
    <w:rsid w:val="1D97314A"/>
    <w:rsid w:val="1D9E4570"/>
    <w:rsid w:val="1DC91F08"/>
    <w:rsid w:val="1E02178A"/>
    <w:rsid w:val="1E4F7829"/>
    <w:rsid w:val="1F325180"/>
    <w:rsid w:val="1F5350F7"/>
    <w:rsid w:val="1FC102B2"/>
    <w:rsid w:val="1FF468DA"/>
    <w:rsid w:val="209F6845"/>
    <w:rsid w:val="20BE4F05"/>
    <w:rsid w:val="20C91B14"/>
    <w:rsid w:val="20E03FCA"/>
    <w:rsid w:val="20F621DE"/>
    <w:rsid w:val="20F90A4D"/>
    <w:rsid w:val="21692707"/>
    <w:rsid w:val="21AF7885"/>
    <w:rsid w:val="222B6522"/>
    <w:rsid w:val="22456F79"/>
    <w:rsid w:val="22857CBD"/>
    <w:rsid w:val="2335534E"/>
    <w:rsid w:val="23CF475F"/>
    <w:rsid w:val="23EF1892"/>
    <w:rsid w:val="252136E2"/>
    <w:rsid w:val="252372E9"/>
    <w:rsid w:val="252F5CBE"/>
    <w:rsid w:val="25645A32"/>
    <w:rsid w:val="266320C3"/>
    <w:rsid w:val="266A0264"/>
    <w:rsid w:val="268A2C2C"/>
    <w:rsid w:val="271D64A4"/>
    <w:rsid w:val="273566E0"/>
    <w:rsid w:val="27FA25B3"/>
    <w:rsid w:val="28EB63A0"/>
    <w:rsid w:val="28EC3676"/>
    <w:rsid w:val="2902261B"/>
    <w:rsid w:val="2967011C"/>
    <w:rsid w:val="2A24600D"/>
    <w:rsid w:val="2A7523C5"/>
    <w:rsid w:val="2AD839F2"/>
    <w:rsid w:val="2B944ACD"/>
    <w:rsid w:val="2C412EA7"/>
    <w:rsid w:val="2C761C34"/>
    <w:rsid w:val="2C9C632F"/>
    <w:rsid w:val="2D1D3C71"/>
    <w:rsid w:val="2D621C05"/>
    <w:rsid w:val="2D7D5B52"/>
    <w:rsid w:val="2D946C24"/>
    <w:rsid w:val="2DA03BFD"/>
    <w:rsid w:val="2DBE22D5"/>
    <w:rsid w:val="2E2D6C30"/>
    <w:rsid w:val="2E434E08"/>
    <w:rsid w:val="2EF56638"/>
    <w:rsid w:val="2F7C7165"/>
    <w:rsid w:val="302D7D87"/>
    <w:rsid w:val="30871C3F"/>
    <w:rsid w:val="308E4E9E"/>
    <w:rsid w:val="31CA749A"/>
    <w:rsid w:val="31ED4F37"/>
    <w:rsid w:val="331704BD"/>
    <w:rsid w:val="334F68F9"/>
    <w:rsid w:val="33D60378"/>
    <w:rsid w:val="3445105A"/>
    <w:rsid w:val="345614B9"/>
    <w:rsid w:val="346C65E7"/>
    <w:rsid w:val="34733E19"/>
    <w:rsid w:val="349F0D57"/>
    <w:rsid w:val="34A30F22"/>
    <w:rsid w:val="34F87862"/>
    <w:rsid w:val="35AE5EF3"/>
    <w:rsid w:val="35B62865"/>
    <w:rsid w:val="364D41F6"/>
    <w:rsid w:val="36BC2C7D"/>
    <w:rsid w:val="372633C5"/>
    <w:rsid w:val="374455F9"/>
    <w:rsid w:val="37FF6C2C"/>
    <w:rsid w:val="38B24769"/>
    <w:rsid w:val="38F17A02"/>
    <w:rsid w:val="3932390E"/>
    <w:rsid w:val="39B20F40"/>
    <w:rsid w:val="39CE35B2"/>
    <w:rsid w:val="39F72DF7"/>
    <w:rsid w:val="3AAC1E33"/>
    <w:rsid w:val="3B0E71CE"/>
    <w:rsid w:val="3B6E30B9"/>
    <w:rsid w:val="3BC211E2"/>
    <w:rsid w:val="3BC57EFE"/>
    <w:rsid w:val="3BD62901"/>
    <w:rsid w:val="3BE13D5E"/>
    <w:rsid w:val="3C326368"/>
    <w:rsid w:val="3C8E4303"/>
    <w:rsid w:val="3C94492D"/>
    <w:rsid w:val="3CBF5058"/>
    <w:rsid w:val="3CFC0C01"/>
    <w:rsid w:val="3E0A2CD6"/>
    <w:rsid w:val="3E1302DE"/>
    <w:rsid w:val="3E7120FF"/>
    <w:rsid w:val="3E80645C"/>
    <w:rsid w:val="3E973002"/>
    <w:rsid w:val="3F156297"/>
    <w:rsid w:val="401F6C03"/>
    <w:rsid w:val="41127513"/>
    <w:rsid w:val="413C37E5"/>
    <w:rsid w:val="420B5DF7"/>
    <w:rsid w:val="4311484D"/>
    <w:rsid w:val="43942C39"/>
    <w:rsid w:val="43A7763B"/>
    <w:rsid w:val="44980645"/>
    <w:rsid w:val="452847AC"/>
    <w:rsid w:val="45835E86"/>
    <w:rsid w:val="45921C25"/>
    <w:rsid w:val="45943BEF"/>
    <w:rsid w:val="459B4F7E"/>
    <w:rsid w:val="45A85219"/>
    <w:rsid w:val="45AA51C1"/>
    <w:rsid w:val="45E306D3"/>
    <w:rsid w:val="45FF57F2"/>
    <w:rsid w:val="4694586B"/>
    <w:rsid w:val="46C422B2"/>
    <w:rsid w:val="47746782"/>
    <w:rsid w:val="47753839"/>
    <w:rsid w:val="47BF2A01"/>
    <w:rsid w:val="482A5495"/>
    <w:rsid w:val="48FD2A6B"/>
    <w:rsid w:val="49380D36"/>
    <w:rsid w:val="493A5F72"/>
    <w:rsid w:val="4A462A9A"/>
    <w:rsid w:val="4A8F5C2D"/>
    <w:rsid w:val="4AB132DC"/>
    <w:rsid w:val="4AF55130"/>
    <w:rsid w:val="4B323DF0"/>
    <w:rsid w:val="4B4E65EF"/>
    <w:rsid w:val="4C4646E8"/>
    <w:rsid w:val="4C473D74"/>
    <w:rsid w:val="4CB701C3"/>
    <w:rsid w:val="4CC60E28"/>
    <w:rsid w:val="4CDD4C2C"/>
    <w:rsid w:val="4E50267E"/>
    <w:rsid w:val="4E5A52AA"/>
    <w:rsid w:val="4E610056"/>
    <w:rsid w:val="4EA07BA7"/>
    <w:rsid w:val="4EB923B7"/>
    <w:rsid w:val="4EF77B4F"/>
    <w:rsid w:val="4F365D17"/>
    <w:rsid w:val="4F9405D8"/>
    <w:rsid w:val="508F3EE3"/>
    <w:rsid w:val="520420FD"/>
    <w:rsid w:val="52675F4B"/>
    <w:rsid w:val="527A0EDB"/>
    <w:rsid w:val="53E73FF6"/>
    <w:rsid w:val="53F72BDF"/>
    <w:rsid w:val="54091C4C"/>
    <w:rsid w:val="54417AF7"/>
    <w:rsid w:val="553C3160"/>
    <w:rsid w:val="5572737D"/>
    <w:rsid w:val="55D01C98"/>
    <w:rsid w:val="55ED402C"/>
    <w:rsid w:val="56197C92"/>
    <w:rsid w:val="56765F37"/>
    <w:rsid w:val="56951575"/>
    <w:rsid w:val="56ED558D"/>
    <w:rsid w:val="56FB3ACE"/>
    <w:rsid w:val="57636D42"/>
    <w:rsid w:val="57A52ED3"/>
    <w:rsid w:val="58102F39"/>
    <w:rsid w:val="586B41A9"/>
    <w:rsid w:val="58A9755A"/>
    <w:rsid w:val="58B008E9"/>
    <w:rsid w:val="58BE1257"/>
    <w:rsid w:val="59103135"/>
    <w:rsid w:val="59232E69"/>
    <w:rsid w:val="59590F80"/>
    <w:rsid w:val="599D5C82"/>
    <w:rsid w:val="5A47527D"/>
    <w:rsid w:val="5A70032F"/>
    <w:rsid w:val="5ACC6324"/>
    <w:rsid w:val="5B0F5D9A"/>
    <w:rsid w:val="5B3E042E"/>
    <w:rsid w:val="5B5B0FE0"/>
    <w:rsid w:val="5B5F4DF6"/>
    <w:rsid w:val="5BBC6D3C"/>
    <w:rsid w:val="5C3C477A"/>
    <w:rsid w:val="5C6D1003"/>
    <w:rsid w:val="5D041EC4"/>
    <w:rsid w:val="5D7C523D"/>
    <w:rsid w:val="5D8451DF"/>
    <w:rsid w:val="5D8772F7"/>
    <w:rsid w:val="5DCA244C"/>
    <w:rsid w:val="5F6E3C7C"/>
    <w:rsid w:val="5FB21779"/>
    <w:rsid w:val="5FB835D1"/>
    <w:rsid w:val="5FC26607"/>
    <w:rsid w:val="60A26D69"/>
    <w:rsid w:val="60B701F1"/>
    <w:rsid w:val="60CA4511"/>
    <w:rsid w:val="611C590E"/>
    <w:rsid w:val="62040243"/>
    <w:rsid w:val="636020F8"/>
    <w:rsid w:val="63655EDA"/>
    <w:rsid w:val="636F67E9"/>
    <w:rsid w:val="63CA359B"/>
    <w:rsid w:val="64095351"/>
    <w:rsid w:val="64550596"/>
    <w:rsid w:val="64A532CB"/>
    <w:rsid w:val="64F25DE5"/>
    <w:rsid w:val="64FB2CC2"/>
    <w:rsid w:val="65222343"/>
    <w:rsid w:val="65811B40"/>
    <w:rsid w:val="658D21DE"/>
    <w:rsid w:val="65E816C2"/>
    <w:rsid w:val="661B486E"/>
    <w:rsid w:val="663C37BC"/>
    <w:rsid w:val="66692B11"/>
    <w:rsid w:val="66A7176F"/>
    <w:rsid w:val="66B27F22"/>
    <w:rsid w:val="66E4190D"/>
    <w:rsid w:val="670F6580"/>
    <w:rsid w:val="672C1A82"/>
    <w:rsid w:val="67397CFB"/>
    <w:rsid w:val="678D2B87"/>
    <w:rsid w:val="67A1616C"/>
    <w:rsid w:val="67D53EC8"/>
    <w:rsid w:val="67F02AB0"/>
    <w:rsid w:val="67F21A05"/>
    <w:rsid w:val="68091DC3"/>
    <w:rsid w:val="68237BCA"/>
    <w:rsid w:val="68464DC5"/>
    <w:rsid w:val="68A45648"/>
    <w:rsid w:val="68F410D0"/>
    <w:rsid w:val="68FD3A45"/>
    <w:rsid w:val="69362744"/>
    <w:rsid w:val="69407A67"/>
    <w:rsid w:val="69867649"/>
    <w:rsid w:val="69BF6BDD"/>
    <w:rsid w:val="69D12417"/>
    <w:rsid w:val="6A10568B"/>
    <w:rsid w:val="6B244066"/>
    <w:rsid w:val="6BB838E4"/>
    <w:rsid w:val="6CB5251A"/>
    <w:rsid w:val="6CDA682F"/>
    <w:rsid w:val="6CEB1A97"/>
    <w:rsid w:val="6D260D22"/>
    <w:rsid w:val="6DD4077E"/>
    <w:rsid w:val="6DDB5FB0"/>
    <w:rsid w:val="6E1A0886"/>
    <w:rsid w:val="6E8548FA"/>
    <w:rsid w:val="6E9E39D6"/>
    <w:rsid w:val="701F03D6"/>
    <w:rsid w:val="7060454A"/>
    <w:rsid w:val="70817FDC"/>
    <w:rsid w:val="70B2124A"/>
    <w:rsid w:val="70B34FC2"/>
    <w:rsid w:val="70B969B4"/>
    <w:rsid w:val="70E5575F"/>
    <w:rsid w:val="71305D91"/>
    <w:rsid w:val="718928E9"/>
    <w:rsid w:val="7231799F"/>
    <w:rsid w:val="725C293B"/>
    <w:rsid w:val="7312139A"/>
    <w:rsid w:val="73234838"/>
    <w:rsid w:val="7363395E"/>
    <w:rsid w:val="742F2BB2"/>
    <w:rsid w:val="74363F40"/>
    <w:rsid w:val="743E2DF5"/>
    <w:rsid w:val="74DB6895"/>
    <w:rsid w:val="74DF1EE2"/>
    <w:rsid w:val="75292FF9"/>
    <w:rsid w:val="75475CD9"/>
    <w:rsid w:val="756D573F"/>
    <w:rsid w:val="757A1C03"/>
    <w:rsid w:val="75ED4AD2"/>
    <w:rsid w:val="763F6D25"/>
    <w:rsid w:val="766D79C1"/>
    <w:rsid w:val="77387F1B"/>
    <w:rsid w:val="77905715"/>
    <w:rsid w:val="77DA1086"/>
    <w:rsid w:val="784939F7"/>
    <w:rsid w:val="78B541A0"/>
    <w:rsid w:val="79531210"/>
    <w:rsid w:val="79F20909"/>
    <w:rsid w:val="7A295A6E"/>
    <w:rsid w:val="7A6D77BE"/>
    <w:rsid w:val="7A8F43AA"/>
    <w:rsid w:val="7AB57A3E"/>
    <w:rsid w:val="7AC70FDC"/>
    <w:rsid w:val="7AE665D2"/>
    <w:rsid w:val="7B4C229B"/>
    <w:rsid w:val="7BCE0F02"/>
    <w:rsid w:val="7C273A6C"/>
    <w:rsid w:val="7C322B50"/>
    <w:rsid w:val="7CF6426C"/>
    <w:rsid w:val="7D290CA7"/>
    <w:rsid w:val="7D403AF7"/>
    <w:rsid w:val="7D722603"/>
    <w:rsid w:val="7DA755D6"/>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3">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autoRedefine/>
    <w:qFormat/>
    <w:uiPriority w:val="0"/>
    <w:pPr>
      <w:spacing w:line="340" w:lineRule="exact"/>
      <w:ind w:firstLine="522"/>
    </w:pPr>
    <w:rPr>
      <w:color w:val="000000"/>
      <w:sz w:val="28"/>
    </w:rPr>
  </w:style>
  <w:style w:type="paragraph" w:styleId="7">
    <w:name w:val="envelope return"/>
    <w:basedOn w:val="1"/>
    <w:autoRedefine/>
    <w:qFormat/>
    <w:uiPriority w:val="0"/>
    <w:pPr>
      <w:snapToGrid w:val="0"/>
    </w:pPr>
    <w:rPr>
      <w:rFonts w:ascii="Arial" w:hAnsi="Arial"/>
    </w:rPr>
  </w:style>
  <w:style w:type="paragraph" w:styleId="8">
    <w:name w:val="Block Text"/>
    <w:basedOn w:val="1"/>
    <w:next w:val="1"/>
    <w:autoRedefine/>
    <w:qFormat/>
    <w:uiPriority w:val="0"/>
    <w:pPr>
      <w:ind w:left="113" w:right="113" w:firstLine="595"/>
      <w:jc w:val="left"/>
    </w:pPr>
    <w:rPr>
      <w:sz w:val="28"/>
    </w:rPr>
  </w:style>
  <w:style w:type="paragraph" w:styleId="9">
    <w:name w:val="Plain Text"/>
    <w:basedOn w:val="1"/>
    <w:autoRedefine/>
    <w:qFormat/>
    <w:uiPriority w:val="0"/>
    <w:rPr>
      <w:rFonts w:ascii="宋体" w:hAnsi="Courier New" w:eastAsia="宋体" w:cs="宋体"/>
      <w:sz w:val="24"/>
    </w:rPr>
  </w:style>
  <w:style w:type="paragraph" w:styleId="10">
    <w:name w:val="Body Text Indent 2"/>
    <w:basedOn w:val="1"/>
    <w:next w:val="11"/>
    <w:autoRedefine/>
    <w:qFormat/>
    <w:uiPriority w:val="0"/>
    <w:pPr>
      <w:spacing w:line="480" w:lineRule="exact"/>
      <w:ind w:firstLine="570"/>
    </w:pPr>
    <w:rPr>
      <w:sz w:val="28"/>
    </w:rPr>
  </w:style>
  <w:style w:type="paragraph" w:customStyle="1" w:styleId="11">
    <w:name w:val="reader-word-layer reader-word-s46-2"/>
    <w:basedOn w:val="1"/>
    <w:next w:val="12"/>
    <w:autoRedefine/>
    <w:qFormat/>
    <w:uiPriority w:val="0"/>
    <w:pPr>
      <w:widowControl/>
      <w:spacing w:before="280" w:after="280" w:line="240" w:lineRule="auto"/>
    </w:pPr>
    <w:rPr>
      <w:rFonts w:ascii="宋体"/>
    </w:rPr>
  </w:style>
  <w:style w:type="paragraph" w:customStyle="1" w:styleId="12">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3">
    <w:name w:val="Balloon Text"/>
    <w:basedOn w:val="1"/>
    <w:link w:val="29"/>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next w:val="1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样式5"/>
    <w:basedOn w:val="17"/>
    <w:autoRedefine/>
    <w:qFormat/>
    <w:uiPriority w:val="0"/>
    <w:pPr>
      <w:keepNext/>
      <w:spacing w:line="240" w:lineRule="auto"/>
      <w:jc w:val="left"/>
      <w:outlineLvl w:val="0"/>
    </w:pPr>
    <w:rPr>
      <w:rFonts w:ascii="黑体" w:hAnsi="黑体"/>
      <w:spacing w:val="5"/>
      <w:sz w:val="25"/>
      <w:szCs w:val="25"/>
    </w:rPr>
  </w:style>
  <w:style w:type="paragraph" w:customStyle="1" w:styleId="17">
    <w:name w:val="正文1"/>
    <w:basedOn w:val="1"/>
    <w:autoRedefine/>
    <w:qFormat/>
    <w:uiPriority w:val="0"/>
    <w:pPr>
      <w:adjustRightInd w:val="0"/>
      <w:snapToGrid w:val="0"/>
      <w:spacing w:line="480" w:lineRule="exact"/>
      <w:ind w:firstLine="200"/>
    </w:pPr>
    <w:rPr>
      <w:szCs w:val="20"/>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00" w:afterAutospacing="1"/>
    </w:pPr>
    <w:rPr>
      <w:sz w:val="24"/>
      <w:szCs w:val="20"/>
    </w:rPr>
  </w:style>
  <w:style w:type="paragraph" w:styleId="20">
    <w:name w:val="Body Text First Indent 2"/>
    <w:basedOn w:val="6"/>
    <w:next w:val="1"/>
    <w:autoRedefine/>
    <w:qFormat/>
    <w:uiPriority w:val="0"/>
    <w:pPr>
      <w:spacing w:line="240" w:lineRule="auto"/>
      <w:ind w:left="420" w:leftChars="200" w:firstLine="420" w:firstLineChars="200"/>
    </w:pPr>
    <w:rPr>
      <w:sz w:val="21"/>
    </w:rPr>
  </w:style>
  <w:style w:type="table" w:styleId="22">
    <w:name w:val="Table Grid"/>
    <w:basedOn w:val="2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paragraph" w:customStyle="1" w:styleId="25">
    <w:name w:val="表格文字"/>
    <w:basedOn w:val="6"/>
    <w:next w:val="1"/>
    <w:autoRedefine/>
    <w:qFormat/>
    <w:uiPriority w:val="0"/>
    <w:pPr>
      <w:spacing w:line="400" w:lineRule="exact"/>
      <w:jc w:val="center"/>
    </w:pPr>
    <w:rPr>
      <w:szCs w:val="24"/>
      <w:u w:color="000000"/>
    </w:rPr>
  </w:style>
  <w:style w:type="paragraph" w:customStyle="1" w:styleId="26">
    <w:name w:val="样式 样式 样式 四号 左侧:  1.53 厘米 + 首行缩进:  2 字符 + 居中 左侧:  2 字符 首行缩进:  2..."/>
    <w:basedOn w:val="27"/>
    <w:autoRedefine/>
    <w:qFormat/>
    <w:uiPriority w:val="0"/>
    <w:pPr>
      <w:jc w:val="center"/>
    </w:pPr>
  </w:style>
  <w:style w:type="paragraph" w:customStyle="1" w:styleId="27">
    <w:name w:val="样式 样式 四号 左侧:  1.53 厘米 + 首行缩进:  2 字符"/>
    <w:basedOn w:val="28"/>
    <w:autoRedefine/>
    <w:qFormat/>
    <w:uiPriority w:val="0"/>
    <w:pPr>
      <w:ind w:left="200" w:leftChars="200"/>
    </w:pPr>
    <w:rPr>
      <w:szCs w:val="20"/>
    </w:rPr>
  </w:style>
  <w:style w:type="paragraph" w:customStyle="1" w:styleId="28">
    <w:name w:val="样式 四号 左侧:  1.53 厘米"/>
    <w:basedOn w:val="1"/>
    <w:autoRedefine/>
    <w:qFormat/>
    <w:uiPriority w:val="0"/>
    <w:pPr>
      <w:adjustRightInd w:val="0"/>
    </w:pPr>
    <w:rPr>
      <w:w w:val="90"/>
      <w:sz w:val="28"/>
      <w:szCs w:val="28"/>
    </w:rPr>
  </w:style>
  <w:style w:type="character" w:customStyle="1" w:styleId="29">
    <w:name w:val="批注框文本 Char"/>
    <w:basedOn w:val="23"/>
    <w:link w:val="13"/>
    <w:autoRedefine/>
    <w:qFormat/>
    <w:uiPriority w:val="0"/>
    <w:rPr>
      <w:rFonts w:asciiTheme="minorHAnsi" w:hAnsiTheme="minorHAnsi" w:eastAsiaTheme="minorEastAsia" w:cstheme="minorBidi"/>
      <w:kern w:val="2"/>
      <w:sz w:val="18"/>
      <w:szCs w:val="18"/>
    </w:rPr>
  </w:style>
  <w:style w:type="paragraph" w:customStyle="1" w:styleId="30">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1">
    <w:name w:val="List Paragraph"/>
    <w:basedOn w:val="1"/>
    <w:autoRedefine/>
    <w:unhideWhenUsed/>
    <w:qFormat/>
    <w:uiPriority w:val="99"/>
    <w:pPr>
      <w:ind w:firstLine="420" w:firstLineChars="200"/>
    </w:pPr>
  </w:style>
  <w:style w:type="paragraph" w:customStyle="1" w:styleId="32">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3">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4">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5">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1912</Words>
  <Characters>1997</Characters>
  <Lines>9</Lines>
  <Paragraphs>2</Paragraphs>
  <TotalTime>86</TotalTime>
  <ScaleCrop>false</ScaleCrop>
  <LinksUpToDate>false</LinksUpToDate>
  <CharactersWithSpaces>1997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2024-04-03T03:13:06Z</cp:lastPrinted>
  <dcterms:modified xsi:type="dcterms:W3CDTF">2024-04-03T03:17:59Z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1D70FFC281D348D185C8BBCFCED65523</vt:lpwstr>
  </property>
</Properties>
</file>