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bookmarkStart w:id="0" w:name="_GoBack"/>
      <w:r>
        <w:rPr>
          <w:rFonts w:hint="eastAsia"/>
          <w:lang w:val="en-US" w:eastAsia="zh-CN"/>
        </w:rPr>
        <w:t>魏县</w:t>
      </w:r>
      <w:r>
        <w:rPr>
          <w:rFonts w:hint="eastAsia"/>
          <w:lang w:eastAsia="zh-CN"/>
        </w:rPr>
        <w:t>国防动员办公室涉企行政执法事项清单（</w:t>
      </w:r>
      <w:r>
        <w:rPr>
          <w:rFonts w:hint="eastAsia"/>
          <w:lang w:val="en-US" w:eastAsia="zh-CN"/>
        </w:rPr>
        <w:t>2024年版</w:t>
      </w:r>
      <w:r>
        <w:rPr>
          <w:rFonts w:hint="eastAsia"/>
          <w:lang w:eastAsia="zh-CN"/>
        </w:rPr>
        <w:t>）</w:t>
      </w:r>
    </w:p>
    <w:bookmarkEnd w:id="0"/>
    <w:p>
      <w:pPr>
        <w:rPr>
          <w:rFonts w:hint="default"/>
          <w:lang w:val="en-US" w:eastAsia="zh-CN"/>
        </w:rPr>
      </w:pPr>
      <w:r>
        <w:rPr>
          <w:rFonts w:hint="eastAsia"/>
          <w:sz w:val="24"/>
          <w:szCs w:val="24"/>
          <w:lang w:val="en-US" w:eastAsia="zh-CN"/>
        </w:rPr>
        <w:t xml:space="preserve">行政检查7项  </w:t>
      </w:r>
      <w:r>
        <w:rPr>
          <w:rFonts w:hint="eastAsia"/>
          <w:lang w:val="en-US" w:eastAsia="zh-CN"/>
        </w:rPr>
        <w:t xml:space="preserve">                                                                                  </w:t>
      </w:r>
      <w:r>
        <w:rPr>
          <w:rFonts w:hint="eastAsia"/>
          <w:sz w:val="24"/>
          <w:szCs w:val="24"/>
          <w:lang w:val="en-US" w:eastAsia="zh-CN"/>
        </w:rPr>
        <w:t>主要领导：</w:t>
      </w:r>
    </w:p>
    <w:tbl>
      <w:tblPr>
        <w:tblStyle w:val="4"/>
        <w:tblW w:w="5236" w:type="pct"/>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88"/>
        <w:gridCol w:w="887"/>
        <w:gridCol w:w="1200"/>
        <w:gridCol w:w="875"/>
        <w:gridCol w:w="2560"/>
        <w:gridCol w:w="6245"/>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7" w:hRule="atLeast"/>
        </w:trPr>
        <w:tc>
          <w:tcPr>
            <w:tcW w:w="688" w:type="dxa"/>
            <w:tcBorders>
              <w:tl2br w:val="nil"/>
              <w:tr2bl w:val="nil"/>
            </w:tcBorders>
            <w:shd w:val="clear" w:color="auto" w:fill="FFFFFF"/>
            <w:tcMar>
              <w:top w:w="12" w:type="dxa"/>
              <w:left w:w="12" w:type="dxa"/>
              <w:right w:w="12" w:type="dxa"/>
            </w:tcMar>
            <w:vAlign w:val="center"/>
          </w:tcPr>
          <w:p>
            <w:pPr>
              <w:jc w:val="center"/>
              <w:rPr>
                <w:rFonts w:hint="eastAsia" w:ascii="仿宋_GB2312" w:hAnsi="仿宋_GB2312" w:eastAsia="仿宋_GB2312" w:cs="仿宋_GB2312"/>
                <w:b w:val="0"/>
                <w:bCs w:val="0"/>
                <w:i w:val="0"/>
                <w:iCs w:val="0"/>
                <w:color w:val="000000"/>
                <w:sz w:val="18"/>
                <w:szCs w:val="18"/>
              </w:rPr>
            </w:pPr>
            <w:r>
              <w:rPr>
                <w:rFonts w:hint="eastAsia"/>
                <w:vertAlign w:val="baseline"/>
                <w:lang w:eastAsia="zh-CN"/>
              </w:rPr>
              <w:t>序号</w:t>
            </w:r>
          </w:p>
        </w:tc>
        <w:tc>
          <w:tcPr>
            <w:tcW w:w="887" w:type="dxa"/>
            <w:tcBorders>
              <w:tl2br w:val="nil"/>
              <w:tr2bl w:val="nil"/>
            </w:tcBorders>
            <w:shd w:val="clear" w:color="auto" w:fill="FFFFFF"/>
            <w:tcMar>
              <w:top w:w="12" w:type="dxa"/>
              <w:left w:w="12" w:type="dxa"/>
              <w:right w:w="12" w:type="dxa"/>
            </w:tcMar>
            <w:vAlign w:val="center"/>
          </w:tcPr>
          <w:p>
            <w:pPr>
              <w:jc w:val="center"/>
              <w:rPr>
                <w:rFonts w:hint="eastAsia"/>
                <w:vertAlign w:val="baseline"/>
                <w:lang w:eastAsia="zh-CN"/>
              </w:rPr>
            </w:pPr>
            <w:r>
              <w:rPr>
                <w:rFonts w:hint="eastAsia"/>
                <w:vertAlign w:val="baseline"/>
                <w:lang w:eastAsia="zh-CN"/>
              </w:rPr>
              <w:t>权利</w:t>
            </w:r>
          </w:p>
          <w:p>
            <w:pPr>
              <w:jc w:val="center"/>
              <w:rPr>
                <w:rFonts w:hint="eastAsia" w:ascii="仿宋_GB2312" w:hAnsi="仿宋_GB2312" w:eastAsia="仿宋_GB2312" w:cs="仿宋_GB2312"/>
                <w:b w:val="0"/>
                <w:bCs w:val="0"/>
                <w:i w:val="0"/>
                <w:iCs w:val="0"/>
                <w:color w:val="000000"/>
                <w:sz w:val="18"/>
                <w:szCs w:val="18"/>
              </w:rPr>
            </w:pPr>
            <w:r>
              <w:rPr>
                <w:rFonts w:hint="eastAsia"/>
                <w:vertAlign w:val="baseline"/>
                <w:lang w:eastAsia="zh-CN"/>
              </w:rPr>
              <w:t>类型</w:t>
            </w:r>
          </w:p>
        </w:tc>
        <w:tc>
          <w:tcPr>
            <w:tcW w:w="1200" w:type="dxa"/>
            <w:tcBorders>
              <w:tl2br w:val="nil"/>
              <w:tr2bl w:val="nil"/>
            </w:tcBorders>
            <w:shd w:val="clear" w:color="auto" w:fill="FFFFFF"/>
            <w:tcMar>
              <w:top w:w="12" w:type="dxa"/>
              <w:left w:w="12" w:type="dxa"/>
              <w:right w:w="12" w:type="dxa"/>
            </w:tcMar>
            <w:vAlign w:val="center"/>
          </w:tcPr>
          <w:p>
            <w:pPr>
              <w:jc w:val="center"/>
              <w:rPr>
                <w:rFonts w:hint="eastAsia" w:ascii="仿宋_GB2312" w:hAnsi="仿宋_GB2312" w:eastAsia="仿宋_GB2312" w:cs="仿宋_GB2312"/>
                <w:b w:val="0"/>
                <w:bCs w:val="0"/>
                <w:i w:val="0"/>
                <w:iCs w:val="0"/>
                <w:color w:val="000000"/>
                <w:sz w:val="18"/>
                <w:szCs w:val="18"/>
              </w:rPr>
            </w:pPr>
            <w:r>
              <w:rPr>
                <w:rFonts w:hint="eastAsia"/>
                <w:vertAlign w:val="baseline"/>
                <w:lang w:eastAsia="zh-CN"/>
              </w:rPr>
              <w:t>权力事项</w:t>
            </w:r>
          </w:p>
        </w:tc>
        <w:tc>
          <w:tcPr>
            <w:tcW w:w="875" w:type="dxa"/>
            <w:tcBorders>
              <w:tl2br w:val="nil"/>
              <w:tr2bl w:val="nil"/>
            </w:tcBorders>
            <w:shd w:val="clear" w:color="auto" w:fill="FFFFFF"/>
            <w:tcMar>
              <w:top w:w="12" w:type="dxa"/>
              <w:left w:w="12" w:type="dxa"/>
              <w:right w:w="12" w:type="dxa"/>
            </w:tcMar>
            <w:vAlign w:val="center"/>
          </w:tcPr>
          <w:p>
            <w:pPr>
              <w:jc w:val="center"/>
              <w:rPr>
                <w:rFonts w:hint="eastAsia" w:ascii="仿宋_GB2312" w:hAnsi="仿宋_GB2312" w:eastAsia="仿宋_GB2312" w:cs="仿宋_GB2312"/>
                <w:b w:val="0"/>
                <w:bCs w:val="0"/>
                <w:i w:val="0"/>
                <w:iCs w:val="0"/>
                <w:color w:val="000000"/>
                <w:sz w:val="18"/>
                <w:szCs w:val="18"/>
              </w:rPr>
            </w:pPr>
            <w:r>
              <w:rPr>
                <w:rFonts w:hint="eastAsia"/>
                <w:vertAlign w:val="baseline"/>
                <w:lang w:eastAsia="zh-CN"/>
              </w:rPr>
              <w:t>行政主体</w:t>
            </w:r>
          </w:p>
        </w:tc>
        <w:tc>
          <w:tcPr>
            <w:tcW w:w="2560" w:type="dxa"/>
            <w:tcBorders>
              <w:tl2br w:val="nil"/>
              <w:tr2bl w:val="nil"/>
            </w:tcBorders>
            <w:shd w:val="clear" w:color="auto" w:fill="FFFFFF"/>
            <w:tcMar>
              <w:top w:w="12" w:type="dxa"/>
              <w:left w:w="12" w:type="dxa"/>
              <w:right w:w="12" w:type="dxa"/>
            </w:tcMar>
            <w:vAlign w:val="center"/>
          </w:tcPr>
          <w:p>
            <w:pPr>
              <w:jc w:val="center"/>
              <w:rPr>
                <w:rFonts w:hint="eastAsia" w:ascii="仿宋_GB2312" w:hAnsi="仿宋_GB2312" w:eastAsia="仿宋_GB2312" w:cs="仿宋_GB2312"/>
                <w:b w:val="0"/>
                <w:bCs w:val="0"/>
                <w:i w:val="0"/>
                <w:iCs w:val="0"/>
                <w:color w:val="000000"/>
                <w:sz w:val="18"/>
                <w:szCs w:val="18"/>
              </w:rPr>
            </w:pPr>
            <w:r>
              <w:rPr>
                <w:rFonts w:hint="eastAsia"/>
                <w:vertAlign w:val="baseline"/>
                <w:lang w:eastAsia="zh-CN"/>
              </w:rPr>
              <w:t>实施依据</w:t>
            </w:r>
          </w:p>
        </w:tc>
        <w:tc>
          <w:tcPr>
            <w:tcW w:w="6245" w:type="dxa"/>
            <w:tcBorders>
              <w:tl2br w:val="nil"/>
              <w:tr2bl w:val="nil"/>
            </w:tcBorders>
            <w:shd w:val="clear" w:color="auto" w:fill="FFFFFF"/>
            <w:tcMar>
              <w:top w:w="12" w:type="dxa"/>
              <w:left w:w="12" w:type="dxa"/>
              <w:right w:w="12" w:type="dxa"/>
            </w:tcMar>
            <w:vAlign w:val="center"/>
          </w:tcPr>
          <w:p>
            <w:pPr>
              <w:jc w:val="center"/>
              <w:rPr>
                <w:rFonts w:hint="eastAsia" w:ascii="仿宋_GB2312" w:hAnsi="仿宋_GB2312" w:eastAsia="仿宋_GB2312" w:cs="仿宋_GB2312"/>
                <w:b w:val="0"/>
                <w:bCs w:val="0"/>
                <w:i w:val="0"/>
                <w:iCs w:val="0"/>
                <w:color w:val="000000"/>
                <w:sz w:val="18"/>
                <w:szCs w:val="18"/>
              </w:rPr>
            </w:pPr>
            <w:r>
              <w:rPr>
                <w:rFonts w:hint="eastAsia"/>
                <w:vertAlign w:val="baseline"/>
                <w:lang w:eastAsia="zh-CN"/>
              </w:rPr>
              <w:t>追责责任</w:t>
            </w:r>
          </w:p>
        </w:tc>
        <w:tc>
          <w:tcPr>
            <w:tcW w:w="3695" w:type="dxa"/>
            <w:tcBorders>
              <w:tl2br w:val="nil"/>
              <w:tr2bl w:val="nil"/>
            </w:tcBorders>
            <w:shd w:val="clear" w:color="auto" w:fill="FFFFFF"/>
            <w:tcMar>
              <w:top w:w="12" w:type="dxa"/>
              <w:left w:w="12" w:type="dxa"/>
              <w:right w:w="12" w:type="dxa"/>
            </w:tcMar>
            <w:vAlign w:val="center"/>
          </w:tcPr>
          <w:p>
            <w:pPr>
              <w:jc w:val="center"/>
              <w:rPr>
                <w:rFonts w:hint="eastAsia" w:ascii="仿宋_GB2312" w:hAnsi="仿宋_GB2312" w:eastAsia="仿宋_GB2312" w:cs="仿宋_GB2312"/>
                <w:b w:val="0"/>
                <w:bCs w:val="0"/>
                <w:i w:val="0"/>
                <w:iCs w:val="0"/>
                <w:color w:val="000000"/>
                <w:sz w:val="18"/>
                <w:szCs w:val="18"/>
              </w:rPr>
            </w:pPr>
            <w:r>
              <w:rPr>
                <w:rFonts w:hint="eastAsia"/>
                <w:vertAlign w:val="baseline"/>
                <w:lang w:eastAsia="zh-CN"/>
              </w:rPr>
              <w:t>追责情形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722" w:hRule="atLeast"/>
        </w:trPr>
        <w:tc>
          <w:tcPr>
            <w:tcW w:w="688"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jc w:val="center"/>
              <w:textAlignment w:val="center"/>
              <w:rPr>
                <w:rFonts w:hint="eastAsia" w:ascii="仿宋_GB2312" w:hAnsi="仿宋_GB2312" w:eastAsia="仿宋_GB2312" w:cs="仿宋_GB2312"/>
                <w:b w:val="0"/>
                <w:bCs w:val="0"/>
                <w:i w:val="0"/>
                <w:iCs w:val="0"/>
                <w:color w:val="000000"/>
                <w:sz w:val="18"/>
                <w:szCs w:val="18"/>
                <w:lang w:val="en-US" w:eastAsia="zh-CN"/>
              </w:rPr>
            </w:pPr>
            <w:r>
              <w:rPr>
                <w:rFonts w:hint="eastAsia" w:ascii="仿宋_GB2312" w:hAnsi="仿宋_GB2312" w:eastAsia="仿宋_GB2312" w:cs="仿宋_GB2312"/>
                <w:b w:val="0"/>
                <w:bCs w:val="0"/>
                <w:i w:val="0"/>
                <w:iCs w:val="0"/>
                <w:color w:val="000000"/>
                <w:sz w:val="18"/>
                <w:szCs w:val="18"/>
                <w:lang w:val="en-US" w:eastAsia="zh-CN"/>
              </w:rPr>
              <w:t>1</w:t>
            </w:r>
          </w:p>
        </w:tc>
        <w:tc>
          <w:tcPr>
            <w:tcW w:w="887"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jc w:val="center"/>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行政检查</w:t>
            </w:r>
          </w:p>
        </w:tc>
        <w:tc>
          <w:tcPr>
            <w:tcW w:w="1200"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对人民防空工程维护管理的监督</w:t>
            </w:r>
          </w:p>
        </w:tc>
        <w:tc>
          <w:tcPr>
            <w:tcW w:w="87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lang w:val="en-US" w:eastAsia="zh-CN"/>
              </w:rPr>
              <w:t>魏县</w:t>
            </w:r>
            <w:r>
              <w:rPr>
                <w:rFonts w:hint="eastAsia" w:ascii="仿宋_GB2312" w:hAnsi="仿宋_GB2312" w:eastAsia="仿宋_GB2312" w:cs="仿宋_GB2312"/>
                <w:b w:val="0"/>
                <w:bCs w:val="0"/>
                <w:i w:val="0"/>
                <w:iCs w:val="0"/>
                <w:caps w:val="0"/>
                <w:color w:val="000000"/>
                <w:spacing w:val="0"/>
                <w:sz w:val="18"/>
                <w:szCs w:val="18"/>
              </w:rPr>
              <w:t>国防动员办公室</w:t>
            </w:r>
          </w:p>
        </w:tc>
        <w:tc>
          <w:tcPr>
            <w:tcW w:w="2560"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1.《中华人民共和国人民防空法》（1996年月29日第八届全国人民代表大会常务委员会第二十二次会议通过，2009年8月27日修正）第二十五条第一款</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2.《河北省实施〈中华人民共和国人民防空法〉办法》（1998年12月26日河北省第九届人民代表大会常务委员会第六次会议通过，2022年5月27日第五次修正）第十六条第二款</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3.《河北省人民防空工程维护与使用管理条例》（2006年5月24日河北省第十届人民代表大会常务委员会第二十一次会议通过，2006年7月1日施行）第十九条</w:t>
            </w:r>
          </w:p>
        </w:tc>
        <w:tc>
          <w:tcPr>
            <w:tcW w:w="624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1.检查责任：对人民防空工程的维护与使用情况进行监督检查。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2.处置责任：对监督检查发现的问题，责令限期整改，依法提出行政处罚建议。</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3.移送责任：及时予以公告，对构成违法犯罪的移交司法机关。</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4.事后管理责任：对监督检查发现的问题，整改完成后，对整改情况组织核查。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5.其他法律法规规章文件规定应履行的责任。</w:t>
            </w:r>
          </w:p>
        </w:tc>
        <w:tc>
          <w:tcPr>
            <w:tcW w:w="369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因不履行或不正确履行行政职责，有下列情形的，行政机关及相关工作人员应承担相应责任：</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1.对在检查中发现的问题，不责令限期整改、不依法实施处罚。</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2.对可能危及人民防空工程安全、影响人民防空工程使用效能的违法行为不及时制止、查处的.</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3.不及时予以公告，对构成违法犯罪的不移交司法机关。</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4.对监督检查发现的问题，整改完成后，不对整改情况组织进行核查。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5.其他违反法律法规规章文件规定的行为。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0" w:hRule="atLeast"/>
        </w:trPr>
        <w:tc>
          <w:tcPr>
            <w:tcW w:w="688"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jc w:val="center"/>
              <w:textAlignment w:val="center"/>
              <w:rPr>
                <w:rFonts w:hint="eastAsia" w:ascii="仿宋_GB2312" w:hAnsi="仿宋_GB2312" w:eastAsia="仿宋_GB2312" w:cs="仿宋_GB2312"/>
                <w:b w:val="0"/>
                <w:bCs w:val="0"/>
                <w:i w:val="0"/>
                <w:iCs w:val="0"/>
                <w:color w:val="000000"/>
                <w:sz w:val="18"/>
                <w:szCs w:val="18"/>
                <w:lang w:val="en-US" w:eastAsia="zh-CN"/>
              </w:rPr>
            </w:pPr>
            <w:r>
              <w:rPr>
                <w:rFonts w:hint="eastAsia" w:ascii="仿宋_GB2312" w:hAnsi="仿宋_GB2312" w:eastAsia="仿宋_GB2312" w:cs="仿宋_GB2312"/>
                <w:b w:val="0"/>
                <w:bCs w:val="0"/>
                <w:i w:val="0"/>
                <w:iCs w:val="0"/>
                <w:color w:val="000000"/>
                <w:sz w:val="18"/>
                <w:szCs w:val="18"/>
                <w:lang w:val="en-US" w:eastAsia="zh-CN"/>
              </w:rPr>
              <w:t>2</w:t>
            </w:r>
          </w:p>
        </w:tc>
        <w:tc>
          <w:tcPr>
            <w:tcW w:w="887"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jc w:val="center"/>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行政检查</w:t>
            </w:r>
          </w:p>
        </w:tc>
        <w:tc>
          <w:tcPr>
            <w:tcW w:w="1200"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对城市的地下交通干线以及其他地下工程的建设应当兼顾人民防空需要的监督</w:t>
            </w:r>
          </w:p>
        </w:tc>
        <w:tc>
          <w:tcPr>
            <w:tcW w:w="87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lang w:val="en-US" w:eastAsia="zh-CN"/>
              </w:rPr>
              <w:t>魏县</w:t>
            </w:r>
            <w:r>
              <w:rPr>
                <w:rFonts w:hint="eastAsia" w:ascii="仿宋_GB2312" w:hAnsi="仿宋_GB2312" w:eastAsia="仿宋_GB2312" w:cs="仿宋_GB2312"/>
                <w:b w:val="0"/>
                <w:bCs w:val="0"/>
                <w:i w:val="0"/>
                <w:iCs w:val="0"/>
                <w:caps w:val="0"/>
                <w:color w:val="000000"/>
                <w:spacing w:val="0"/>
                <w:sz w:val="18"/>
                <w:szCs w:val="18"/>
              </w:rPr>
              <w:t>国防动员办公室</w:t>
            </w:r>
          </w:p>
        </w:tc>
        <w:tc>
          <w:tcPr>
            <w:tcW w:w="2560"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《河北省实施〈中华人民共和国人民防空法〉办法》（1998年12月26日河北省第九届人民代表大会常务委员会第六次会议通过，2022年5月27日第五次修正）第九条第二款</w:t>
            </w:r>
          </w:p>
        </w:tc>
        <w:tc>
          <w:tcPr>
            <w:tcW w:w="624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1.检查责任：对城市的地下交通干线以及其他地下工程的建设应当兼顾人民防空需要的项目组织监督检查。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2.处置责任：对监督检查发现的问题，责令限期整改，依法提出行政处罚建议。</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3.移送责任：及时予以公告，对构成违法犯罪的移交司法机关。</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4.事后管理责任：对监督检查发现的问题，整改完成后，对整改情况组织核查。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5.其他法律法规规章文件规定应履行的责任。</w:t>
            </w:r>
          </w:p>
        </w:tc>
        <w:tc>
          <w:tcPr>
            <w:tcW w:w="369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jc w:val="left"/>
              <w:textAlignment w:val="center"/>
              <w:rPr>
                <w:rFonts w:hint="eastAsia" w:ascii="仿宋_GB2312" w:hAnsi="仿宋_GB2312" w:eastAsia="仿宋_GB2312" w:cs="仿宋_GB2312"/>
                <w:b w:val="0"/>
                <w:bCs w:val="0"/>
                <w:i w:val="0"/>
                <w:iCs w:val="0"/>
                <w:color w:val="000000"/>
                <w:sz w:val="13"/>
                <w:szCs w:val="13"/>
              </w:rPr>
            </w:pPr>
            <w:r>
              <w:rPr>
                <w:rFonts w:hint="eastAsia" w:ascii="仿宋_GB2312" w:hAnsi="仿宋_GB2312" w:eastAsia="仿宋_GB2312" w:cs="仿宋_GB2312"/>
                <w:b w:val="0"/>
                <w:bCs w:val="0"/>
                <w:i w:val="0"/>
                <w:iCs w:val="0"/>
                <w:caps w:val="0"/>
                <w:color w:val="000000"/>
                <w:spacing w:val="0"/>
                <w:sz w:val="18"/>
                <w:szCs w:val="18"/>
              </w:rPr>
              <w:t>因不履行或不正确履行行政职责，有下列情形的，行政机关及相关工作人员应承担相应责任：</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1.对在检查中发现的问题，不责令限期整改、不依法实施处罚。</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2.不及时予以公告，对构成违法犯罪的不移交司法机关。</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4.对监督检查发现的问题，整改完成后，不对整改情况组织进行核查。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5.其他违反法律法规规章文件规定的行为。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0" w:hRule="atLeast"/>
        </w:trPr>
        <w:tc>
          <w:tcPr>
            <w:tcW w:w="688"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jc w:val="center"/>
              <w:textAlignment w:val="center"/>
              <w:rPr>
                <w:rFonts w:hint="eastAsia" w:ascii="仿宋_GB2312" w:hAnsi="仿宋_GB2312" w:eastAsia="仿宋_GB2312" w:cs="仿宋_GB2312"/>
                <w:b w:val="0"/>
                <w:bCs w:val="0"/>
                <w:i w:val="0"/>
                <w:iCs w:val="0"/>
                <w:color w:val="000000"/>
                <w:sz w:val="18"/>
                <w:szCs w:val="18"/>
                <w:lang w:val="en-US" w:eastAsia="zh-CN"/>
              </w:rPr>
            </w:pPr>
            <w:r>
              <w:rPr>
                <w:rFonts w:hint="eastAsia" w:ascii="仿宋_GB2312" w:hAnsi="仿宋_GB2312" w:eastAsia="仿宋_GB2312" w:cs="仿宋_GB2312"/>
                <w:b w:val="0"/>
                <w:bCs w:val="0"/>
                <w:i w:val="0"/>
                <w:iCs w:val="0"/>
                <w:color w:val="000000"/>
                <w:sz w:val="18"/>
                <w:szCs w:val="18"/>
                <w:lang w:val="en-US" w:eastAsia="zh-CN"/>
              </w:rPr>
              <w:t>3</w:t>
            </w:r>
          </w:p>
        </w:tc>
        <w:tc>
          <w:tcPr>
            <w:tcW w:w="887"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jc w:val="center"/>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行政检查</w:t>
            </w:r>
          </w:p>
        </w:tc>
        <w:tc>
          <w:tcPr>
            <w:tcW w:w="1200"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对城市和经济目标的人民防空建设的监督指导</w:t>
            </w:r>
          </w:p>
        </w:tc>
        <w:tc>
          <w:tcPr>
            <w:tcW w:w="87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lang w:val="en-US" w:eastAsia="zh-CN"/>
              </w:rPr>
              <w:t>魏县</w:t>
            </w:r>
            <w:r>
              <w:rPr>
                <w:rFonts w:hint="eastAsia" w:ascii="仿宋_GB2312" w:hAnsi="仿宋_GB2312" w:eastAsia="仿宋_GB2312" w:cs="仿宋_GB2312"/>
                <w:b w:val="0"/>
                <w:bCs w:val="0"/>
                <w:i w:val="0"/>
                <w:iCs w:val="0"/>
                <w:caps w:val="0"/>
                <w:color w:val="000000"/>
                <w:spacing w:val="0"/>
                <w:sz w:val="18"/>
                <w:szCs w:val="18"/>
              </w:rPr>
              <w:t>国防动员办公室</w:t>
            </w:r>
          </w:p>
        </w:tc>
        <w:tc>
          <w:tcPr>
            <w:tcW w:w="2560"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1.《中华人民共和国人民防空法》（1996年月29日第八届全国人民代表大会常务委员会第二十二次会议通过，2009年8月27日修正）第十七条</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2.《河北省实施&lt;中华人民共和国人民防空法&gt;》（1998年12月26日河北省第九届人民代表大会常务委员会第六次会议通过，2022年5月27日第五次修正）第十一条</w:t>
            </w:r>
          </w:p>
        </w:tc>
        <w:tc>
          <w:tcPr>
            <w:tcW w:w="624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1.检查责任：对城市和经济目标的人民防空建设工作组织监督检查。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2.处置责任：对监督检查发现的问题，责令限期整改,依法提出行政处罚建议。</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3.移送责任：及时予以公告，对构成违法犯罪的移交司法机关。</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4.事后管理责任：对监督检查发现的问题，整改完成后，对整改情况组织核查。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5.其他法律法规规章文件规定应履行的责任。</w:t>
            </w:r>
          </w:p>
        </w:tc>
        <w:tc>
          <w:tcPr>
            <w:tcW w:w="369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因不履行或不正确履行行政职责，有下列情形的，行政机关及相关工作人员应承担相应责任：</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1.对在检查中发现的问题，不责令限期整改、不依法实施处罚。</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2.不及时予以公告，对构成违法犯罪的不移交司法机关。</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3.对监督检查发现的问题，整改完成后，不对整改情况组织进行核查。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4.其他违反法律法规规章文件规定的行为。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28" w:hRule="atLeast"/>
        </w:trPr>
        <w:tc>
          <w:tcPr>
            <w:tcW w:w="688"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jc w:val="center"/>
              <w:textAlignment w:val="center"/>
              <w:rPr>
                <w:rFonts w:hint="eastAsia" w:ascii="仿宋_GB2312" w:hAnsi="仿宋_GB2312" w:eastAsia="仿宋_GB2312" w:cs="仿宋_GB2312"/>
                <w:b w:val="0"/>
                <w:bCs w:val="0"/>
                <w:i w:val="0"/>
                <w:iCs w:val="0"/>
                <w:color w:val="000000"/>
                <w:sz w:val="18"/>
                <w:szCs w:val="18"/>
                <w:lang w:val="en-US" w:eastAsia="zh-CN"/>
              </w:rPr>
            </w:pPr>
            <w:r>
              <w:rPr>
                <w:rFonts w:hint="eastAsia" w:ascii="仿宋_GB2312" w:hAnsi="仿宋_GB2312" w:eastAsia="仿宋_GB2312" w:cs="仿宋_GB2312"/>
                <w:b w:val="0"/>
                <w:bCs w:val="0"/>
                <w:i w:val="0"/>
                <w:iCs w:val="0"/>
                <w:color w:val="000000"/>
                <w:sz w:val="18"/>
                <w:szCs w:val="18"/>
                <w:lang w:val="en-US" w:eastAsia="zh-CN"/>
              </w:rPr>
              <w:t>4</w:t>
            </w:r>
          </w:p>
        </w:tc>
        <w:tc>
          <w:tcPr>
            <w:tcW w:w="887"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jc w:val="center"/>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行政检查</w:t>
            </w:r>
          </w:p>
        </w:tc>
        <w:tc>
          <w:tcPr>
            <w:tcW w:w="1200"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对人民防空指挥通信终端设备和警报通信终端设备维护工作的监督</w:t>
            </w:r>
          </w:p>
        </w:tc>
        <w:tc>
          <w:tcPr>
            <w:tcW w:w="87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lang w:val="en-US" w:eastAsia="zh-CN"/>
              </w:rPr>
              <w:t>魏县</w:t>
            </w:r>
            <w:r>
              <w:rPr>
                <w:rFonts w:hint="eastAsia" w:ascii="仿宋_GB2312" w:hAnsi="仿宋_GB2312" w:eastAsia="仿宋_GB2312" w:cs="仿宋_GB2312"/>
                <w:b w:val="0"/>
                <w:bCs w:val="0"/>
                <w:i w:val="0"/>
                <w:iCs w:val="0"/>
                <w:caps w:val="0"/>
                <w:color w:val="000000"/>
                <w:spacing w:val="0"/>
                <w:sz w:val="18"/>
                <w:szCs w:val="18"/>
              </w:rPr>
              <w:t>国防动员办公室</w:t>
            </w:r>
          </w:p>
        </w:tc>
        <w:tc>
          <w:tcPr>
            <w:tcW w:w="2560"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《河北省人民防空通信管理规定》（河北省人民政府令〔2010〕第10号）第二十一条第一款</w:t>
            </w:r>
          </w:p>
        </w:tc>
        <w:tc>
          <w:tcPr>
            <w:tcW w:w="624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1.检查责任：对人民防空指挥通信终端设备和警报通信终端设备维护工作组织监督检查。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2.处置责任：对监督检查发现的问题，责令限期整改。</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3.移送责任：及时予以公告，对构成违法犯罪的移交司法机关。</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4.事后管理责任：对监督检查发现的问题，整改完成后，对整改情况组织核查。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5.其他法律法规规章文件规定应履行的责任。</w:t>
            </w:r>
          </w:p>
        </w:tc>
        <w:tc>
          <w:tcPr>
            <w:tcW w:w="369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因不履行或不正确履行行政职责，有下列情形的，行政机关及相关工作人员应承担相应责任：</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1.对在检查中发现的问题，不责令限期整改、不依法实施处罚。</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2.不及时予以公告，对构成违法犯罪的不移交司法机关。</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3.对监督检查发现的问题，整改完成后，不对整改情况组织进行核查。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4.其他违反法律法规规章文件规定的行为。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264" w:hRule="atLeast"/>
        </w:trPr>
        <w:tc>
          <w:tcPr>
            <w:tcW w:w="688"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jc w:val="center"/>
              <w:textAlignment w:val="center"/>
              <w:rPr>
                <w:rFonts w:hint="default" w:ascii="仿宋_GB2312" w:hAnsi="仿宋_GB2312" w:eastAsia="仿宋_GB2312" w:cs="仿宋_GB2312"/>
                <w:b w:val="0"/>
                <w:bCs w:val="0"/>
                <w:i w:val="0"/>
                <w:iCs w:val="0"/>
                <w:color w:val="000000"/>
                <w:sz w:val="18"/>
                <w:szCs w:val="18"/>
                <w:lang w:val="en-US" w:eastAsia="zh-CN"/>
              </w:rPr>
            </w:pPr>
            <w:r>
              <w:rPr>
                <w:rFonts w:hint="eastAsia" w:ascii="仿宋_GB2312" w:hAnsi="仿宋_GB2312" w:eastAsia="仿宋_GB2312" w:cs="仿宋_GB2312"/>
                <w:b w:val="0"/>
                <w:bCs w:val="0"/>
                <w:i w:val="0"/>
                <w:iCs w:val="0"/>
                <w:color w:val="000000"/>
                <w:sz w:val="18"/>
                <w:szCs w:val="18"/>
                <w:lang w:val="en-US" w:eastAsia="zh-CN"/>
              </w:rPr>
              <w:t>5</w:t>
            </w:r>
          </w:p>
        </w:tc>
        <w:tc>
          <w:tcPr>
            <w:tcW w:w="887"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jc w:val="center"/>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行政检查</w:t>
            </w:r>
          </w:p>
        </w:tc>
        <w:tc>
          <w:tcPr>
            <w:tcW w:w="1200"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对人民防空工程质量的监督</w:t>
            </w:r>
          </w:p>
        </w:tc>
        <w:tc>
          <w:tcPr>
            <w:tcW w:w="87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lang w:val="en-US" w:eastAsia="zh-CN"/>
              </w:rPr>
              <w:t>魏县</w:t>
            </w:r>
            <w:r>
              <w:rPr>
                <w:rFonts w:hint="eastAsia" w:ascii="仿宋_GB2312" w:hAnsi="仿宋_GB2312" w:eastAsia="仿宋_GB2312" w:cs="仿宋_GB2312"/>
                <w:b w:val="0"/>
                <w:bCs w:val="0"/>
                <w:i w:val="0"/>
                <w:iCs w:val="0"/>
                <w:caps w:val="0"/>
                <w:color w:val="000000"/>
                <w:spacing w:val="0"/>
                <w:sz w:val="18"/>
                <w:szCs w:val="18"/>
              </w:rPr>
              <w:t>国防动员办公室</w:t>
            </w:r>
          </w:p>
        </w:tc>
        <w:tc>
          <w:tcPr>
            <w:tcW w:w="2560"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1.《建设工程质量管理条例》（国务院令第279号，2019年4月23日第二次修正）第四十三条、第四十六条</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2.《河北省建筑条例》（2004年5月28日河北省第十届人民代表大会常务委员会第九次会议通过，2015年7月24日修正）第四十一条</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3.《河北省结合民用建筑修建防空地下室管理规定》（河北省人民政府令〔2011〕第22号）第十四条</w:t>
            </w:r>
          </w:p>
        </w:tc>
        <w:tc>
          <w:tcPr>
            <w:tcW w:w="624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1.检查责任：人防工程质量责任主体（包括人防工程建设、勘察、设计、监理、施工、防护设备生产安装等企业）和质量检测机构履行质量责任的行为、人防工程实体质量及人防专用设备生产安装质量进行监督检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2.处置责任：对监督检查中发现的严重质量问题，责令限期整改,依法提出行政处罚建议。</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3.移送责任：将人防工程质量监督检查结果进行公示，对构成违法犯罪的移交司法机关。</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4.事后管理责任：收到建设单位提交的《质量问题整改报告》后2个工作日内，对整改情况进行复查，出具复查记录。</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5.其他法律法规规章文件规定应履行的责任。</w:t>
            </w:r>
          </w:p>
        </w:tc>
        <w:tc>
          <w:tcPr>
            <w:tcW w:w="369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因不履行或不正确履行行政职责，有下列情形的，行政机关及相关工作人员应承担相应责任：</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1.对在检查中发现的问题，不责令限期整改、不依法实施处罚。</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2.不及时予以公告，对构成违法犯罪的不移交司法机关。</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3.对监督检查发现的问题，整改完成后，不对整改情况组织进行核查。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4.其他违反法律法规规章文件规定的行为。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08" w:hRule="atLeast"/>
        </w:trPr>
        <w:tc>
          <w:tcPr>
            <w:tcW w:w="688"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jc w:val="center"/>
              <w:textAlignment w:val="center"/>
              <w:rPr>
                <w:rFonts w:hint="default" w:ascii="仿宋_GB2312" w:hAnsi="仿宋_GB2312" w:eastAsia="仿宋_GB2312" w:cs="仿宋_GB2312"/>
                <w:b w:val="0"/>
                <w:bCs w:val="0"/>
                <w:i w:val="0"/>
                <w:iCs w:val="0"/>
                <w:color w:val="000000"/>
                <w:sz w:val="18"/>
                <w:szCs w:val="18"/>
                <w:lang w:val="en-US" w:eastAsia="zh-CN"/>
              </w:rPr>
            </w:pPr>
            <w:r>
              <w:rPr>
                <w:rFonts w:hint="eastAsia" w:ascii="仿宋_GB2312" w:hAnsi="仿宋_GB2312" w:eastAsia="仿宋_GB2312" w:cs="仿宋_GB2312"/>
                <w:b w:val="0"/>
                <w:bCs w:val="0"/>
                <w:i w:val="0"/>
                <w:iCs w:val="0"/>
                <w:color w:val="000000"/>
                <w:sz w:val="18"/>
                <w:szCs w:val="18"/>
                <w:lang w:val="en-US" w:eastAsia="zh-CN"/>
              </w:rPr>
              <w:t>6</w:t>
            </w:r>
          </w:p>
        </w:tc>
        <w:tc>
          <w:tcPr>
            <w:tcW w:w="887"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jc w:val="center"/>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行政检查</w:t>
            </w:r>
          </w:p>
        </w:tc>
        <w:tc>
          <w:tcPr>
            <w:tcW w:w="1200"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对人防设备生产安装的监督</w:t>
            </w:r>
          </w:p>
        </w:tc>
        <w:tc>
          <w:tcPr>
            <w:tcW w:w="87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lang w:val="en-US" w:eastAsia="zh-CN"/>
              </w:rPr>
              <w:t>魏县</w:t>
            </w:r>
            <w:r>
              <w:rPr>
                <w:rFonts w:hint="eastAsia" w:ascii="仿宋_GB2312" w:hAnsi="仿宋_GB2312" w:eastAsia="仿宋_GB2312" w:cs="仿宋_GB2312"/>
                <w:b w:val="0"/>
                <w:bCs w:val="0"/>
                <w:i w:val="0"/>
                <w:iCs w:val="0"/>
                <w:caps w:val="0"/>
                <w:color w:val="000000"/>
                <w:spacing w:val="0"/>
                <w:sz w:val="18"/>
                <w:szCs w:val="18"/>
              </w:rPr>
              <w:t>国防动员办公室</w:t>
            </w:r>
          </w:p>
        </w:tc>
        <w:tc>
          <w:tcPr>
            <w:tcW w:w="2560"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jc w:val="both"/>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《人民防空专用设备生产安装管理暂行办法》（国人防〔2014〕438号）第十五条</w:t>
            </w:r>
          </w:p>
        </w:tc>
        <w:tc>
          <w:tcPr>
            <w:tcW w:w="624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1.检查责任：人防设备生产安装质量组织监督检查。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2.处置责任：对监督检查发现的问题，责令限期整改。</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3.移送责任：及时通过中国人民防空网公布，对构成违法犯罪的移交司法机关。</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4.事后管理责任：对监督检查发现的问题，整改完成后，对整改情况组织核查。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5.其他法律法规规章文件规定应履行的责任。</w:t>
            </w:r>
          </w:p>
        </w:tc>
        <w:tc>
          <w:tcPr>
            <w:tcW w:w="369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right="12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因不履行或不正确履行行政职责，有下列情形的，行政机关及相关工作人员应承担相应责任：</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1.明知产品质量不合格，仍然出具产品质量监督合格报告的。</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2.帮助企业弄虚作假、不按照国家质量标准进行监督的。</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3.监督检查中行使职权超出授权范围、徇私舞弊的。</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4.因玩忽职守或者疏忽大意造成责任事故的。</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5.其他违反法律法规规章文件规定的行为。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82" w:hRule="atLeast"/>
        </w:trPr>
        <w:tc>
          <w:tcPr>
            <w:tcW w:w="688"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leftChars="0" w:right="120" w:rightChars="0"/>
              <w:jc w:val="center"/>
              <w:textAlignment w:val="center"/>
              <w:rPr>
                <w:rFonts w:hint="eastAsia" w:ascii="仿宋_GB2312" w:hAnsi="仿宋_GB2312" w:eastAsia="仿宋_GB2312" w:cs="仿宋_GB2312"/>
                <w:b w:val="0"/>
                <w:bCs w:val="0"/>
                <w:i w:val="0"/>
                <w:iCs w:val="0"/>
                <w:color w:val="000000"/>
                <w:sz w:val="18"/>
                <w:szCs w:val="18"/>
                <w:lang w:val="en-US" w:eastAsia="zh-CN"/>
              </w:rPr>
            </w:pPr>
            <w:r>
              <w:rPr>
                <w:rFonts w:hint="eastAsia" w:ascii="仿宋_GB2312" w:hAnsi="仿宋_GB2312" w:eastAsia="仿宋_GB2312" w:cs="仿宋_GB2312"/>
                <w:b w:val="0"/>
                <w:bCs w:val="0"/>
                <w:i w:val="0"/>
                <w:iCs w:val="0"/>
                <w:color w:val="000000"/>
                <w:sz w:val="18"/>
                <w:szCs w:val="18"/>
                <w:lang w:val="en-US" w:eastAsia="zh-CN"/>
              </w:rPr>
              <w:t>7</w:t>
            </w:r>
          </w:p>
        </w:tc>
        <w:tc>
          <w:tcPr>
            <w:tcW w:w="887"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leftChars="0" w:right="120" w:rightChars="0"/>
              <w:jc w:val="center"/>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行政检查</w:t>
            </w:r>
          </w:p>
        </w:tc>
        <w:tc>
          <w:tcPr>
            <w:tcW w:w="1200"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leftChars="0" w:right="120" w:rightChars="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对人防工程施工图审查机构工作质量的监督</w:t>
            </w:r>
          </w:p>
        </w:tc>
        <w:tc>
          <w:tcPr>
            <w:tcW w:w="87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leftChars="0" w:right="120" w:rightChars="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lang w:val="en-US" w:eastAsia="zh-CN"/>
              </w:rPr>
              <w:t>魏县</w:t>
            </w:r>
            <w:r>
              <w:rPr>
                <w:rFonts w:hint="eastAsia" w:ascii="仿宋_GB2312" w:hAnsi="仿宋_GB2312" w:eastAsia="仿宋_GB2312" w:cs="仿宋_GB2312"/>
                <w:b w:val="0"/>
                <w:bCs w:val="0"/>
                <w:i w:val="0"/>
                <w:iCs w:val="0"/>
                <w:caps w:val="0"/>
                <w:color w:val="000000"/>
                <w:spacing w:val="0"/>
                <w:sz w:val="18"/>
                <w:szCs w:val="18"/>
              </w:rPr>
              <w:t>国防动员办公室</w:t>
            </w:r>
          </w:p>
        </w:tc>
        <w:tc>
          <w:tcPr>
            <w:tcW w:w="2560"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leftChars="0" w:right="120" w:rightChars="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1.《建设工程质量管理条例》（国务院令第279号，2019年4月23日第二次修正）第四条、第四十七条</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2.《河北省人防工程设计单位和施工图审查机构监督检查管理办法》（冀人防字〔2016〕36号）第六条第三款</w:t>
            </w:r>
          </w:p>
        </w:tc>
        <w:tc>
          <w:tcPr>
            <w:tcW w:w="624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leftChars="0" w:right="120" w:rightChars="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1.检查责任：对全</w:t>
            </w:r>
            <w:r>
              <w:rPr>
                <w:rFonts w:hint="eastAsia" w:ascii="仿宋_GB2312" w:hAnsi="仿宋_GB2312" w:eastAsia="仿宋_GB2312" w:cs="仿宋_GB2312"/>
                <w:b w:val="0"/>
                <w:bCs w:val="0"/>
                <w:i w:val="0"/>
                <w:iCs w:val="0"/>
                <w:caps w:val="0"/>
                <w:color w:val="000000"/>
                <w:spacing w:val="0"/>
                <w:sz w:val="18"/>
                <w:szCs w:val="18"/>
                <w:lang w:val="en-US" w:eastAsia="zh-CN"/>
              </w:rPr>
              <w:t>县</w:t>
            </w:r>
            <w:r>
              <w:rPr>
                <w:rFonts w:hint="eastAsia" w:ascii="仿宋_GB2312" w:hAnsi="仿宋_GB2312" w:eastAsia="仿宋_GB2312" w:cs="仿宋_GB2312"/>
                <w:b w:val="0"/>
                <w:bCs w:val="0"/>
                <w:i w:val="0"/>
                <w:iCs w:val="0"/>
                <w:caps w:val="0"/>
                <w:color w:val="000000"/>
                <w:spacing w:val="0"/>
                <w:sz w:val="18"/>
                <w:szCs w:val="18"/>
              </w:rPr>
              <w:t>行政区域内从事施工图设计文件审查活动的单位实施监督检查。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2.处置责任：对监督检查发现的问题，责令限期整改,依法提出行政处罚建议。</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3.移送责任：监督检查的处理结果在1个月内向社会公布，对构成违法犯罪的移交司法机关。</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4.事后管理责任：对监督检查发现的问题，整改完成后，对整改情况组织核查。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5.其他法律法规规章文件规定应履行的责任。</w:t>
            </w:r>
          </w:p>
        </w:tc>
        <w:tc>
          <w:tcPr>
            <w:tcW w:w="3695" w:type="dxa"/>
            <w:tcBorders>
              <w:tl2br w:val="nil"/>
              <w:tr2bl w:val="nil"/>
            </w:tcBorders>
            <w:shd w:val="clear" w:color="auto" w:fill="FFFFFF"/>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120" w:leftChars="0" w:right="120" w:rightChars="0"/>
              <w:textAlignment w:val="center"/>
              <w:rPr>
                <w:rFonts w:hint="eastAsia" w:ascii="仿宋_GB2312" w:hAnsi="仿宋_GB2312" w:eastAsia="仿宋_GB2312" w:cs="仿宋_GB2312"/>
                <w:b w:val="0"/>
                <w:bCs w:val="0"/>
                <w:i w:val="0"/>
                <w:iCs w:val="0"/>
                <w:color w:val="000000"/>
                <w:sz w:val="18"/>
                <w:szCs w:val="18"/>
              </w:rPr>
            </w:pPr>
            <w:r>
              <w:rPr>
                <w:rFonts w:hint="eastAsia" w:ascii="仿宋_GB2312" w:hAnsi="仿宋_GB2312" w:eastAsia="仿宋_GB2312" w:cs="仿宋_GB2312"/>
                <w:b w:val="0"/>
                <w:bCs w:val="0"/>
                <w:i w:val="0"/>
                <w:iCs w:val="0"/>
                <w:caps w:val="0"/>
                <w:color w:val="000000"/>
                <w:spacing w:val="0"/>
                <w:sz w:val="18"/>
                <w:szCs w:val="18"/>
              </w:rPr>
              <w:t>因不履行或不正确履行行政职责，有下列情形的，行政机关及相关工作人员应承担相应责任：</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1.对在检查中发现的问题，不责令限期整改、不依法实施处罚。</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2.不及时予以公告，对构成违法犯罪的不移交司法机关。</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3.对监督检查发现的问题，整改完成后，不对整改情况组织进行核查。</w:t>
            </w:r>
            <w:r>
              <w:rPr>
                <w:rFonts w:hint="eastAsia" w:ascii="仿宋_GB2312" w:hAnsi="仿宋_GB2312" w:eastAsia="仿宋_GB2312" w:cs="仿宋_GB2312"/>
                <w:b w:val="0"/>
                <w:bCs w:val="0"/>
                <w:i w:val="0"/>
                <w:iCs w:val="0"/>
                <w:caps w:val="0"/>
                <w:color w:val="000000"/>
                <w:spacing w:val="0"/>
                <w:sz w:val="18"/>
                <w:szCs w:val="18"/>
              </w:rPr>
              <w:br w:type="textWrapping"/>
            </w:r>
            <w:r>
              <w:rPr>
                <w:rFonts w:hint="eastAsia" w:ascii="仿宋_GB2312" w:hAnsi="仿宋_GB2312" w:eastAsia="仿宋_GB2312" w:cs="仿宋_GB2312"/>
                <w:b w:val="0"/>
                <w:bCs w:val="0"/>
                <w:i w:val="0"/>
                <w:iCs w:val="0"/>
                <w:caps w:val="0"/>
                <w:color w:val="000000"/>
                <w:spacing w:val="0"/>
                <w:sz w:val="18"/>
                <w:szCs w:val="18"/>
              </w:rPr>
              <w:t>4.其他违反法律法规规章文件规定的行为。</w:t>
            </w:r>
          </w:p>
        </w:tc>
      </w:tr>
    </w:tbl>
    <w:p>
      <w:pPr>
        <w:rPr>
          <w:rFonts w:hint="eastAsia" w:ascii="仿宋_GB2312" w:hAnsi="仿宋_GB2312" w:eastAsia="仿宋_GB2312" w:cs="仿宋_GB2312"/>
          <w:sz w:val="18"/>
          <w:szCs w:val="18"/>
          <w:lang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YWZjYjZmZTczYzY2N2Y2NDE5ZjhmMjJkNDRiNjIifQ=="/>
  </w:docVars>
  <w:rsids>
    <w:rsidRoot w:val="65BC4274"/>
    <w:rsid w:val="131710F7"/>
    <w:rsid w:val="35CD1E6C"/>
    <w:rsid w:val="5D031F82"/>
    <w:rsid w:val="65BC4274"/>
    <w:rsid w:val="6A49175E"/>
    <w:rsid w:val="7FDF031E"/>
    <w:rsid w:val="DFB8947E"/>
    <w:rsid w:val="DFBB7DBA"/>
    <w:rsid w:val="F7E5E808"/>
    <w:rsid w:val="F7FD0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2023-10-21T02:57:00Z</dcterms:created>
  <dc:creator>程帅超</dc:creator>
  <cp:lastModifiedBy>张康</cp:lastModifiedBy>
  <cp:lastPrinted>2024-03-29T01:07:58Z</cp:lastPrinted>
  <dcterms:modified xsi:type="dcterms:W3CDTF">2024-03-29T01:08:03Z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FBB41D94F9BB434288B5846C441BF67D</vt:lpwstr>
  </property>
</Properties>
</file>