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1593.26</w:t>
            </w:r>
          </w:p>
        </w:tc>
        <w:tc>
          <w:tcPr>
            <w:tcW w:w="4535" w:type="dxa"/>
            <w:vAlign w:val="center"/>
          </w:tcPr>
          <w:p>
            <w:pPr>
              <w:pStyle w:val="14"/>
            </w:pPr>
            <w:r>
              <w:rPr>
                <w:rFonts w:hint="eastAsia"/>
              </w:rPr>
              <w:t>一、一般公共服务支出</w:t>
            </w:r>
          </w:p>
        </w:tc>
        <w:tc>
          <w:tcPr>
            <w:tcW w:w="2126" w:type="dxa"/>
            <w:vAlign w:val="center"/>
          </w:tcPr>
          <w:p>
            <w:pPr>
              <w:pStyle w:val="13"/>
            </w:pPr>
            <w:r>
              <w:t>1557.78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1593.26</w:t>
            </w:r>
          </w:p>
        </w:tc>
        <w:tc>
          <w:tcPr>
            <w:tcW w:w="4535" w:type="dxa"/>
            <w:vAlign w:val="center"/>
          </w:tcPr>
          <w:p>
            <w:pPr>
              <w:pStyle w:val="16"/>
            </w:pPr>
            <w:r>
              <w:rPr>
                <w:rFonts w:hint="eastAsia"/>
              </w:rPr>
              <w:t>本年支出合计</w:t>
            </w:r>
          </w:p>
        </w:tc>
        <w:tc>
          <w:tcPr>
            <w:tcW w:w="2126" w:type="dxa"/>
            <w:vAlign w:val="center"/>
          </w:tcPr>
          <w:p>
            <w:pPr>
              <w:pStyle w:val="17"/>
            </w:pPr>
            <w:r>
              <w:t>1593.26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1593.26</w:t>
            </w:r>
          </w:p>
        </w:tc>
        <w:tc>
          <w:tcPr>
            <w:tcW w:w="4535" w:type="dxa"/>
            <w:vAlign w:val="center"/>
          </w:tcPr>
          <w:p>
            <w:pPr>
              <w:pStyle w:val="16"/>
            </w:pPr>
            <w:r>
              <w:rPr>
                <w:rFonts w:hint="eastAsia"/>
              </w:rPr>
              <w:t>支出总计</w:t>
            </w:r>
          </w:p>
        </w:tc>
        <w:tc>
          <w:tcPr>
            <w:tcW w:w="2126" w:type="dxa"/>
            <w:vAlign w:val="center"/>
          </w:tcPr>
          <w:p>
            <w:pPr>
              <w:pStyle w:val="17"/>
            </w:pPr>
            <w:r>
              <w:t>1593.26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1593.26</w:t>
            </w:r>
          </w:p>
        </w:tc>
        <w:tc>
          <w:tcPr>
            <w:tcW w:w="1134" w:type="dxa"/>
            <w:vAlign w:val="center"/>
          </w:tcPr>
          <w:p>
            <w:pPr>
              <w:pStyle w:val="17"/>
            </w:pPr>
            <w:r>
              <w:t>1593.26</w:t>
            </w:r>
          </w:p>
        </w:tc>
        <w:tc>
          <w:tcPr>
            <w:tcW w:w="1134" w:type="dxa"/>
            <w:vAlign w:val="center"/>
          </w:tcPr>
          <w:p>
            <w:pPr>
              <w:pStyle w:val="17"/>
            </w:pPr>
            <w:r>
              <w:t>1593.26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rPr>
                <w:rFonts w:hint="eastAsia"/>
              </w:rPr>
              <w:t>党委办公厅（室）及相关机构事务</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rPr>
                <w:rFonts w:hint="eastAsia"/>
              </w:rPr>
              <w:t>行政运行</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rPr>
                <w:rFonts w:hint="eastAsia"/>
              </w:rPr>
              <w:t>其他行政事业单位医疗支出</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1593.26</w:t>
            </w:r>
          </w:p>
        </w:tc>
        <w:tc>
          <w:tcPr>
            <w:tcW w:w="1361" w:type="dxa"/>
            <w:vAlign w:val="center"/>
          </w:tcPr>
          <w:p>
            <w:pPr>
              <w:pStyle w:val="17"/>
            </w:pPr>
            <w:r>
              <w:t>481.26</w:t>
            </w:r>
          </w:p>
        </w:tc>
        <w:tc>
          <w:tcPr>
            <w:tcW w:w="1361" w:type="dxa"/>
            <w:vAlign w:val="center"/>
          </w:tcPr>
          <w:p>
            <w:pPr>
              <w:pStyle w:val="17"/>
            </w:pPr>
            <w:r>
              <w:t>1112.00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1557.78</w:t>
            </w:r>
          </w:p>
        </w:tc>
        <w:tc>
          <w:tcPr>
            <w:tcW w:w="1361" w:type="dxa"/>
            <w:vAlign w:val="center"/>
          </w:tcPr>
          <w:p>
            <w:pPr>
              <w:pStyle w:val="13"/>
            </w:pPr>
            <w:r>
              <w:t>445.78</w:t>
            </w:r>
          </w:p>
        </w:tc>
        <w:tc>
          <w:tcPr>
            <w:tcW w:w="1361" w:type="dxa"/>
            <w:vAlign w:val="center"/>
          </w:tcPr>
          <w:p>
            <w:pPr>
              <w:pStyle w:val="13"/>
            </w:pPr>
            <w:r>
              <w:t>1112.00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rPr>
                <w:rFonts w:hint="eastAsia"/>
              </w:rPr>
              <w:t>党委办公厅（室）及相关机构事务</w:t>
            </w:r>
          </w:p>
        </w:tc>
        <w:tc>
          <w:tcPr>
            <w:tcW w:w="1361" w:type="dxa"/>
            <w:vAlign w:val="center"/>
          </w:tcPr>
          <w:p>
            <w:pPr>
              <w:pStyle w:val="13"/>
            </w:pPr>
            <w:r>
              <w:t>1557.78</w:t>
            </w:r>
          </w:p>
        </w:tc>
        <w:tc>
          <w:tcPr>
            <w:tcW w:w="1361" w:type="dxa"/>
            <w:vAlign w:val="center"/>
          </w:tcPr>
          <w:p>
            <w:pPr>
              <w:pStyle w:val="13"/>
            </w:pPr>
            <w:r>
              <w:t>445.78</w:t>
            </w:r>
          </w:p>
        </w:tc>
        <w:tc>
          <w:tcPr>
            <w:tcW w:w="1361" w:type="dxa"/>
            <w:vAlign w:val="center"/>
          </w:tcPr>
          <w:p>
            <w:pPr>
              <w:pStyle w:val="13"/>
            </w:pPr>
            <w:r>
              <w:t>1112.00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rPr>
                <w:rFonts w:hint="eastAsia"/>
              </w:rPr>
              <w:t>行政运行</w:t>
            </w:r>
          </w:p>
        </w:tc>
        <w:tc>
          <w:tcPr>
            <w:tcW w:w="1361" w:type="dxa"/>
            <w:vAlign w:val="center"/>
          </w:tcPr>
          <w:p>
            <w:pPr>
              <w:pStyle w:val="13"/>
            </w:pPr>
            <w:r>
              <w:t>1557.78</w:t>
            </w:r>
          </w:p>
        </w:tc>
        <w:tc>
          <w:tcPr>
            <w:tcW w:w="1361" w:type="dxa"/>
            <w:vAlign w:val="center"/>
          </w:tcPr>
          <w:p>
            <w:pPr>
              <w:pStyle w:val="13"/>
            </w:pPr>
            <w:r>
              <w:t>445.78</w:t>
            </w:r>
          </w:p>
        </w:tc>
        <w:tc>
          <w:tcPr>
            <w:tcW w:w="1361" w:type="dxa"/>
            <w:vAlign w:val="center"/>
          </w:tcPr>
          <w:p>
            <w:pPr>
              <w:pStyle w:val="13"/>
            </w:pPr>
            <w:r>
              <w:t>1112.00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15.28</w:t>
            </w:r>
          </w:p>
        </w:tc>
        <w:tc>
          <w:tcPr>
            <w:tcW w:w="1361" w:type="dxa"/>
            <w:vAlign w:val="center"/>
          </w:tcPr>
          <w:p>
            <w:pPr>
              <w:pStyle w:val="13"/>
            </w:pPr>
            <w:r>
              <w:t>15.28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15.28</w:t>
            </w:r>
          </w:p>
        </w:tc>
        <w:tc>
          <w:tcPr>
            <w:tcW w:w="1361" w:type="dxa"/>
            <w:vAlign w:val="center"/>
          </w:tcPr>
          <w:p>
            <w:pPr>
              <w:pStyle w:val="13"/>
            </w:pPr>
            <w:r>
              <w:t>15.28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15.28</w:t>
            </w:r>
          </w:p>
        </w:tc>
        <w:tc>
          <w:tcPr>
            <w:tcW w:w="1361" w:type="dxa"/>
            <w:vAlign w:val="center"/>
          </w:tcPr>
          <w:p>
            <w:pPr>
              <w:pStyle w:val="13"/>
            </w:pPr>
            <w:r>
              <w:t>15.28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20.20</w:t>
            </w:r>
          </w:p>
        </w:tc>
        <w:tc>
          <w:tcPr>
            <w:tcW w:w="1361" w:type="dxa"/>
            <w:vAlign w:val="center"/>
          </w:tcPr>
          <w:p>
            <w:pPr>
              <w:pStyle w:val="13"/>
            </w:pPr>
            <w: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20.20</w:t>
            </w:r>
          </w:p>
        </w:tc>
        <w:tc>
          <w:tcPr>
            <w:tcW w:w="1361" w:type="dxa"/>
            <w:vAlign w:val="center"/>
          </w:tcPr>
          <w:p>
            <w:pPr>
              <w:pStyle w:val="13"/>
            </w:pPr>
            <w: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rPr>
                <w:rFonts w:hint="eastAsia"/>
              </w:rPr>
              <w:t>其他行政事业单位医疗支出</w:t>
            </w:r>
          </w:p>
        </w:tc>
        <w:tc>
          <w:tcPr>
            <w:tcW w:w="1361" w:type="dxa"/>
            <w:vAlign w:val="center"/>
          </w:tcPr>
          <w:p>
            <w:pPr>
              <w:pStyle w:val="13"/>
            </w:pPr>
            <w:r>
              <w:t>20.20</w:t>
            </w:r>
          </w:p>
        </w:tc>
        <w:tc>
          <w:tcPr>
            <w:tcW w:w="1361" w:type="dxa"/>
            <w:vAlign w:val="center"/>
          </w:tcPr>
          <w:p>
            <w:pPr>
              <w:pStyle w:val="13"/>
            </w:pPr>
            <w: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1593.26</w:t>
            </w:r>
          </w:p>
        </w:tc>
        <w:tc>
          <w:tcPr>
            <w:tcW w:w="3402" w:type="dxa"/>
            <w:vAlign w:val="center"/>
          </w:tcPr>
          <w:p>
            <w:pPr>
              <w:pStyle w:val="14"/>
            </w:pPr>
            <w:r>
              <w:rPr>
                <w:rFonts w:hint="eastAsia"/>
              </w:rPr>
              <w:t>一、一般公共服务支出</w:t>
            </w:r>
          </w:p>
        </w:tc>
        <w:tc>
          <w:tcPr>
            <w:tcW w:w="1474" w:type="dxa"/>
            <w:vAlign w:val="center"/>
          </w:tcPr>
          <w:p>
            <w:pPr>
              <w:pStyle w:val="13"/>
            </w:pPr>
            <w:r>
              <w:t>1557.78</w:t>
            </w:r>
          </w:p>
        </w:tc>
        <w:tc>
          <w:tcPr>
            <w:tcW w:w="1474" w:type="dxa"/>
            <w:vAlign w:val="center"/>
          </w:tcPr>
          <w:p>
            <w:pPr>
              <w:pStyle w:val="13"/>
            </w:pPr>
            <w:r>
              <w:t>1557.78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15.28</w:t>
            </w:r>
          </w:p>
        </w:tc>
        <w:tc>
          <w:tcPr>
            <w:tcW w:w="1474" w:type="dxa"/>
            <w:vAlign w:val="center"/>
          </w:tcPr>
          <w:p>
            <w:pPr>
              <w:pStyle w:val="13"/>
            </w:pPr>
            <w:r>
              <w:t>15.28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20.20</w:t>
            </w:r>
          </w:p>
        </w:tc>
        <w:tc>
          <w:tcPr>
            <w:tcW w:w="1474" w:type="dxa"/>
            <w:vAlign w:val="center"/>
          </w:tcPr>
          <w:p>
            <w:pPr>
              <w:pStyle w:val="13"/>
            </w:pPr>
            <w:r>
              <w:t>20.20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1593.26</w:t>
            </w:r>
          </w:p>
        </w:tc>
        <w:tc>
          <w:tcPr>
            <w:tcW w:w="3402" w:type="dxa"/>
            <w:vAlign w:val="center"/>
          </w:tcPr>
          <w:p>
            <w:pPr>
              <w:pStyle w:val="16"/>
            </w:pPr>
            <w:r>
              <w:rPr>
                <w:rFonts w:hint="eastAsia"/>
              </w:rPr>
              <w:t>本年支出合计</w:t>
            </w:r>
          </w:p>
        </w:tc>
        <w:tc>
          <w:tcPr>
            <w:tcW w:w="1474" w:type="dxa"/>
            <w:vAlign w:val="center"/>
          </w:tcPr>
          <w:p>
            <w:pPr>
              <w:pStyle w:val="17"/>
            </w:pPr>
            <w:r>
              <w:t>1593.26</w:t>
            </w:r>
          </w:p>
        </w:tc>
        <w:tc>
          <w:tcPr>
            <w:tcW w:w="1474" w:type="dxa"/>
            <w:vAlign w:val="center"/>
          </w:tcPr>
          <w:p>
            <w:pPr>
              <w:pStyle w:val="17"/>
            </w:pPr>
            <w:r>
              <w:t>1593.26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1593.26</w:t>
            </w:r>
          </w:p>
        </w:tc>
        <w:tc>
          <w:tcPr>
            <w:tcW w:w="3402" w:type="dxa"/>
            <w:vAlign w:val="center"/>
          </w:tcPr>
          <w:p>
            <w:pPr>
              <w:pStyle w:val="16"/>
            </w:pPr>
            <w:r>
              <w:rPr>
                <w:rFonts w:hint="eastAsia"/>
              </w:rPr>
              <w:t>支出总计</w:t>
            </w:r>
          </w:p>
        </w:tc>
        <w:tc>
          <w:tcPr>
            <w:tcW w:w="1474" w:type="dxa"/>
            <w:vAlign w:val="center"/>
          </w:tcPr>
          <w:p>
            <w:pPr>
              <w:pStyle w:val="17"/>
            </w:pPr>
            <w:r>
              <w:t>1593.26</w:t>
            </w:r>
          </w:p>
        </w:tc>
        <w:tc>
          <w:tcPr>
            <w:tcW w:w="1474" w:type="dxa"/>
            <w:vAlign w:val="center"/>
          </w:tcPr>
          <w:p>
            <w:pPr>
              <w:pStyle w:val="17"/>
            </w:pPr>
            <w:r>
              <w:t>1593.26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1593.26</w:t>
            </w:r>
          </w:p>
        </w:tc>
        <w:tc>
          <w:tcPr>
            <w:tcW w:w="2551" w:type="dxa"/>
            <w:vAlign w:val="center"/>
          </w:tcPr>
          <w:p>
            <w:pPr>
              <w:pStyle w:val="17"/>
            </w:pPr>
            <w:r>
              <w:t>481.26</w:t>
            </w:r>
          </w:p>
        </w:tc>
        <w:tc>
          <w:tcPr>
            <w:tcW w:w="2551" w:type="dxa"/>
            <w:vAlign w:val="center"/>
          </w:tcPr>
          <w:p>
            <w:pPr>
              <w:pStyle w:val="17"/>
            </w:pPr>
            <w:r>
              <w:t>1112.00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1557.78</w:t>
            </w:r>
          </w:p>
        </w:tc>
        <w:tc>
          <w:tcPr>
            <w:tcW w:w="2551" w:type="dxa"/>
            <w:vAlign w:val="center"/>
          </w:tcPr>
          <w:p>
            <w:pPr>
              <w:pStyle w:val="13"/>
            </w:pPr>
            <w:r>
              <w:t>445.78</w:t>
            </w:r>
          </w:p>
        </w:tc>
        <w:tc>
          <w:tcPr>
            <w:tcW w:w="2551" w:type="dxa"/>
            <w:vAlign w:val="center"/>
          </w:tcPr>
          <w:p>
            <w:pPr>
              <w:pStyle w:val="13"/>
            </w:pPr>
            <w:r>
              <w:t>1112.00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rPr>
                <w:rFonts w:hint="eastAsia"/>
              </w:rPr>
              <w:t>党委办公厅（室）及相关机构事务</w:t>
            </w:r>
          </w:p>
        </w:tc>
        <w:tc>
          <w:tcPr>
            <w:tcW w:w="2551" w:type="dxa"/>
            <w:vAlign w:val="center"/>
          </w:tcPr>
          <w:p>
            <w:pPr>
              <w:pStyle w:val="13"/>
            </w:pPr>
            <w:r>
              <w:t>1557.78</w:t>
            </w:r>
          </w:p>
        </w:tc>
        <w:tc>
          <w:tcPr>
            <w:tcW w:w="2551" w:type="dxa"/>
            <w:vAlign w:val="center"/>
          </w:tcPr>
          <w:p>
            <w:pPr>
              <w:pStyle w:val="13"/>
            </w:pPr>
            <w:r>
              <w:t>445.78</w:t>
            </w:r>
          </w:p>
        </w:tc>
        <w:tc>
          <w:tcPr>
            <w:tcW w:w="2551" w:type="dxa"/>
            <w:vAlign w:val="center"/>
          </w:tcPr>
          <w:p>
            <w:pPr>
              <w:pStyle w:val="13"/>
            </w:pPr>
            <w:r>
              <w:t>1112.00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rPr>
                <w:rFonts w:hint="eastAsia"/>
              </w:rPr>
              <w:t>行政运行</w:t>
            </w:r>
          </w:p>
        </w:tc>
        <w:tc>
          <w:tcPr>
            <w:tcW w:w="2551" w:type="dxa"/>
            <w:vAlign w:val="center"/>
          </w:tcPr>
          <w:p>
            <w:pPr>
              <w:pStyle w:val="13"/>
            </w:pPr>
            <w:r>
              <w:t>1557.78</w:t>
            </w:r>
          </w:p>
        </w:tc>
        <w:tc>
          <w:tcPr>
            <w:tcW w:w="2551" w:type="dxa"/>
            <w:vAlign w:val="center"/>
          </w:tcPr>
          <w:p>
            <w:pPr>
              <w:pStyle w:val="13"/>
            </w:pPr>
            <w:r>
              <w:t>445.78</w:t>
            </w:r>
          </w:p>
        </w:tc>
        <w:tc>
          <w:tcPr>
            <w:tcW w:w="2551" w:type="dxa"/>
            <w:vAlign w:val="center"/>
          </w:tcPr>
          <w:p>
            <w:pPr>
              <w:pStyle w:val="13"/>
            </w:pPr>
            <w:r>
              <w:t>1112.00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15.28</w:t>
            </w:r>
          </w:p>
        </w:tc>
        <w:tc>
          <w:tcPr>
            <w:tcW w:w="2551" w:type="dxa"/>
            <w:vAlign w:val="center"/>
          </w:tcPr>
          <w:p>
            <w:pPr>
              <w:pStyle w:val="13"/>
            </w:pPr>
            <w:r>
              <w:t>15.28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15.28</w:t>
            </w:r>
          </w:p>
        </w:tc>
        <w:tc>
          <w:tcPr>
            <w:tcW w:w="2551" w:type="dxa"/>
            <w:vAlign w:val="center"/>
          </w:tcPr>
          <w:p>
            <w:pPr>
              <w:pStyle w:val="13"/>
            </w:pPr>
            <w:r>
              <w:t>15.28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15.28</w:t>
            </w:r>
          </w:p>
        </w:tc>
        <w:tc>
          <w:tcPr>
            <w:tcW w:w="2551" w:type="dxa"/>
            <w:vAlign w:val="center"/>
          </w:tcPr>
          <w:p>
            <w:pPr>
              <w:pStyle w:val="13"/>
            </w:pPr>
            <w:r>
              <w:t>15.28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20.20</w:t>
            </w:r>
          </w:p>
        </w:tc>
        <w:tc>
          <w:tcPr>
            <w:tcW w:w="2551" w:type="dxa"/>
            <w:vAlign w:val="center"/>
          </w:tcPr>
          <w:p>
            <w:pPr>
              <w:pStyle w:val="13"/>
            </w:pPr>
            <w:r>
              <w:t>20.20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20.20</w:t>
            </w:r>
          </w:p>
        </w:tc>
        <w:tc>
          <w:tcPr>
            <w:tcW w:w="2551" w:type="dxa"/>
            <w:vAlign w:val="center"/>
          </w:tcPr>
          <w:p>
            <w:pPr>
              <w:pStyle w:val="13"/>
            </w:pPr>
            <w:r>
              <w:t>20.20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rPr>
                <w:rFonts w:hint="eastAsia"/>
              </w:rPr>
              <w:t>其他行政事业单位医疗支出</w:t>
            </w:r>
          </w:p>
        </w:tc>
        <w:tc>
          <w:tcPr>
            <w:tcW w:w="2551" w:type="dxa"/>
            <w:vAlign w:val="center"/>
          </w:tcPr>
          <w:p>
            <w:pPr>
              <w:pStyle w:val="13"/>
            </w:pPr>
            <w:r>
              <w:t>20.20</w:t>
            </w:r>
          </w:p>
        </w:tc>
        <w:tc>
          <w:tcPr>
            <w:tcW w:w="2551" w:type="dxa"/>
            <w:vAlign w:val="center"/>
          </w:tcPr>
          <w:p>
            <w:pPr>
              <w:pStyle w:val="13"/>
            </w:pPr>
            <w:r>
              <w:t>20.20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481.26</w:t>
            </w:r>
          </w:p>
        </w:tc>
        <w:tc>
          <w:tcPr>
            <w:tcW w:w="2551" w:type="dxa"/>
            <w:vAlign w:val="center"/>
          </w:tcPr>
          <w:p>
            <w:pPr>
              <w:pStyle w:val="17"/>
            </w:pPr>
            <w:r>
              <w:t>420.48</w:t>
            </w:r>
          </w:p>
        </w:tc>
        <w:tc>
          <w:tcPr>
            <w:tcW w:w="2551" w:type="dxa"/>
            <w:vAlign w:val="center"/>
          </w:tcPr>
          <w:p>
            <w:pPr>
              <w:pStyle w:val="17"/>
            </w:pPr>
            <w:r>
              <w:t>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399.63</w:t>
            </w:r>
          </w:p>
        </w:tc>
        <w:tc>
          <w:tcPr>
            <w:tcW w:w="2551" w:type="dxa"/>
            <w:vAlign w:val="center"/>
          </w:tcPr>
          <w:p>
            <w:pPr>
              <w:pStyle w:val="13"/>
            </w:pPr>
            <w:r>
              <w:t>399.63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247.55</w:t>
            </w:r>
          </w:p>
        </w:tc>
        <w:tc>
          <w:tcPr>
            <w:tcW w:w="2551" w:type="dxa"/>
            <w:vAlign w:val="center"/>
          </w:tcPr>
          <w:p>
            <w:pPr>
              <w:pStyle w:val="13"/>
            </w:pPr>
            <w:r>
              <w:t>247.55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10.19</w:t>
            </w:r>
          </w:p>
        </w:tc>
        <w:tc>
          <w:tcPr>
            <w:tcW w:w="2551" w:type="dxa"/>
            <w:vAlign w:val="center"/>
          </w:tcPr>
          <w:p>
            <w:pPr>
              <w:pStyle w:val="13"/>
            </w:pPr>
            <w:r>
              <w:t>10.19</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7.49</w:t>
            </w:r>
          </w:p>
        </w:tc>
        <w:tc>
          <w:tcPr>
            <w:tcW w:w="2551" w:type="dxa"/>
            <w:vAlign w:val="center"/>
          </w:tcPr>
          <w:p>
            <w:pPr>
              <w:pStyle w:val="13"/>
            </w:pPr>
            <w:r>
              <w:t>7.49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37.14</w:t>
            </w:r>
          </w:p>
        </w:tc>
        <w:tc>
          <w:tcPr>
            <w:tcW w:w="2551" w:type="dxa"/>
            <w:vAlign w:val="center"/>
          </w:tcPr>
          <w:p>
            <w:pPr>
              <w:pStyle w:val="13"/>
            </w:pPr>
            <w:r>
              <w:t>37.14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18.57</w:t>
            </w:r>
          </w:p>
        </w:tc>
        <w:tc>
          <w:tcPr>
            <w:tcW w:w="2551" w:type="dxa"/>
            <w:vAlign w:val="center"/>
          </w:tcPr>
          <w:p>
            <w:pPr>
              <w:pStyle w:val="13"/>
            </w:pPr>
            <w:r>
              <w:t>18.57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20.20</w:t>
            </w:r>
          </w:p>
        </w:tc>
        <w:tc>
          <w:tcPr>
            <w:tcW w:w="2551" w:type="dxa"/>
            <w:vAlign w:val="center"/>
          </w:tcPr>
          <w:p>
            <w:pPr>
              <w:pStyle w:val="13"/>
            </w:pPr>
            <w:r>
              <w:t>20.20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58.49</w:t>
            </w:r>
          </w:p>
        </w:tc>
        <w:tc>
          <w:tcPr>
            <w:tcW w:w="2551" w:type="dxa"/>
            <w:vAlign w:val="center"/>
          </w:tcPr>
          <w:p>
            <w:pPr>
              <w:pStyle w:val="13"/>
            </w:pPr>
            <w:r>
              <w:t>58.49</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56.78</w:t>
            </w:r>
          </w:p>
        </w:tc>
        <w:tc>
          <w:tcPr>
            <w:tcW w:w="2551" w:type="dxa"/>
            <w:vAlign w:val="center"/>
          </w:tcPr>
          <w:p>
            <w:pPr>
              <w:pStyle w:val="13"/>
            </w:pPr>
          </w:p>
        </w:tc>
        <w:tc>
          <w:tcPr>
            <w:tcW w:w="2551" w:type="dxa"/>
            <w:vAlign w:val="center"/>
          </w:tcPr>
          <w:p>
            <w:pPr>
              <w:pStyle w:val="13"/>
            </w:pPr>
            <w:r>
              <w:t>56.78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38.00</w:t>
            </w:r>
          </w:p>
        </w:tc>
        <w:tc>
          <w:tcPr>
            <w:tcW w:w="2551" w:type="dxa"/>
            <w:vAlign w:val="center"/>
          </w:tcPr>
          <w:p>
            <w:pPr>
              <w:pStyle w:val="13"/>
            </w:pPr>
          </w:p>
        </w:tc>
        <w:tc>
          <w:tcPr>
            <w:tcW w:w="2551"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18.78</w:t>
            </w:r>
          </w:p>
        </w:tc>
        <w:tc>
          <w:tcPr>
            <w:tcW w:w="2551" w:type="dxa"/>
            <w:vAlign w:val="center"/>
          </w:tcPr>
          <w:p>
            <w:pPr>
              <w:pStyle w:val="13"/>
            </w:pPr>
          </w:p>
        </w:tc>
        <w:tc>
          <w:tcPr>
            <w:tcW w:w="2551" w:type="dxa"/>
            <w:vAlign w:val="center"/>
          </w:tcPr>
          <w:p>
            <w:pPr>
              <w:pStyle w:val="13"/>
            </w:pPr>
            <w:r>
              <w:t>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20.85</w:t>
            </w:r>
          </w:p>
        </w:tc>
        <w:tc>
          <w:tcPr>
            <w:tcW w:w="2551" w:type="dxa"/>
            <w:vAlign w:val="center"/>
          </w:tcPr>
          <w:p>
            <w:pPr>
              <w:pStyle w:val="13"/>
            </w:pPr>
            <w:r>
              <w:t>20.85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15.28</w:t>
            </w:r>
          </w:p>
        </w:tc>
        <w:tc>
          <w:tcPr>
            <w:tcW w:w="2551" w:type="dxa"/>
            <w:vAlign w:val="center"/>
          </w:tcPr>
          <w:p>
            <w:pPr>
              <w:pStyle w:val="13"/>
            </w:pPr>
            <w:r>
              <w:t>15.28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5.57</w:t>
            </w:r>
          </w:p>
        </w:tc>
        <w:tc>
          <w:tcPr>
            <w:tcW w:w="2551" w:type="dxa"/>
            <w:vAlign w:val="center"/>
          </w:tcPr>
          <w:p>
            <w:pPr>
              <w:pStyle w:val="13"/>
            </w:pPr>
            <w:r>
              <w:t>5.57</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110.94</w:t>
            </w:r>
          </w:p>
        </w:tc>
        <w:tc>
          <w:tcPr>
            <w:tcW w:w="2381" w:type="dxa"/>
            <w:vAlign w:val="center"/>
          </w:tcPr>
          <w:p>
            <w:pPr>
              <w:pStyle w:val="17"/>
            </w:pPr>
            <w:r>
              <w:t>110.94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pPr>
            <w:r>
              <w:t>110.94</w:t>
            </w:r>
          </w:p>
        </w:tc>
        <w:tc>
          <w:tcPr>
            <w:tcW w:w="2381" w:type="dxa"/>
            <w:vAlign w:val="center"/>
          </w:tcPr>
          <w:p>
            <w:pPr>
              <w:pStyle w:val="13"/>
            </w:pPr>
            <w:r>
              <w:t>110.94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r>
              <w:t>110.94</w:t>
            </w:r>
          </w:p>
        </w:tc>
        <w:tc>
          <w:tcPr>
            <w:tcW w:w="2381" w:type="dxa"/>
            <w:vAlign w:val="center"/>
          </w:tcPr>
          <w:p>
            <w:pPr>
              <w:pStyle w:val="13"/>
            </w:pPr>
            <w:r>
              <w:t>110.94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110.94</w:t>
            </w:r>
          </w:p>
        </w:tc>
        <w:tc>
          <w:tcPr>
            <w:tcW w:w="2381" w:type="dxa"/>
            <w:vAlign w:val="center"/>
          </w:tcPr>
          <w:p>
            <w:pPr>
              <w:pStyle w:val="13"/>
            </w:pPr>
            <w:r>
              <w:t>110.94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中共魏县县委机关事务管理局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中共魏县县委机关事务管理局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预算法》、《地方预决算公开操作规程》和《关于进一步推进预算公开工作的实施意见》规定，现将中共魏县县委机关事务管理局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t>1</w:t>
      </w:r>
      <w:r>
        <w:rPr>
          <w:rFonts w:hint="eastAsia"/>
        </w:rPr>
        <w:t>、根据上级及县委、</w:t>
      </w:r>
      <w:r>
        <w:rPr>
          <w:rFonts w:hint="eastAsia"/>
          <w:lang w:val="en-US" w:eastAsia="zh-CN"/>
        </w:rPr>
        <w:t>县</w:t>
      </w:r>
      <w:bookmarkStart w:id="18" w:name="_GoBack"/>
      <w:bookmarkEnd w:id="18"/>
      <w:r>
        <w:rPr>
          <w:rFonts w:hint="eastAsia"/>
        </w:rPr>
        <w:t>政府的有关方针、政策，结合县委、县政府机关的具体情况，研究制定机关事务工作的具体规定和办法并组织实施。</w:t>
      </w:r>
    </w:p>
    <w:p>
      <w:pPr>
        <w:pStyle w:val="19"/>
      </w:pPr>
      <w:r>
        <w:t>2</w:t>
      </w:r>
      <w:r>
        <w:rPr>
          <w:rFonts w:hint="eastAsia"/>
        </w:rPr>
        <w:t>、负责县四家班子及大院内经费管理，负责四家班子国有资产的管理等工作。</w:t>
      </w:r>
    </w:p>
    <w:p>
      <w:pPr>
        <w:pStyle w:val="19"/>
      </w:pPr>
      <w:r>
        <w:t>3</w:t>
      </w:r>
      <w:r>
        <w:rPr>
          <w:rFonts w:hint="eastAsia"/>
        </w:rPr>
        <w:t>、负责四家班子房产产权、产籍管理：负责县四家班子办公用房、配套设施的分配维修管理。</w:t>
      </w:r>
    </w:p>
    <w:p>
      <w:pPr>
        <w:pStyle w:val="19"/>
      </w:pPr>
      <w:r>
        <w:t>4</w:t>
      </w:r>
      <w:r>
        <w:rPr>
          <w:rFonts w:hint="eastAsia"/>
        </w:rPr>
        <w:t>、负责县四家班子车辆管理和驾驶人员的安全教育工作、负责车辆的维修保养油料的供应。</w:t>
      </w:r>
    </w:p>
    <w:p>
      <w:pPr>
        <w:pStyle w:val="19"/>
      </w:pPr>
      <w:r>
        <w:t>5</w:t>
      </w:r>
      <w:r>
        <w:rPr>
          <w:rFonts w:hint="eastAsia"/>
        </w:rPr>
        <w:t>、负责做好四家班子上级领导和同级部门来人的食宿安排工作，负责以四家班子名义召开的重要会议的接待服务工作。</w:t>
      </w:r>
    </w:p>
    <w:p>
      <w:pPr>
        <w:pStyle w:val="19"/>
      </w:pPr>
      <w:r>
        <w:t>6</w:t>
      </w:r>
      <w:r>
        <w:rPr>
          <w:rFonts w:hint="eastAsia"/>
        </w:rPr>
        <w:t>、负责四家班子内部及局内工勤人员岗位培训工作和工勤人员的技术等级培训、考核和技师聘任工作。</w:t>
      </w:r>
    </w:p>
    <w:p>
      <w:pPr>
        <w:pStyle w:val="19"/>
      </w:pPr>
      <w:r>
        <w:t>7</w:t>
      </w:r>
      <w:r>
        <w:rPr>
          <w:rFonts w:hint="eastAsia"/>
        </w:rPr>
        <w:t>、负责机关大院的环境、卫生、水、电、暖供应及维修工作。</w:t>
      </w:r>
    </w:p>
    <w:p>
      <w:pPr>
        <w:pStyle w:val="19"/>
      </w:pPr>
      <w:r>
        <w:t>8</w:t>
      </w:r>
      <w:r>
        <w:rPr>
          <w:rFonts w:hint="eastAsia"/>
        </w:rPr>
        <w:t>、负责机关大院安全保卫工作。</w:t>
      </w:r>
    </w:p>
    <w:p>
      <w:pPr>
        <w:pStyle w:val="19"/>
      </w:pPr>
      <w:r>
        <w:t>9</w:t>
      </w:r>
      <w:r>
        <w:rPr>
          <w:rFonts w:hint="eastAsia"/>
        </w:rPr>
        <w:t>、负责四家班子各种文字材料打印及各种办公用品的登记发放工作。</w:t>
      </w:r>
    </w:p>
    <w:p>
      <w:pPr>
        <w:pStyle w:val="19"/>
      </w:pPr>
      <w:r>
        <w:t>10</w:t>
      </w:r>
      <w:r>
        <w:rPr>
          <w:rFonts w:hint="eastAsia"/>
        </w:rPr>
        <w:t>、承办四家班子领导交办的其他工作</w:t>
      </w:r>
      <w:r>
        <w:t>.</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中共魏县县委机关事务管理局本级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部门预算的编制实行综合预算管理，即全部收入和支出都反映在预算中。中共魏县县委机关事务管理局机关及所属事业单位的收支包含在部门预算中。</w:t>
      </w:r>
    </w:p>
    <w:p>
      <w:pPr>
        <w:pStyle w:val="20"/>
      </w:pPr>
      <w:r>
        <w:t>1</w:t>
      </w:r>
      <w:r>
        <w:rPr>
          <w:rFonts w:hint="eastAsia"/>
        </w:rPr>
        <w:t>、收入说明：</w:t>
      </w:r>
      <w:r>
        <w:t>2022</w:t>
      </w:r>
      <w:r>
        <w:rPr>
          <w:rFonts w:hint="eastAsia"/>
        </w:rPr>
        <w:t>年收入预算共计</w:t>
      </w:r>
      <w:r>
        <w:t>1593.26</w:t>
      </w:r>
      <w:r>
        <w:rPr>
          <w:rFonts w:hint="eastAsia"/>
        </w:rPr>
        <w:t>万元，全部为财政拨款收入。</w:t>
      </w:r>
    </w:p>
    <w:p>
      <w:pPr>
        <w:pStyle w:val="20"/>
      </w:pPr>
      <w:r>
        <w:t>2</w:t>
      </w:r>
      <w:r>
        <w:rPr>
          <w:rFonts w:hint="eastAsia"/>
        </w:rPr>
        <w:t>、支出说明：</w:t>
      </w:r>
      <w:r>
        <w:t>2022</w:t>
      </w:r>
      <w:r>
        <w:rPr>
          <w:rFonts w:hint="eastAsia"/>
        </w:rPr>
        <w:t>年支出预算共计</w:t>
      </w:r>
      <w:r>
        <w:t>1593.26</w:t>
      </w:r>
      <w:r>
        <w:rPr>
          <w:rFonts w:hint="eastAsia"/>
        </w:rPr>
        <w:t>万元，其中人员经费支出预算</w:t>
      </w:r>
      <w:r>
        <w:t>420.48</w:t>
      </w:r>
      <w:r>
        <w:rPr>
          <w:rFonts w:hint="eastAsia"/>
        </w:rPr>
        <w:t>万元，日常公用经费支出预算</w:t>
      </w:r>
      <w:r>
        <w:t>60.78</w:t>
      </w:r>
      <w:r>
        <w:rPr>
          <w:rFonts w:hint="eastAsia"/>
        </w:rPr>
        <w:t>万元，专项公用支出</w:t>
      </w:r>
      <w:r>
        <w:t>1112</w:t>
      </w:r>
      <w:r>
        <w:rPr>
          <w:rFonts w:hint="eastAsia"/>
        </w:rPr>
        <w:t>万元。</w:t>
      </w:r>
    </w:p>
    <w:p>
      <w:pPr>
        <w:pStyle w:val="20"/>
      </w:pPr>
      <w:r>
        <w:t>3</w:t>
      </w:r>
      <w:r>
        <w:rPr>
          <w:rFonts w:hint="eastAsia"/>
        </w:rPr>
        <w:t>、比上年增减情况：经过对比测算，</w:t>
      </w:r>
      <w:r>
        <w:t>2022</w:t>
      </w:r>
      <w:r>
        <w:rPr>
          <w:rFonts w:hint="eastAsia"/>
        </w:rPr>
        <w:t>年财政拨款预算比</w:t>
      </w:r>
      <w:r>
        <w:t>2021</w:t>
      </w:r>
      <w:r>
        <w:rPr>
          <w:rFonts w:hint="eastAsia"/>
        </w:rPr>
        <w:t>年减增加</w:t>
      </w:r>
      <w:r>
        <w:t>95.01</w:t>
      </w:r>
      <w:r>
        <w:rPr>
          <w:rFonts w:hint="eastAsia"/>
        </w:rPr>
        <w:t>万元，主要是：人员经费增加</w:t>
      </w:r>
      <w:r>
        <w:t>18.23</w:t>
      </w:r>
      <w:r>
        <w:rPr>
          <w:rFonts w:hint="eastAsia"/>
        </w:rPr>
        <w:t>万元</w:t>
      </w:r>
      <w:r>
        <w:t>(</w:t>
      </w:r>
      <w:r>
        <w:rPr>
          <w:rFonts w:hint="eastAsia"/>
        </w:rPr>
        <w:t>人员经费增加的主要因素为单位人员增加调资</w:t>
      </w:r>
      <w:r>
        <w:t>)</w:t>
      </w:r>
      <w:r>
        <w:rPr>
          <w:rFonts w:hint="eastAsia"/>
        </w:rPr>
        <w:t>、日常公用经费</w:t>
      </w:r>
      <w:r>
        <w:t>60.78</w:t>
      </w:r>
      <w:r>
        <w:rPr>
          <w:rFonts w:hint="eastAsia"/>
        </w:rPr>
        <w:t>万元，较去年增加</w:t>
      </w:r>
      <w:r>
        <w:t>18.78</w:t>
      </w:r>
      <w:r>
        <w:rPr>
          <w:rFonts w:hint="eastAsia"/>
        </w:rPr>
        <w:t>万元（主要为增加公务交通补贴经费），专项公用经费</w:t>
      </w:r>
      <w:r>
        <w:t>1112</w:t>
      </w:r>
      <w:r>
        <w:rPr>
          <w:rFonts w:hint="eastAsia"/>
        </w:rPr>
        <w:t>万元，较去年增加</w:t>
      </w:r>
      <w:r>
        <w:t>58</w:t>
      </w:r>
      <w:r>
        <w:rPr>
          <w:rFonts w:hint="eastAsia"/>
        </w:rPr>
        <w:t>万元，（主要根据实际工作需求，增加会议租车费等）。</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机关运行经费共计安排</w:t>
      </w:r>
      <w:r>
        <w:t>60.78</w:t>
      </w:r>
      <w:r>
        <w:rPr>
          <w:rFonts w:hint="eastAsia"/>
        </w:rPr>
        <w:t>万元，主要用于保证正常办公的基本需要和维持单位日常业务运转，包括：办公费、邮电费、差旅费、手续费、公务接待费、工会经费、公务用车运行维护费和离退休干部等经费。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年，财政拨款</w:t>
      </w:r>
      <w:r>
        <w:t>“</w:t>
      </w:r>
      <w:r>
        <w:rPr>
          <w:rFonts w:hint="eastAsia"/>
        </w:rPr>
        <w:t>三公</w:t>
      </w:r>
      <w:r>
        <w:t>”</w:t>
      </w:r>
      <w:r>
        <w:rPr>
          <w:rFonts w:hint="eastAsia"/>
        </w:rPr>
        <w:t>经费预算安排</w:t>
      </w:r>
      <w:r>
        <w:t>110.94</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 xml:space="preserve">110.94 </w:t>
      </w:r>
      <w:r>
        <w:rPr>
          <w:rFonts w:hint="eastAsia"/>
        </w:rPr>
        <w:t>万元</w:t>
      </w:r>
      <w:r>
        <w:t>(</w:t>
      </w:r>
      <w:r>
        <w:rPr>
          <w:rFonts w:hint="eastAsia"/>
        </w:rPr>
        <w:t>其中：公务用车购置费为</w:t>
      </w:r>
      <w:r>
        <w:t>0</w:t>
      </w:r>
      <w:r>
        <w:rPr>
          <w:rFonts w:hint="eastAsia"/>
        </w:rPr>
        <w:t>万元，公务用车运行费</w:t>
      </w:r>
      <w:r>
        <w:t>110.94</w:t>
      </w:r>
      <w:r>
        <w:rPr>
          <w:rFonts w:hint="eastAsia"/>
        </w:rPr>
        <w:t>万元</w:t>
      </w:r>
      <w:r>
        <w:t>)</w:t>
      </w:r>
      <w:r>
        <w:rPr>
          <w:rFonts w:hint="eastAsia"/>
        </w:rPr>
        <w:t>；公务接待费</w:t>
      </w:r>
      <w:r>
        <w:t>0</w:t>
      </w:r>
      <w:r>
        <w:rPr>
          <w:rFonts w:hint="eastAsia"/>
        </w:rPr>
        <w:t>万元。与</w:t>
      </w:r>
      <w:r>
        <w:t>2021</w:t>
      </w:r>
      <w:r>
        <w:rPr>
          <w:rFonts w:hint="eastAsia"/>
        </w:rPr>
        <w:t>年相比，因公出国</w:t>
      </w:r>
      <w:r>
        <w:t>(</w:t>
      </w:r>
      <w:r>
        <w:rPr>
          <w:rFonts w:hint="eastAsia"/>
        </w:rPr>
        <w:t>境</w:t>
      </w:r>
      <w:r>
        <w:t>)</w:t>
      </w:r>
      <w:r>
        <w:rPr>
          <w:rFonts w:hint="eastAsia"/>
        </w:rPr>
        <w:t>费</w:t>
      </w:r>
      <w:r>
        <w:t>0</w:t>
      </w:r>
      <w:r>
        <w:rPr>
          <w:rFonts w:hint="eastAsia"/>
        </w:rPr>
        <w:t>万元没有变动，与去年持平；公务用车运行费没有变动，公务接待费没有变动，原因是我单位根据单位业务需要，不需要安排此项活动经费。</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2022</w:t>
      </w:r>
      <w:r>
        <w:rPr>
          <w:rFonts w:hint="eastAsia"/>
        </w:rPr>
        <w:t>年，我局将在县委、县政府的正确领导下，深入贯彻</w:t>
      </w:r>
      <w:r>
        <w:rPr>
          <w:rFonts w:hint="eastAsia"/>
          <w:lang w:val="en-US" w:eastAsia="zh-CN"/>
        </w:rPr>
        <w:t>党的</w:t>
      </w:r>
      <w:r>
        <w:rPr>
          <w:rFonts w:hint="eastAsia"/>
        </w:rPr>
        <w:t>十九大精神，围绕全县中心工作，立足本职，务实进取，进一步提升机关事务管理服务保障工作。</w:t>
      </w:r>
    </w:p>
    <w:p>
      <w:pPr>
        <w:spacing w:line="500" w:lineRule="exact"/>
        <w:ind w:firstLine="560"/>
      </w:pPr>
      <w:r>
        <w:rPr>
          <w:rFonts w:hint="eastAsia" w:eastAsia="方正仿宋_GBK"/>
          <w:color w:val="000000"/>
          <w:sz w:val="28"/>
        </w:rPr>
        <w:t>（二）分项绩效目标</w:t>
      </w:r>
    </w:p>
    <w:p>
      <w:pPr>
        <w:pStyle w:val="24"/>
      </w:pPr>
      <w:r>
        <w:t>1</w:t>
      </w:r>
      <w:r>
        <w:rPr>
          <w:rFonts w:hint="eastAsia"/>
        </w:rPr>
        <w:t>、加强财务管理，做好县四家班子及管理局经费、国有资产的管理等工作。</w:t>
      </w:r>
    </w:p>
    <w:p>
      <w:pPr>
        <w:pStyle w:val="24"/>
      </w:pPr>
      <w:r>
        <w:t>2</w:t>
      </w:r>
      <w:r>
        <w:rPr>
          <w:rFonts w:hint="eastAsia"/>
        </w:rPr>
        <w:t>、做好县四家班子办公用房、配套设施的维修维护，保障机关设施正常运转。</w:t>
      </w:r>
    </w:p>
    <w:p>
      <w:pPr>
        <w:pStyle w:val="24"/>
      </w:pPr>
      <w:r>
        <w:t>3</w:t>
      </w:r>
      <w:r>
        <w:rPr>
          <w:rFonts w:hint="eastAsia"/>
        </w:rPr>
        <w:t>、严格贯彻落实《党政机关厉行节约反对浪费条例》和我省实施细则及系列配套制度情况，进一步规范公务接待工作，做好四家班子上级领导和同级部门来人的食宿安排工作，严肃接待纪律，减少经费支出，加强党风廉政建设。</w:t>
      </w:r>
    </w:p>
    <w:p>
      <w:pPr>
        <w:pStyle w:val="24"/>
      </w:pPr>
      <w:r>
        <w:t>4</w:t>
      </w:r>
      <w:r>
        <w:rPr>
          <w:rFonts w:hint="eastAsia"/>
        </w:rPr>
        <w:t>、抓好会务服务，进一步完善服务工作职责，抓住会前认真准备、会中精心服务和会后清理会场三个环节，积极倡导精细化和人性化，上下衔接，左右配合，周密安排。</w:t>
      </w:r>
    </w:p>
    <w:p>
      <w:pPr>
        <w:pStyle w:val="24"/>
      </w:pPr>
      <w:r>
        <w:t>5</w:t>
      </w:r>
      <w:r>
        <w:rPr>
          <w:rFonts w:hint="eastAsia"/>
        </w:rPr>
        <w:t>、加强机关大院的环境卫生工作、保障水、电、暖供应及维修工作。</w:t>
      </w:r>
    </w:p>
    <w:p>
      <w:pPr>
        <w:pStyle w:val="24"/>
      </w:pPr>
      <w:r>
        <w:t>6</w:t>
      </w:r>
      <w:r>
        <w:rPr>
          <w:rFonts w:hint="eastAsia"/>
        </w:rPr>
        <w:t>、进一步加强公务用车平台管理工作，严格执行公务用车运行管理，强化平台车辆的维护保养与司机业务日常培训，严格司机值班制度，为四家班子公务出行提供优质、安全的用车保障。</w:t>
      </w:r>
    </w:p>
    <w:p>
      <w:pPr>
        <w:pStyle w:val="24"/>
      </w:pPr>
      <w:r>
        <w:t>7</w:t>
      </w:r>
      <w:r>
        <w:rPr>
          <w:rFonts w:hint="eastAsia"/>
        </w:rPr>
        <w:t>、加强机关安全保卫工作，严格执行电话预约、出入登记、持证通行、夜间巡逻等制度，强化安全管理。</w:t>
      </w:r>
    </w:p>
    <w:p>
      <w:pPr>
        <w:spacing w:line="500" w:lineRule="exact"/>
        <w:ind w:firstLine="560"/>
      </w:pPr>
      <w:r>
        <w:rPr>
          <w:rFonts w:hint="eastAsia" w:eastAsia="方正仿宋_GBK"/>
          <w:color w:val="000000"/>
          <w:sz w:val="28"/>
        </w:rPr>
        <w:t>（三）工作保障措施</w:t>
      </w:r>
    </w:p>
    <w:p>
      <w:pPr>
        <w:pStyle w:val="25"/>
      </w:pPr>
      <w:r>
        <w:rPr>
          <w:rFonts w:hint="eastAsia"/>
        </w:rPr>
        <w:t>紧紧围绕县委、县政府的中心工作，深入贯彻落实《机关事务管理条例》和《河北省机关事务管理办法》，坚持管理科学化、保障法制化、服务社会化的方向，坚持廉洁、服务、节俭的原则，进一步完善体制机制，健全制度标准，提高后勤服务质量。</w:t>
      </w:r>
    </w:p>
    <w:p>
      <w:pPr>
        <w:pStyle w:val="25"/>
      </w:pPr>
      <w:r>
        <w:rPr>
          <w:rFonts w:hint="eastAsia"/>
        </w:rPr>
        <w:t>一是抓好班子，带好队伍。加强领导干部思想政治建设，改进干部队伍作风，切实强化机关后勤队伍建设，健全各项规章制度，推行绩效考核，实行精细化管理。</w:t>
      </w:r>
    </w:p>
    <w:p>
      <w:pPr>
        <w:pStyle w:val="25"/>
      </w:pPr>
      <w:r>
        <w:rPr>
          <w:rFonts w:hint="eastAsia"/>
        </w:rPr>
        <w:t>二是做好一系列日常工作。强化制度管理，抓好公务接待、文印工作、会务服务、安全保卫、维护检修等日常工作。继续推进机关办公条件改造提升项目，提前谋化，多方调研，促进机关办公条件不断优化改善。保障机关大院环境卫生，搞好卫生、绿化、美化及修缮工作。稳步推进公车改革工作，强化公务用车平台管理，积极探索和推进机关后勤服务、公务用车及公务接待服务等工作的社会化改革。</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ascii="方正楷体_GBK" w:hAnsi="方正楷体_GBK" w:eastAsia="方正楷体_GBK" w:cs="方正楷体_GBK"/>
          <w:b/>
          <w:color w:val="000000"/>
          <w:sz w:val="32"/>
          <w:lang w:eastAsia="zh-CN"/>
        </w:rPr>
      </w:pPr>
    </w:p>
    <w:p>
      <w:pPr>
        <w:ind w:firstLine="640"/>
        <w:rPr>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color w:val="000000"/>
          <w:sz w:val="28"/>
          <w:szCs w:val="28"/>
          <w:lang w:eastAsia="zh-CN"/>
        </w:rPr>
        <w:t>我单位未安排专项资金，此项不涉及。</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年后勤服务中心专项公用经费绩效目标表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抓好会务服务，进一步完善服务工作职责</w:t>
            </w:r>
          </w:p>
          <w:p>
            <w:pPr>
              <w:pStyle w:val="14"/>
            </w:pPr>
            <w:r>
              <w:t>2.</w:t>
            </w:r>
            <w:r>
              <w:rPr>
                <w:rFonts w:hint="eastAsia"/>
              </w:rPr>
              <w:t>加强机关大院环境卫生工作，提高后勤服务质量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质量指标</w:t>
            </w:r>
          </w:p>
        </w:tc>
        <w:tc>
          <w:tcPr>
            <w:tcW w:w="2835" w:type="dxa"/>
            <w:vAlign w:val="center"/>
          </w:tcPr>
          <w:p>
            <w:pPr>
              <w:pStyle w:val="14"/>
            </w:pPr>
            <w:r>
              <w:rPr>
                <w:rFonts w:hint="eastAsia"/>
              </w:rPr>
              <w:t>机关后勤服务检查合格率</w:t>
            </w:r>
          </w:p>
        </w:tc>
        <w:tc>
          <w:tcPr>
            <w:tcW w:w="2835" w:type="dxa"/>
            <w:vAlign w:val="center"/>
          </w:tcPr>
          <w:p>
            <w:pPr>
              <w:pStyle w:val="14"/>
            </w:pPr>
            <w:r>
              <w:rPr>
                <w:rFonts w:hint="eastAsia"/>
              </w:rPr>
              <w:t>机关后勤服务检查合格率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机关后勤服务天数</w:t>
            </w:r>
          </w:p>
        </w:tc>
        <w:tc>
          <w:tcPr>
            <w:tcW w:w="2835" w:type="dxa"/>
            <w:vAlign w:val="center"/>
          </w:tcPr>
          <w:p>
            <w:pPr>
              <w:pStyle w:val="14"/>
            </w:pPr>
            <w:r>
              <w:rPr>
                <w:rFonts w:hint="eastAsia"/>
              </w:rPr>
              <w:t>机关后勤服务天数</w:t>
            </w:r>
          </w:p>
        </w:tc>
        <w:tc>
          <w:tcPr>
            <w:tcW w:w="2551" w:type="dxa"/>
            <w:vAlign w:val="center"/>
          </w:tcPr>
          <w:p>
            <w:pPr>
              <w:pStyle w:val="14"/>
            </w:pPr>
            <w:r>
              <w:t>365</w:t>
            </w:r>
            <w:r>
              <w:rPr>
                <w:rFonts w:hint="eastAsia"/>
              </w:rPr>
              <w:t>天</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w:t>
            </w:r>
          </w:p>
        </w:tc>
        <w:tc>
          <w:tcPr>
            <w:tcW w:w="2835" w:type="dxa"/>
            <w:vAlign w:val="center"/>
          </w:tcPr>
          <w:p>
            <w:pPr>
              <w:pStyle w:val="14"/>
            </w:pPr>
            <w:r>
              <w:rPr>
                <w:rFonts w:hint="eastAsia"/>
              </w:rPr>
              <w:t>预算资金</w:t>
            </w:r>
            <w:r>
              <w:t>1112</w:t>
            </w:r>
            <w:r>
              <w:rPr>
                <w:rFonts w:hint="eastAsia"/>
              </w:rPr>
              <w:t>万元</w:t>
            </w:r>
          </w:p>
        </w:tc>
        <w:tc>
          <w:tcPr>
            <w:tcW w:w="2551" w:type="dxa"/>
            <w:vAlign w:val="center"/>
          </w:tcPr>
          <w:p>
            <w:pPr>
              <w:pStyle w:val="14"/>
            </w:pPr>
            <w:r>
              <w:t>1112</w:t>
            </w:r>
            <w:r>
              <w:rPr>
                <w:rFonts w:hint="eastAsia"/>
              </w:rPr>
              <w:t>万元</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维修维护工作完成率</w:t>
            </w:r>
          </w:p>
        </w:tc>
        <w:tc>
          <w:tcPr>
            <w:tcW w:w="2835" w:type="dxa"/>
            <w:vAlign w:val="center"/>
          </w:tcPr>
          <w:p>
            <w:pPr>
              <w:pStyle w:val="14"/>
            </w:pPr>
            <w:r>
              <w:rPr>
                <w:rFonts w:hint="eastAsia"/>
              </w:rPr>
              <w:t>维修维护工作及时完成</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为机关大院职工提供较好的工作环境</w:t>
            </w:r>
          </w:p>
        </w:tc>
        <w:tc>
          <w:tcPr>
            <w:tcW w:w="2835" w:type="dxa"/>
            <w:vAlign w:val="center"/>
          </w:tcPr>
          <w:p>
            <w:pPr>
              <w:pStyle w:val="14"/>
            </w:pPr>
            <w:r>
              <w:rPr>
                <w:rFonts w:hint="eastAsia"/>
              </w:rPr>
              <w:t>为机关大院职工提供较好的工作环境</w:t>
            </w:r>
          </w:p>
        </w:tc>
        <w:tc>
          <w:tcPr>
            <w:tcW w:w="2551" w:type="dxa"/>
            <w:vAlign w:val="center"/>
          </w:tcPr>
          <w:p>
            <w:pPr>
              <w:pStyle w:val="14"/>
            </w:pPr>
            <w:r>
              <w:rPr>
                <w:rFonts w:hint="eastAsia"/>
              </w:rPr>
              <w:t>为机关大院职工提供较好的工作环境</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持续提升大院环境和满意度</w:t>
            </w:r>
          </w:p>
        </w:tc>
        <w:tc>
          <w:tcPr>
            <w:tcW w:w="2835" w:type="dxa"/>
            <w:vAlign w:val="center"/>
          </w:tcPr>
          <w:p>
            <w:pPr>
              <w:pStyle w:val="14"/>
            </w:pPr>
            <w:r>
              <w:rPr>
                <w:rFonts w:hint="eastAsia"/>
              </w:rPr>
              <w:t>持续提升在院环境，保证人员待遇，提升办公人员、工作人员满意度</w:t>
            </w:r>
          </w:p>
        </w:tc>
        <w:tc>
          <w:tcPr>
            <w:tcW w:w="2551" w:type="dxa"/>
            <w:vAlign w:val="center"/>
          </w:tcPr>
          <w:p>
            <w:pPr>
              <w:pStyle w:val="14"/>
            </w:pPr>
            <w:r>
              <w:rPr>
                <w:rFonts w:hint="eastAsia"/>
              </w:rPr>
              <w:t>办公人员意见反馈</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开展满意度调查</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年，中共魏县县委机关事务管理局安排政府采购预算</w:t>
      </w:r>
      <w:r>
        <w:rPr>
          <w:rFonts w:eastAsia="方正仿宋_GBK"/>
          <w:color w:val="000000"/>
          <w:sz w:val="28"/>
        </w:rPr>
        <w:t>4.00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4.00</w:t>
            </w:r>
          </w:p>
        </w:tc>
        <w:tc>
          <w:tcPr>
            <w:tcW w:w="964" w:type="dxa"/>
            <w:vAlign w:val="center"/>
          </w:tcPr>
          <w:p>
            <w:pPr>
              <w:pStyle w:val="17"/>
            </w:pPr>
            <w:r>
              <w:t>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中共魏县县委机关事务管理局本级小计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4.00</w:t>
            </w:r>
          </w:p>
        </w:tc>
        <w:tc>
          <w:tcPr>
            <w:tcW w:w="964" w:type="dxa"/>
            <w:vAlign w:val="center"/>
          </w:tcPr>
          <w:p>
            <w:pPr>
              <w:pStyle w:val="17"/>
            </w:pPr>
            <w:r>
              <w:t>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w:t>
            </w:r>
            <w:r>
              <w:rPr>
                <w:rFonts w:hint="eastAsia"/>
              </w:rPr>
              <w:t>年公用类项目</w:t>
            </w:r>
          </w:p>
        </w:tc>
        <w:tc>
          <w:tcPr>
            <w:tcW w:w="964" w:type="dxa"/>
            <w:vAlign w:val="center"/>
          </w:tcPr>
          <w:p>
            <w:pPr>
              <w:pStyle w:val="13"/>
            </w:pPr>
            <w:r>
              <w:t>60.78</w:t>
            </w:r>
          </w:p>
        </w:tc>
        <w:tc>
          <w:tcPr>
            <w:tcW w:w="1134" w:type="dxa"/>
            <w:vAlign w:val="center"/>
          </w:tcPr>
          <w:p>
            <w:pPr>
              <w:pStyle w:val="14"/>
            </w:pPr>
            <w:r>
              <w:rPr>
                <w:rFonts w:hint="eastAsia"/>
              </w:rPr>
              <w:t>复印机</w:t>
            </w:r>
          </w:p>
        </w:tc>
        <w:tc>
          <w:tcPr>
            <w:tcW w:w="1134" w:type="dxa"/>
            <w:vAlign w:val="center"/>
          </w:tcPr>
          <w:p>
            <w:pPr>
              <w:pStyle w:val="14"/>
            </w:pPr>
            <w:r>
              <w:t>A020201</w:t>
            </w:r>
          </w:p>
        </w:tc>
        <w:tc>
          <w:tcPr>
            <w:tcW w:w="709" w:type="dxa"/>
            <w:vAlign w:val="center"/>
          </w:tcPr>
          <w:p>
            <w:pPr>
              <w:pStyle w:val="15"/>
            </w:pPr>
            <w:r>
              <w:rPr>
                <w:rFonts w:hint="eastAsia"/>
              </w:rP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w:t>
            </w:r>
            <w:r>
              <w:rPr>
                <w:rFonts w:hint="eastAsia"/>
              </w:rPr>
              <w:t>年公用类项目</w:t>
            </w:r>
          </w:p>
        </w:tc>
        <w:tc>
          <w:tcPr>
            <w:tcW w:w="964" w:type="dxa"/>
            <w:vAlign w:val="center"/>
          </w:tcPr>
          <w:p>
            <w:pPr>
              <w:pStyle w:val="13"/>
            </w:pPr>
            <w:r>
              <w:t>60.78</w:t>
            </w:r>
          </w:p>
        </w:tc>
        <w:tc>
          <w:tcPr>
            <w:tcW w:w="1134" w:type="dxa"/>
            <w:vAlign w:val="center"/>
          </w:tcPr>
          <w:p>
            <w:pPr>
              <w:pStyle w:val="14"/>
            </w:pPr>
            <w:r>
              <w:rPr>
                <w:rFonts w:hint="eastAsia"/>
              </w:rPr>
              <w:t>多功能一体机</w:t>
            </w:r>
          </w:p>
        </w:tc>
        <w:tc>
          <w:tcPr>
            <w:tcW w:w="1134" w:type="dxa"/>
            <w:vAlign w:val="center"/>
          </w:tcPr>
          <w:p>
            <w:pPr>
              <w:pStyle w:val="14"/>
            </w:pPr>
            <w:r>
              <w:t>A020204</w:t>
            </w:r>
          </w:p>
        </w:tc>
        <w:tc>
          <w:tcPr>
            <w:tcW w:w="709" w:type="dxa"/>
            <w:vAlign w:val="center"/>
          </w:tcPr>
          <w:p>
            <w:pPr>
              <w:pStyle w:val="15"/>
            </w:pPr>
            <w:r>
              <w:rPr>
                <w:rFonts w:hint="eastAsia"/>
              </w:rPr>
              <w:t>台</w:t>
            </w:r>
          </w:p>
        </w:tc>
        <w:tc>
          <w:tcPr>
            <w:tcW w:w="850" w:type="dxa"/>
            <w:vAlign w:val="center"/>
          </w:tcPr>
          <w:p>
            <w:pPr>
              <w:pStyle w:val="13"/>
            </w:pPr>
            <w:r>
              <w:t>4</w:t>
            </w:r>
          </w:p>
        </w:tc>
        <w:tc>
          <w:tcPr>
            <w:tcW w:w="850" w:type="dxa"/>
            <w:vAlign w:val="center"/>
          </w:tcPr>
          <w:p>
            <w:pPr>
              <w:pStyle w:val="13"/>
            </w:pPr>
            <w:r>
              <w:t>0.20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w:t>
            </w:r>
            <w:r>
              <w:rPr>
                <w:rFonts w:hint="eastAsia"/>
              </w:rPr>
              <w:t>年公用类项目</w:t>
            </w:r>
          </w:p>
        </w:tc>
        <w:tc>
          <w:tcPr>
            <w:tcW w:w="964" w:type="dxa"/>
            <w:vAlign w:val="center"/>
          </w:tcPr>
          <w:p>
            <w:pPr>
              <w:pStyle w:val="13"/>
            </w:pPr>
            <w:r>
              <w:t>60.78</w:t>
            </w:r>
          </w:p>
        </w:tc>
        <w:tc>
          <w:tcPr>
            <w:tcW w:w="1134" w:type="dxa"/>
            <w:vAlign w:val="center"/>
          </w:tcPr>
          <w:p>
            <w:pPr>
              <w:pStyle w:val="14"/>
            </w:pPr>
            <w:r>
              <w:rPr>
                <w:rFonts w:hint="eastAsia"/>
              </w:rPr>
              <w:t>其他办公设备</w:t>
            </w:r>
          </w:p>
        </w:tc>
        <w:tc>
          <w:tcPr>
            <w:tcW w:w="1134" w:type="dxa"/>
            <w:vAlign w:val="center"/>
          </w:tcPr>
          <w:p>
            <w:pPr>
              <w:pStyle w:val="14"/>
            </w:pPr>
            <w:r>
              <w:t>A020299</w:t>
            </w:r>
          </w:p>
        </w:tc>
        <w:tc>
          <w:tcPr>
            <w:tcW w:w="709" w:type="dxa"/>
            <w:vAlign w:val="center"/>
          </w:tcPr>
          <w:p>
            <w:pPr>
              <w:pStyle w:val="15"/>
            </w:pPr>
            <w:r>
              <w:rPr>
                <w:rFonts w:hint="eastAsia"/>
              </w:rPr>
              <w:t>组</w:t>
            </w:r>
          </w:p>
        </w:tc>
        <w:tc>
          <w:tcPr>
            <w:tcW w:w="850" w:type="dxa"/>
            <w:vAlign w:val="center"/>
          </w:tcPr>
          <w:p>
            <w:pPr>
              <w:pStyle w:val="13"/>
            </w:pPr>
            <w:r>
              <w:t>12</w:t>
            </w:r>
          </w:p>
        </w:tc>
        <w:tc>
          <w:tcPr>
            <w:tcW w:w="850" w:type="dxa"/>
            <w:vAlign w:val="center"/>
          </w:tcPr>
          <w:p>
            <w:pPr>
              <w:pStyle w:val="13"/>
            </w:pPr>
            <w:r>
              <w:t>0.10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中共魏县县委机关事务管理局（含所属单位）上年末固定资产金额为</w:t>
      </w:r>
      <w:r>
        <w:rPr>
          <w:rFonts w:eastAsia="方正仿宋_GBK"/>
          <w:color w:val="000000"/>
          <w:sz w:val="28"/>
        </w:rPr>
        <w:t>5615.02</w:t>
      </w:r>
      <w:r>
        <w:rPr>
          <w:rFonts w:hint="eastAsia" w:eastAsia="方正仿宋_GBK"/>
          <w:color w:val="000000"/>
          <w:sz w:val="28"/>
        </w:rPr>
        <w:t>万元（详见下表）。本年度拟购置固定资产总额为</w:t>
      </w:r>
      <w:r>
        <w:rPr>
          <w:rFonts w:eastAsia="方正仿宋_GBK"/>
          <w:color w:val="000000"/>
          <w:sz w:val="28"/>
          <w:lang w:eastAsia="zh-CN"/>
        </w:rPr>
        <w:t>4</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430</w:t>
            </w:r>
            <w:r>
              <w:rPr>
                <w:rFonts w:hint="eastAsia"/>
              </w:rPr>
              <w:t>中共魏县县委机关事务管理局</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5615.02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23351.66</w:t>
            </w:r>
          </w:p>
        </w:tc>
        <w:tc>
          <w:tcPr>
            <w:tcW w:w="2835" w:type="dxa"/>
            <w:vAlign w:val="center"/>
          </w:tcPr>
          <w:p>
            <w:pPr>
              <w:pStyle w:val="13"/>
            </w:pPr>
            <w:r>
              <w:t>4245.09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1554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3</w:t>
            </w:r>
          </w:p>
        </w:tc>
        <w:tc>
          <w:tcPr>
            <w:tcW w:w="2835" w:type="dxa"/>
            <w:vAlign w:val="center"/>
          </w:tcPr>
          <w:p>
            <w:pPr>
              <w:pStyle w:val="13"/>
            </w:pPr>
            <w:r>
              <w:t>96.59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1273.34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8A1915"/>
    <w:rsid w:val="00194348"/>
    <w:rsid w:val="002C4473"/>
    <w:rsid w:val="00343A94"/>
    <w:rsid w:val="007218E6"/>
    <w:rsid w:val="008A1915"/>
    <w:rsid w:val="008D7110"/>
    <w:rsid w:val="009A2BA0"/>
    <w:rsid w:val="00AE5A39"/>
    <w:rsid w:val="00AF65DE"/>
    <w:rsid w:val="00BC214B"/>
    <w:rsid w:val="00DE6870"/>
    <w:rsid w:val="00DE723E"/>
    <w:rsid w:val="00F22648"/>
    <w:rsid w:val="054629AA"/>
    <w:rsid w:val="0DC11F64"/>
    <w:rsid w:val="655E1E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uiPriority w:val="99"/>
    <w:pPr>
      <w:spacing w:before="120"/>
      <w:ind w:firstLine="560"/>
    </w:pPr>
    <w:rPr>
      <w:rFonts w:eastAsia="方正仿宋_GBK"/>
      <w:color w:val="000000"/>
      <w:sz w:val="28"/>
    </w:rPr>
  </w:style>
  <w:style w:type="paragraph" w:styleId="4">
    <w:name w:val="toc 4"/>
    <w:basedOn w:val="1"/>
    <w:uiPriority w:val="99"/>
    <w:pPr>
      <w:ind w:left="720"/>
    </w:pPr>
  </w:style>
  <w:style w:type="paragraph" w:styleId="5">
    <w:name w:val="toc 2"/>
    <w:basedOn w:val="1"/>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uiPriority w:val="99"/>
    <w:pPr>
      <w:jc w:val="center"/>
    </w:pPr>
    <w:rPr>
      <w:rFonts w:ascii="方正书宋_GBK" w:hAnsi="方正书宋_GBK" w:eastAsia="方正书宋_GBK" w:cs="方正书宋_GBK"/>
      <w:b/>
      <w:sz w:val="21"/>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2"/>
    <w:basedOn w:val="1"/>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单元格样式23"/>
    <w:basedOn w:val="1"/>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23</Pages>
  <Words>1601</Words>
  <Characters>9126</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2022-03-16T20:30:00Z</dcterms:created>
  <dc:creator>信息化办</dc:creator>
  <cp:lastModifiedBy>信息化办</cp:lastModifiedBy>
  <dcterms:modified xsi:type="dcterms:W3CDTF">2024-01-29T08:13:15Z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A20797A410D74997BE45E08813B06CE2_12</vt:lpwstr>
  </property>
</Properties>
</file>