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Toc_4_4_0000000019"/>
      <w:r>
        <w:rPr>
          <w:rFonts w:ascii="黑体" w:hAnsi="黑体" w:eastAsia="黑体" w:cs="黑体"/>
          <w:b/>
          <w:color w:val="000000"/>
          <w:sz w:val="44"/>
        </w:rPr>
        <w:t>2022年部门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jc w:val="center"/>
        <w:rPr>
          <w:lang w:eastAsia="zh-CN"/>
        </w:rPr>
      </w:pP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w:t>
      </w:r>
      <w:r>
        <w:rPr>
          <w:rFonts w:hint="eastAsia"/>
          <w:lang w:eastAsia="zh-CN"/>
        </w:rPr>
        <w:t>魏县东代固镇人民政府</w:t>
      </w:r>
      <w:r>
        <w:t>本级收支预算</w:t>
      </w:r>
      <w:r>
        <w:tab/>
      </w:r>
      <w:r>
        <w:rPr>
          <w:rFonts w:hint="eastAsia"/>
          <w:lang w:eastAsia="zh-CN"/>
        </w:rPr>
        <w:t>1</w:t>
      </w:r>
      <w:r>
        <w:rPr>
          <w:rFonts w:hint="eastAsia"/>
          <w:lang w:eastAsia="zh-CN"/>
        </w:rPr>
        <w:fldChar w:fldCharType="end"/>
      </w:r>
    </w:p>
    <w:p>
      <w:pPr>
        <w:jc w:val="center"/>
        <w:outlineLvl w:val="3"/>
        <w:rPr>
          <w:rFonts w:ascii="方正小标宋_GBK" w:hAnsi="方正小标宋_GBK" w:eastAsia="方正小标宋_GBK" w:cs="方正小标宋_GBK"/>
          <w:color w:val="000000"/>
          <w:sz w:val="44"/>
        </w:rPr>
      </w:pPr>
      <w:r>
        <w:fldChar w:fldCharType="end"/>
      </w: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rPr>
          <w:rFonts w:eastAsia="方正小标宋_GBK"/>
          <w:lang w:eastAsia="zh-CN"/>
        </w:r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部门</w:t>
      </w:r>
      <w:r>
        <w:rPr>
          <w:rFonts w:hint="eastAsia" w:ascii="方正小标宋_GBK" w:hAnsi="方正小标宋_GBK" w:eastAsia="方正小标宋_GBK" w:cs="方正小标宋_GBK"/>
          <w:color w:val="000000"/>
          <w:sz w:val="72"/>
          <w:lang w:eastAsia="zh-CN"/>
        </w:rPr>
        <w:t>所属单位</w:t>
      </w:r>
      <w:r>
        <w:rPr>
          <w:rFonts w:ascii="方正小标宋_GBK" w:hAnsi="方正小标宋_GBK" w:eastAsia="方正小标宋_GBK" w:cs="方正小标宋_GBK"/>
          <w:color w:val="000000"/>
          <w:sz w:val="72"/>
        </w:rPr>
        <w:t>预</w:t>
      </w:r>
      <w:r>
        <w:rPr>
          <w:rFonts w:hint="eastAsia" w:ascii="方正小标宋_GBK" w:hAnsi="方正小标宋_GBK" w:eastAsia="方正小标宋_GBK" w:cs="方正小标宋_GBK"/>
          <w:color w:val="000000"/>
          <w:sz w:val="72"/>
          <w:lang w:eastAsia="zh-CN"/>
        </w:rPr>
        <w:t>算</w:t>
      </w:r>
    </w:p>
    <w:p>
      <w:pPr>
        <w:jc w:val="both"/>
        <w:outlineLvl w:val="3"/>
        <w:rPr>
          <w:rFonts w:ascii="方正小标宋_GBK" w:hAnsi="方正小标宋_GBK" w:eastAsia="方正小标宋_GBK" w:cs="方正小标宋_GBK"/>
          <w:color w:val="000000"/>
          <w:sz w:val="44"/>
        </w:rPr>
      </w:pPr>
    </w:p>
    <w:p>
      <w:pPr>
        <w:jc w:val="center"/>
        <w:outlineLvl w:val="3"/>
      </w:pPr>
      <w:r>
        <w:rPr>
          <w:rFonts w:ascii="方正小标宋_GBK" w:hAnsi="方正小标宋_GBK" w:eastAsia="方正小标宋_GBK" w:cs="方正小标宋_GBK"/>
          <w:color w:val="000000"/>
          <w:sz w:val="44"/>
        </w:rPr>
        <w:t>一、魏县东代固镇人民政府本级收支预算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579.18</w:t>
            </w:r>
          </w:p>
        </w:tc>
        <w:tc>
          <w:tcPr>
            <w:tcW w:w="4535" w:type="dxa"/>
            <w:vAlign w:val="center"/>
          </w:tcPr>
          <w:p>
            <w:pPr>
              <w:pStyle w:val="12"/>
            </w:pPr>
            <w:r>
              <w:t>一、一般公共服务支出</w:t>
            </w:r>
          </w:p>
        </w:tc>
        <w:tc>
          <w:tcPr>
            <w:tcW w:w="2126" w:type="dxa"/>
            <w:vAlign w:val="center"/>
          </w:tcPr>
          <w:p>
            <w:pPr>
              <w:pStyle w:val="13"/>
            </w:pPr>
            <w:r>
              <w:t>345.85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13.12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215.42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579.18</w:t>
            </w:r>
          </w:p>
        </w:tc>
        <w:tc>
          <w:tcPr>
            <w:tcW w:w="4535" w:type="dxa"/>
            <w:vAlign w:val="center"/>
          </w:tcPr>
          <w:p>
            <w:pPr>
              <w:pStyle w:val="14"/>
            </w:pPr>
            <w:r>
              <w:t>本年支出合计</w:t>
            </w:r>
          </w:p>
        </w:tc>
        <w:tc>
          <w:tcPr>
            <w:tcW w:w="2126" w:type="dxa"/>
            <w:vAlign w:val="center"/>
          </w:tcPr>
          <w:p>
            <w:pPr>
              <w:pStyle w:val="15"/>
            </w:pPr>
            <w:r>
              <w:t>579.18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579.18</w:t>
            </w:r>
          </w:p>
        </w:tc>
        <w:tc>
          <w:tcPr>
            <w:tcW w:w="4535" w:type="dxa"/>
            <w:vAlign w:val="center"/>
          </w:tcPr>
          <w:p>
            <w:pPr>
              <w:pStyle w:val="14"/>
            </w:pPr>
            <w:r>
              <w:t>支出总计</w:t>
            </w:r>
          </w:p>
        </w:tc>
        <w:tc>
          <w:tcPr>
            <w:tcW w:w="2126" w:type="dxa"/>
            <w:vAlign w:val="center"/>
          </w:tcPr>
          <w:p>
            <w:pPr>
              <w:pStyle w:val="15"/>
            </w:pPr>
            <w:r>
              <w:t>579.18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579.18</w:t>
            </w:r>
          </w:p>
        </w:tc>
        <w:tc>
          <w:tcPr>
            <w:tcW w:w="1134" w:type="dxa"/>
            <w:vAlign w:val="center"/>
          </w:tcPr>
          <w:p>
            <w:pPr>
              <w:pStyle w:val="15"/>
            </w:pPr>
            <w:r>
              <w:t>579.18</w:t>
            </w:r>
          </w:p>
        </w:tc>
        <w:tc>
          <w:tcPr>
            <w:tcW w:w="1134" w:type="dxa"/>
            <w:vAlign w:val="center"/>
          </w:tcPr>
          <w:p>
            <w:pPr>
              <w:pStyle w:val="15"/>
            </w:pPr>
            <w:r>
              <w:t>579.18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r>
              <w:t>345.85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2101199</w:t>
            </w:r>
          </w:p>
        </w:tc>
        <w:tc>
          <w:tcPr>
            <w:tcW w:w="1559" w:type="dxa"/>
            <w:vAlign w:val="center"/>
          </w:tcPr>
          <w:p>
            <w:pPr>
              <w:pStyle w:val="12"/>
            </w:pPr>
            <w:r>
              <w:t>其他行政事业单位医疗支出</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r>
              <w:t>13.12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r>
              <w:t>215.42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579.18</w:t>
            </w:r>
          </w:p>
        </w:tc>
        <w:tc>
          <w:tcPr>
            <w:tcW w:w="1361" w:type="dxa"/>
            <w:vAlign w:val="center"/>
          </w:tcPr>
          <w:p>
            <w:pPr>
              <w:pStyle w:val="15"/>
            </w:pPr>
            <w:r>
              <w:t>267.44</w:t>
            </w:r>
          </w:p>
        </w:tc>
        <w:tc>
          <w:tcPr>
            <w:tcW w:w="1361" w:type="dxa"/>
            <w:vAlign w:val="center"/>
          </w:tcPr>
          <w:p>
            <w:pPr>
              <w:pStyle w:val="15"/>
            </w:pPr>
            <w:r>
              <w:t>311.74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3"/>
            </w:pPr>
            <w:r>
              <w:t>345.85</w:t>
            </w:r>
          </w:p>
        </w:tc>
        <w:tc>
          <w:tcPr>
            <w:tcW w:w="1361" w:type="dxa"/>
            <w:vAlign w:val="center"/>
          </w:tcPr>
          <w:p>
            <w:pPr>
              <w:pStyle w:val="13"/>
            </w:pPr>
            <w:r>
              <w:t>249.53</w:t>
            </w:r>
          </w:p>
        </w:tc>
        <w:tc>
          <w:tcPr>
            <w:tcW w:w="1361" w:type="dxa"/>
            <w:vAlign w:val="center"/>
          </w:tcPr>
          <w:p>
            <w:pPr>
              <w:pStyle w:val="13"/>
            </w:pPr>
            <w:r>
              <w:t>96.32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3"/>
            </w:pPr>
            <w:r>
              <w:t>345.85</w:t>
            </w:r>
          </w:p>
        </w:tc>
        <w:tc>
          <w:tcPr>
            <w:tcW w:w="1361" w:type="dxa"/>
            <w:vAlign w:val="center"/>
          </w:tcPr>
          <w:p>
            <w:pPr>
              <w:pStyle w:val="13"/>
            </w:pPr>
            <w:r>
              <w:t>249.53</w:t>
            </w:r>
          </w:p>
        </w:tc>
        <w:tc>
          <w:tcPr>
            <w:tcW w:w="1361" w:type="dxa"/>
            <w:vAlign w:val="center"/>
          </w:tcPr>
          <w:p>
            <w:pPr>
              <w:pStyle w:val="13"/>
            </w:pPr>
            <w:r>
              <w:t>96.32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3"/>
            </w:pPr>
            <w:r>
              <w:t>345.85</w:t>
            </w:r>
          </w:p>
        </w:tc>
        <w:tc>
          <w:tcPr>
            <w:tcW w:w="1361" w:type="dxa"/>
            <w:vAlign w:val="center"/>
          </w:tcPr>
          <w:p>
            <w:pPr>
              <w:pStyle w:val="13"/>
            </w:pPr>
            <w:r>
              <w:t>249.53</w:t>
            </w:r>
          </w:p>
        </w:tc>
        <w:tc>
          <w:tcPr>
            <w:tcW w:w="1361" w:type="dxa"/>
            <w:vAlign w:val="center"/>
          </w:tcPr>
          <w:p>
            <w:pPr>
              <w:pStyle w:val="13"/>
            </w:pPr>
            <w:r>
              <w:t>96.32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13.12</w:t>
            </w:r>
          </w:p>
        </w:tc>
        <w:tc>
          <w:tcPr>
            <w:tcW w:w="1361" w:type="dxa"/>
            <w:vAlign w:val="center"/>
          </w:tcPr>
          <w:p>
            <w:pPr>
              <w:pStyle w:val="13"/>
            </w:pPr>
            <w:r>
              <w:t>13.12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13.12</w:t>
            </w:r>
          </w:p>
        </w:tc>
        <w:tc>
          <w:tcPr>
            <w:tcW w:w="1361" w:type="dxa"/>
            <w:vAlign w:val="center"/>
          </w:tcPr>
          <w:p>
            <w:pPr>
              <w:pStyle w:val="13"/>
            </w:pPr>
            <w:r>
              <w:t>13.12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2101199</w:t>
            </w:r>
          </w:p>
        </w:tc>
        <w:tc>
          <w:tcPr>
            <w:tcW w:w="4535" w:type="dxa"/>
            <w:vAlign w:val="center"/>
          </w:tcPr>
          <w:p>
            <w:pPr>
              <w:pStyle w:val="12"/>
            </w:pPr>
            <w:r>
              <w:t>其他行政事业单位医疗支出</w:t>
            </w:r>
          </w:p>
        </w:tc>
        <w:tc>
          <w:tcPr>
            <w:tcW w:w="1361" w:type="dxa"/>
            <w:vAlign w:val="center"/>
          </w:tcPr>
          <w:p>
            <w:pPr>
              <w:pStyle w:val="13"/>
            </w:pPr>
            <w:r>
              <w:t>13.12</w:t>
            </w:r>
          </w:p>
        </w:tc>
        <w:tc>
          <w:tcPr>
            <w:tcW w:w="1361" w:type="dxa"/>
            <w:vAlign w:val="center"/>
          </w:tcPr>
          <w:p>
            <w:pPr>
              <w:pStyle w:val="13"/>
            </w:pPr>
            <w:r>
              <w:t>13.12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r>
              <w:t>215.42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579.18</w:t>
            </w:r>
          </w:p>
        </w:tc>
        <w:tc>
          <w:tcPr>
            <w:tcW w:w="3402" w:type="dxa"/>
            <w:vAlign w:val="center"/>
          </w:tcPr>
          <w:p>
            <w:pPr>
              <w:pStyle w:val="12"/>
            </w:pPr>
            <w:r>
              <w:t>一、一般公共服务支出</w:t>
            </w:r>
          </w:p>
        </w:tc>
        <w:tc>
          <w:tcPr>
            <w:tcW w:w="1474" w:type="dxa"/>
            <w:vAlign w:val="center"/>
          </w:tcPr>
          <w:p>
            <w:pPr>
              <w:pStyle w:val="13"/>
            </w:pPr>
            <w:r>
              <w:t>345.85</w:t>
            </w:r>
          </w:p>
        </w:tc>
        <w:tc>
          <w:tcPr>
            <w:tcW w:w="1474" w:type="dxa"/>
            <w:vAlign w:val="center"/>
          </w:tcPr>
          <w:p>
            <w:pPr>
              <w:pStyle w:val="13"/>
            </w:pPr>
            <w:r>
              <w:t>345.85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4.79</w:t>
            </w:r>
          </w:p>
        </w:tc>
        <w:tc>
          <w:tcPr>
            <w:tcW w:w="1474" w:type="dxa"/>
            <w:vAlign w:val="center"/>
          </w:tcPr>
          <w:p>
            <w:pPr>
              <w:pStyle w:val="13"/>
            </w:pPr>
            <w:r>
              <w:t>4.79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13.12</w:t>
            </w:r>
          </w:p>
        </w:tc>
        <w:tc>
          <w:tcPr>
            <w:tcW w:w="1474" w:type="dxa"/>
            <w:vAlign w:val="center"/>
          </w:tcPr>
          <w:p>
            <w:pPr>
              <w:pStyle w:val="13"/>
            </w:pPr>
            <w:r>
              <w:t>13.12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215.42</w:t>
            </w:r>
          </w:p>
        </w:tc>
        <w:tc>
          <w:tcPr>
            <w:tcW w:w="1474" w:type="dxa"/>
            <w:vAlign w:val="center"/>
          </w:tcPr>
          <w:p>
            <w:pPr>
              <w:pStyle w:val="13"/>
            </w:pPr>
            <w:r>
              <w:t>215.42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579.18</w:t>
            </w:r>
          </w:p>
        </w:tc>
        <w:tc>
          <w:tcPr>
            <w:tcW w:w="3402" w:type="dxa"/>
            <w:vAlign w:val="center"/>
          </w:tcPr>
          <w:p>
            <w:pPr>
              <w:pStyle w:val="14"/>
            </w:pPr>
            <w:r>
              <w:t>本年支出合计</w:t>
            </w:r>
          </w:p>
        </w:tc>
        <w:tc>
          <w:tcPr>
            <w:tcW w:w="1474" w:type="dxa"/>
            <w:vAlign w:val="center"/>
          </w:tcPr>
          <w:p>
            <w:pPr>
              <w:pStyle w:val="15"/>
            </w:pPr>
            <w:r>
              <w:t>579.18</w:t>
            </w:r>
          </w:p>
        </w:tc>
        <w:tc>
          <w:tcPr>
            <w:tcW w:w="1474" w:type="dxa"/>
            <w:vAlign w:val="center"/>
          </w:tcPr>
          <w:p>
            <w:pPr>
              <w:pStyle w:val="15"/>
            </w:pPr>
            <w:r>
              <w:t>579.18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579.18</w:t>
            </w:r>
          </w:p>
        </w:tc>
        <w:tc>
          <w:tcPr>
            <w:tcW w:w="3402" w:type="dxa"/>
            <w:vAlign w:val="center"/>
          </w:tcPr>
          <w:p>
            <w:pPr>
              <w:pStyle w:val="14"/>
            </w:pPr>
            <w:r>
              <w:t>支出总计</w:t>
            </w:r>
          </w:p>
        </w:tc>
        <w:tc>
          <w:tcPr>
            <w:tcW w:w="1474" w:type="dxa"/>
            <w:vAlign w:val="center"/>
          </w:tcPr>
          <w:p>
            <w:pPr>
              <w:pStyle w:val="15"/>
            </w:pPr>
            <w:r>
              <w:t>579.18</w:t>
            </w:r>
          </w:p>
        </w:tc>
        <w:tc>
          <w:tcPr>
            <w:tcW w:w="1474" w:type="dxa"/>
            <w:vAlign w:val="center"/>
          </w:tcPr>
          <w:p>
            <w:pPr>
              <w:pStyle w:val="15"/>
            </w:pPr>
            <w:r>
              <w:t>579.18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579.18</w:t>
            </w:r>
          </w:p>
        </w:tc>
        <w:tc>
          <w:tcPr>
            <w:tcW w:w="2551" w:type="dxa"/>
            <w:vAlign w:val="center"/>
          </w:tcPr>
          <w:p>
            <w:pPr>
              <w:pStyle w:val="15"/>
            </w:pPr>
            <w:r>
              <w:t>267.44</w:t>
            </w:r>
          </w:p>
        </w:tc>
        <w:tc>
          <w:tcPr>
            <w:tcW w:w="2551" w:type="dxa"/>
            <w:vAlign w:val="center"/>
          </w:tcPr>
          <w:p>
            <w:pPr>
              <w:pStyle w:val="15"/>
            </w:pPr>
            <w:r>
              <w:t>311.74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345.85</w:t>
            </w:r>
          </w:p>
        </w:tc>
        <w:tc>
          <w:tcPr>
            <w:tcW w:w="2551" w:type="dxa"/>
            <w:vAlign w:val="center"/>
          </w:tcPr>
          <w:p>
            <w:pPr>
              <w:pStyle w:val="13"/>
            </w:pPr>
            <w:r>
              <w:t>249.53</w:t>
            </w:r>
          </w:p>
        </w:tc>
        <w:tc>
          <w:tcPr>
            <w:tcW w:w="2551" w:type="dxa"/>
            <w:vAlign w:val="center"/>
          </w:tcPr>
          <w:p>
            <w:pPr>
              <w:pStyle w:val="13"/>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3"/>
            </w:pPr>
            <w:r>
              <w:t>345.85</w:t>
            </w:r>
          </w:p>
        </w:tc>
        <w:tc>
          <w:tcPr>
            <w:tcW w:w="2551" w:type="dxa"/>
            <w:vAlign w:val="center"/>
          </w:tcPr>
          <w:p>
            <w:pPr>
              <w:pStyle w:val="13"/>
            </w:pPr>
            <w:r>
              <w:t>249.53</w:t>
            </w:r>
          </w:p>
        </w:tc>
        <w:tc>
          <w:tcPr>
            <w:tcW w:w="2551" w:type="dxa"/>
            <w:vAlign w:val="center"/>
          </w:tcPr>
          <w:p>
            <w:pPr>
              <w:pStyle w:val="13"/>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3"/>
            </w:pPr>
            <w:r>
              <w:t>345.85</w:t>
            </w:r>
          </w:p>
        </w:tc>
        <w:tc>
          <w:tcPr>
            <w:tcW w:w="2551" w:type="dxa"/>
            <w:vAlign w:val="center"/>
          </w:tcPr>
          <w:p>
            <w:pPr>
              <w:pStyle w:val="13"/>
            </w:pPr>
            <w:r>
              <w:t>249.53</w:t>
            </w:r>
          </w:p>
        </w:tc>
        <w:tc>
          <w:tcPr>
            <w:tcW w:w="2551" w:type="dxa"/>
            <w:vAlign w:val="center"/>
          </w:tcPr>
          <w:p>
            <w:pPr>
              <w:pStyle w:val="13"/>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13.12</w:t>
            </w:r>
          </w:p>
        </w:tc>
        <w:tc>
          <w:tcPr>
            <w:tcW w:w="2551" w:type="dxa"/>
            <w:vAlign w:val="center"/>
          </w:tcPr>
          <w:p>
            <w:pPr>
              <w:pStyle w:val="13"/>
            </w:pPr>
            <w:r>
              <w:t>13.12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13.12</w:t>
            </w:r>
          </w:p>
        </w:tc>
        <w:tc>
          <w:tcPr>
            <w:tcW w:w="2551" w:type="dxa"/>
            <w:vAlign w:val="center"/>
          </w:tcPr>
          <w:p>
            <w:pPr>
              <w:pStyle w:val="13"/>
            </w:pPr>
            <w:r>
              <w:t>13.12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2101199</w:t>
            </w:r>
          </w:p>
        </w:tc>
        <w:tc>
          <w:tcPr>
            <w:tcW w:w="4535" w:type="dxa"/>
            <w:vAlign w:val="center"/>
          </w:tcPr>
          <w:p>
            <w:pPr>
              <w:pStyle w:val="12"/>
            </w:pPr>
            <w:r>
              <w:t>其他行政事业单位医疗支出</w:t>
            </w:r>
          </w:p>
        </w:tc>
        <w:tc>
          <w:tcPr>
            <w:tcW w:w="2551" w:type="dxa"/>
            <w:vAlign w:val="center"/>
          </w:tcPr>
          <w:p>
            <w:pPr>
              <w:pStyle w:val="13"/>
            </w:pPr>
            <w:r>
              <w:t>13.12</w:t>
            </w:r>
          </w:p>
        </w:tc>
        <w:tc>
          <w:tcPr>
            <w:tcW w:w="2551" w:type="dxa"/>
            <w:vAlign w:val="center"/>
          </w:tcPr>
          <w:p>
            <w:pPr>
              <w:pStyle w:val="13"/>
            </w:pPr>
            <w:r>
              <w:t>13.12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215.42</w:t>
            </w:r>
          </w:p>
        </w:tc>
        <w:tc>
          <w:tcPr>
            <w:tcW w:w="2551" w:type="dxa"/>
            <w:vAlign w:val="center"/>
          </w:tcPr>
          <w:p>
            <w:pPr>
              <w:pStyle w:val="13"/>
            </w:pPr>
          </w:p>
        </w:tc>
        <w:tc>
          <w:tcPr>
            <w:tcW w:w="2551" w:type="dxa"/>
            <w:vAlign w:val="center"/>
          </w:tcPr>
          <w:p>
            <w:pPr>
              <w:pStyle w:val="13"/>
            </w:pPr>
            <w:r>
              <w:t>215.42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3"/>
            </w:pPr>
            <w:r>
              <w:t>215.42</w:t>
            </w:r>
          </w:p>
        </w:tc>
        <w:tc>
          <w:tcPr>
            <w:tcW w:w="2551" w:type="dxa"/>
            <w:vAlign w:val="center"/>
          </w:tcPr>
          <w:p>
            <w:pPr>
              <w:pStyle w:val="13"/>
            </w:pPr>
          </w:p>
        </w:tc>
        <w:tc>
          <w:tcPr>
            <w:tcW w:w="2551" w:type="dxa"/>
            <w:vAlign w:val="center"/>
          </w:tcPr>
          <w:p>
            <w:pPr>
              <w:pStyle w:val="13"/>
            </w:pPr>
            <w:r>
              <w:t>215.42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3"/>
            </w:pPr>
            <w:r>
              <w:t>215.42</w:t>
            </w:r>
          </w:p>
        </w:tc>
        <w:tc>
          <w:tcPr>
            <w:tcW w:w="2551" w:type="dxa"/>
            <w:vAlign w:val="center"/>
          </w:tcPr>
          <w:p>
            <w:pPr>
              <w:pStyle w:val="13"/>
            </w:pPr>
          </w:p>
        </w:tc>
        <w:tc>
          <w:tcPr>
            <w:tcW w:w="2551" w:type="dxa"/>
            <w:vAlign w:val="center"/>
          </w:tcPr>
          <w:p>
            <w:pPr>
              <w:pStyle w:val="13"/>
            </w:pPr>
            <w:r>
              <w:t>215.42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267.44</w:t>
            </w:r>
          </w:p>
        </w:tc>
        <w:tc>
          <w:tcPr>
            <w:tcW w:w="2551" w:type="dxa"/>
            <w:vAlign w:val="center"/>
          </w:tcPr>
          <w:p>
            <w:pPr>
              <w:pStyle w:val="15"/>
            </w:pPr>
            <w:r>
              <w:t>229.62</w:t>
            </w:r>
          </w:p>
        </w:tc>
        <w:tc>
          <w:tcPr>
            <w:tcW w:w="2551" w:type="dxa"/>
            <w:vAlign w:val="center"/>
          </w:tcPr>
          <w:p>
            <w:pPr>
              <w:pStyle w:val="15"/>
            </w:pPr>
            <w:r>
              <w:t>37.82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218.28</w:t>
            </w:r>
          </w:p>
        </w:tc>
        <w:tc>
          <w:tcPr>
            <w:tcW w:w="2551" w:type="dxa"/>
            <w:vAlign w:val="center"/>
          </w:tcPr>
          <w:p>
            <w:pPr>
              <w:pStyle w:val="13"/>
            </w:pPr>
            <w:r>
              <w:t>218.28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120.60</w:t>
            </w:r>
          </w:p>
        </w:tc>
        <w:tc>
          <w:tcPr>
            <w:tcW w:w="2551" w:type="dxa"/>
            <w:vAlign w:val="center"/>
          </w:tcPr>
          <w:p>
            <w:pPr>
              <w:pStyle w:val="13"/>
            </w:pPr>
            <w:r>
              <w:t>120.60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17.67</w:t>
            </w:r>
          </w:p>
        </w:tc>
        <w:tc>
          <w:tcPr>
            <w:tcW w:w="2551" w:type="dxa"/>
            <w:vAlign w:val="center"/>
          </w:tcPr>
          <w:p>
            <w:pPr>
              <w:pStyle w:val="13"/>
            </w:pPr>
            <w:r>
              <w:t>17.67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7.24</w:t>
            </w:r>
          </w:p>
        </w:tc>
        <w:tc>
          <w:tcPr>
            <w:tcW w:w="2551" w:type="dxa"/>
            <w:vAlign w:val="center"/>
          </w:tcPr>
          <w:p>
            <w:pPr>
              <w:pStyle w:val="13"/>
            </w:pPr>
            <w:r>
              <w:t>7.24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20.41</w:t>
            </w:r>
          </w:p>
        </w:tc>
        <w:tc>
          <w:tcPr>
            <w:tcW w:w="2551" w:type="dxa"/>
            <w:vAlign w:val="center"/>
          </w:tcPr>
          <w:p>
            <w:pPr>
              <w:pStyle w:val="13"/>
            </w:pPr>
            <w:r>
              <w:t>20.41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10.21</w:t>
            </w:r>
          </w:p>
        </w:tc>
        <w:tc>
          <w:tcPr>
            <w:tcW w:w="2551" w:type="dxa"/>
            <w:vAlign w:val="center"/>
          </w:tcPr>
          <w:p>
            <w:pPr>
              <w:pStyle w:val="13"/>
            </w:pPr>
            <w:r>
              <w:t>10.21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3"/>
            </w:pPr>
            <w:r>
              <w:t>13.12</w:t>
            </w:r>
          </w:p>
        </w:tc>
        <w:tc>
          <w:tcPr>
            <w:tcW w:w="2551" w:type="dxa"/>
            <w:vAlign w:val="center"/>
          </w:tcPr>
          <w:p>
            <w:pPr>
              <w:pStyle w:val="13"/>
            </w:pPr>
            <w:r>
              <w:t>13.12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29.03</w:t>
            </w:r>
          </w:p>
        </w:tc>
        <w:tc>
          <w:tcPr>
            <w:tcW w:w="2551" w:type="dxa"/>
            <w:vAlign w:val="center"/>
          </w:tcPr>
          <w:p>
            <w:pPr>
              <w:pStyle w:val="13"/>
            </w:pPr>
            <w:r>
              <w:t>29.03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37.82</w:t>
            </w:r>
          </w:p>
        </w:tc>
        <w:tc>
          <w:tcPr>
            <w:tcW w:w="2551" w:type="dxa"/>
            <w:vAlign w:val="center"/>
          </w:tcPr>
          <w:p>
            <w:pPr>
              <w:pStyle w:val="13"/>
            </w:pPr>
          </w:p>
        </w:tc>
        <w:tc>
          <w:tcPr>
            <w:tcW w:w="2551" w:type="dxa"/>
            <w:vAlign w:val="center"/>
          </w:tcPr>
          <w:p>
            <w:pPr>
              <w:pStyle w:val="13"/>
            </w:pPr>
            <w:r>
              <w:t>37.82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22.40</w:t>
            </w:r>
          </w:p>
        </w:tc>
        <w:tc>
          <w:tcPr>
            <w:tcW w:w="2551" w:type="dxa"/>
            <w:vAlign w:val="center"/>
          </w:tcPr>
          <w:p>
            <w:pPr>
              <w:pStyle w:val="13"/>
            </w:pPr>
          </w:p>
        </w:tc>
        <w:tc>
          <w:tcPr>
            <w:tcW w:w="2551" w:type="dxa"/>
            <w:vAlign w:val="center"/>
          </w:tcPr>
          <w:p>
            <w:pPr>
              <w:pStyle w:val="13"/>
            </w:pPr>
            <w:r>
              <w:t>22.40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15.42</w:t>
            </w:r>
          </w:p>
        </w:tc>
        <w:tc>
          <w:tcPr>
            <w:tcW w:w="2551" w:type="dxa"/>
            <w:vAlign w:val="center"/>
          </w:tcPr>
          <w:p>
            <w:pPr>
              <w:pStyle w:val="13"/>
            </w:pPr>
          </w:p>
        </w:tc>
        <w:tc>
          <w:tcPr>
            <w:tcW w:w="2551" w:type="dxa"/>
            <w:vAlign w:val="center"/>
          </w:tcPr>
          <w:p>
            <w:pPr>
              <w:pStyle w:val="13"/>
            </w:pPr>
            <w:r>
              <w:t>15.42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11.34</w:t>
            </w:r>
          </w:p>
        </w:tc>
        <w:tc>
          <w:tcPr>
            <w:tcW w:w="2551" w:type="dxa"/>
            <w:vAlign w:val="center"/>
          </w:tcPr>
          <w:p>
            <w:pPr>
              <w:pStyle w:val="13"/>
            </w:pPr>
            <w:r>
              <w:t>11.34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6.55</w:t>
            </w:r>
          </w:p>
        </w:tc>
        <w:tc>
          <w:tcPr>
            <w:tcW w:w="2551" w:type="dxa"/>
            <w:vAlign w:val="center"/>
          </w:tcPr>
          <w:p>
            <w:pPr>
              <w:pStyle w:val="13"/>
            </w:pPr>
            <w:r>
              <w:t>6.55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1" w:name="_Toc_2_2_0000000009"/>
      <w:r>
        <w:rPr>
          <w:rFonts w:hint="eastAsia" w:ascii="方正小标宋_GBK" w:hAnsi="方正小标宋_GBK" w:eastAsia="方正小标宋_GBK" w:cs="方正小标宋_GBK"/>
          <w:color w:val="000000"/>
          <w:sz w:val="36"/>
          <w:lang w:val="uk-UA" w:eastAsia="zh-CN"/>
        </w:rPr>
        <w:t>单位</w:t>
      </w:r>
      <w:r>
        <w:rPr>
          <w:rFonts w:ascii="方正小标宋_GBK" w:hAnsi="方正小标宋_GBK" w:eastAsia="方正小标宋_GBK" w:cs="方正小标宋_GBK"/>
          <w:color w:val="000000"/>
          <w:sz w:val="36"/>
          <w:lang w:val="uk-UA"/>
        </w:rPr>
        <w:t>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5"/>
        <w:gridCol w:w="3778"/>
        <w:gridCol w:w="2370"/>
        <w:gridCol w:w="2368"/>
        <w:gridCol w:w="2368"/>
        <w:gridCol w:w="23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tblHeader/>
          <w:jc w:val="center"/>
        </w:trPr>
        <w:tc>
          <w:tcPr>
            <w:tcW w:w="6993" w:type="dxa"/>
            <w:gridSpan w:val="3"/>
            <w:tcBorders>
              <w:top w:val="single" w:color="FFFFFF" w:sz="6" w:space="0"/>
              <w:left w:val="single" w:color="FFFFFF" w:sz="6" w:space="0"/>
              <w:bottom w:val="single" w:color="000000" w:sz="6" w:space="0"/>
              <w:right w:val="single" w:color="FFFFFF" w:sz="6" w:space="0"/>
            </w:tcBorders>
            <w:vAlign w:val="center"/>
          </w:tcPr>
          <w:p>
            <w:pPr>
              <w:pStyle w:val="7"/>
            </w:pPr>
            <w:r>
              <w:t>914001魏县东代固镇人民政府本级</w:t>
            </w:r>
          </w:p>
        </w:tc>
        <w:tc>
          <w:tcPr>
            <w:tcW w:w="2368" w:type="dxa"/>
            <w:tcBorders>
              <w:top w:val="single" w:color="FFFFFF" w:sz="6" w:space="0"/>
              <w:left w:val="single" w:color="FFFFFF" w:sz="6" w:space="0"/>
              <w:bottom w:val="single" w:color="000000" w:sz="6" w:space="0"/>
              <w:right w:val="single" w:color="FFFFFF" w:sz="6" w:space="0"/>
            </w:tcBorders>
            <w:vAlign w:val="center"/>
          </w:tcPr>
          <w:p>
            <w:pPr>
              <w:pStyle w:val="8"/>
              <w:rPr>
                <w:lang w:eastAsia="zh-CN"/>
              </w:rPr>
            </w:pPr>
            <w:r>
              <w:rPr>
                <w:lang w:val="uk-UA"/>
              </w:rPr>
              <w:t>预算年度：</w:t>
            </w:r>
            <w:r>
              <w:t>202</w:t>
            </w:r>
            <w:r>
              <w:rPr>
                <w:rFonts w:hint="eastAsia"/>
                <w:lang w:eastAsia="zh-CN"/>
              </w:rPr>
              <w:t>2</w:t>
            </w:r>
          </w:p>
        </w:tc>
        <w:tc>
          <w:tcPr>
            <w:tcW w:w="4737" w:type="dxa"/>
            <w:gridSpan w:val="2"/>
            <w:tcBorders>
              <w:top w:val="single" w:color="FFFFFF" w:sz="6" w:space="0"/>
              <w:left w:val="single" w:color="FFFFFF" w:sz="6" w:space="0"/>
              <w:bottom w:val="single" w:color="000000" w:sz="6" w:space="0"/>
              <w:right w:val="single" w:color="FFFFFF" w:sz="6" w:space="0"/>
            </w:tcBorders>
            <w:vAlign w:val="center"/>
          </w:tcPr>
          <w:p>
            <w:pPr>
              <w:pStyle w:val="9"/>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845" w:type="dxa"/>
            <w:vMerge w:val="restart"/>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序号</w:t>
            </w:r>
          </w:p>
        </w:tc>
        <w:tc>
          <w:tcPr>
            <w:tcW w:w="3778" w:type="dxa"/>
            <w:vMerge w:val="restart"/>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项</w:t>
            </w:r>
            <w:r>
              <w:t xml:space="preserve">  </w:t>
            </w:r>
            <w:r>
              <w:rPr>
                <w:lang w:val="uk-UA"/>
              </w:rPr>
              <w:t>目</w:t>
            </w:r>
          </w:p>
        </w:tc>
        <w:tc>
          <w:tcPr>
            <w:tcW w:w="9475" w:type="dxa"/>
            <w:gridSpan w:val="4"/>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tblHeader/>
          <w:jc w:val="center"/>
        </w:trPr>
        <w:tc>
          <w:tcPr>
            <w:tcW w:w="69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7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合计</w:t>
            </w: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一般公共预算</w:t>
            </w:r>
            <w:r>
              <w:t xml:space="preserve">              </w:t>
            </w:r>
            <w:r>
              <w:rPr>
                <w:lang w:val="uk-UA"/>
              </w:rPr>
              <w:t>财政拨款</w:t>
            </w: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政府性基金</w:t>
            </w:r>
            <w:r>
              <w:t xml:space="preserve">                  </w:t>
            </w:r>
            <w:r>
              <w:rPr>
                <w:lang w:val="uk-UA"/>
              </w:rPr>
              <w:t>预算拨款</w:t>
            </w: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国有资本经营</w:t>
            </w:r>
            <w:r>
              <w:t xml:space="preserve">              </w:t>
            </w:r>
            <w:r>
              <w:rPr>
                <w:lang w:val="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tblHeader/>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0"/>
            </w:pPr>
            <w:r>
              <w:rPr>
                <w:lang w:val="uk-UA"/>
              </w:rPr>
              <w:t>栏次</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0"/>
            </w:pPr>
            <w:r>
              <w:t>1</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0"/>
            </w:pPr>
            <w:r>
              <w:t>2</w:t>
            </w: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0"/>
            </w:pPr>
            <w:r>
              <w:t>3</w:t>
            </w: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0"/>
            </w:pPr>
            <w:r>
              <w:t>4</w:t>
            </w: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1</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4"/>
            </w:pPr>
            <w:r>
              <w:rPr>
                <w:lang w:val="uk-UA"/>
              </w:rPr>
              <w:t>合计</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2</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t>“</w:t>
            </w:r>
            <w:r>
              <w:rPr>
                <w:lang w:val="uk-UA"/>
              </w:rPr>
              <w:t>三公</w:t>
            </w:r>
            <w:r>
              <w:t>”</w:t>
            </w:r>
            <w:r>
              <w:rPr>
                <w:lang w:val="uk-UA"/>
              </w:rPr>
              <w:t>经费小计</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3</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rPr>
                <w:lang w:val="uk-UA"/>
              </w:rPr>
              <w:t>一、因公出国（境）费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4</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t xml:space="preserve">    </w:t>
            </w:r>
            <w:r>
              <w:rPr>
                <w:lang w:val="uk-UA"/>
              </w:rPr>
              <w:t>其中：教学科研人员因公出国（境）</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5</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t xml:space="preserve">          </w:t>
            </w:r>
            <w:r>
              <w:rPr>
                <w:lang w:val="uk-UA"/>
              </w:rPr>
              <w:t>其他因公出国（境）费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6</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rPr>
                <w:lang w:val="uk-UA"/>
              </w:rPr>
              <w:t>二、公务用车购置及运维费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7</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t xml:space="preserve">    </w:t>
            </w:r>
            <w:r>
              <w:rPr>
                <w:lang w:val="uk-UA"/>
              </w:rPr>
              <w:t>其中：公务用车购置费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8</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t xml:space="preserve">          </w:t>
            </w:r>
            <w:r>
              <w:rPr>
                <w:lang w:val="uk-UA"/>
              </w:rPr>
              <w:t>公务用车运行维护费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jc w:val="center"/>
        </w:trPr>
        <w:tc>
          <w:tcPr>
            <w:tcW w:w="845" w:type="dxa"/>
            <w:tcBorders>
              <w:top w:val="single" w:color="000000" w:sz="6" w:space="0"/>
              <w:left w:val="single" w:color="000000" w:sz="6" w:space="0"/>
              <w:bottom w:val="single" w:color="000000" w:sz="6" w:space="0"/>
              <w:right w:val="single" w:color="000000" w:sz="6" w:space="0"/>
            </w:tcBorders>
            <w:vAlign w:val="center"/>
          </w:tcPr>
          <w:p>
            <w:pPr>
              <w:pStyle w:val="11"/>
            </w:pPr>
            <w:r>
              <w:t>9</w:t>
            </w:r>
          </w:p>
        </w:tc>
        <w:tc>
          <w:tcPr>
            <w:tcW w:w="3778" w:type="dxa"/>
            <w:tcBorders>
              <w:top w:val="single" w:color="000000" w:sz="6" w:space="0"/>
              <w:left w:val="single" w:color="000000" w:sz="6" w:space="0"/>
              <w:bottom w:val="single" w:color="000000" w:sz="6" w:space="0"/>
              <w:right w:val="single" w:color="000000" w:sz="6" w:space="0"/>
            </w:tcBorders>
            <w:vAlign w:val="center"/>
          </w:tcPr>
          <w:p>
            <w:pPr>
              <w:pStyle w:val="12"/>
            </w:pPr>
            <w:r>
              <w:rPr>
                <w:lang w:val="uk-UA"/>
              </w:rPr>
              <w:t>三、公务接待费</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8"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69"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tblHeader/>
          <w:jc w:val="center"/>
        </w:trPr>
        <w:tc>
          <w:tcPr>
            <w:tcW w:w="6993" w:type="dxa"/>
            <w:gridSpan w:val="3"/>
            <w:tcBorders>
              <w:top w:val="single" w:color="FFFFFF" w:sz="6" w:space="0"/>
              <w:left w:val="single" w:color="FFFFFF" w:sz="6" w:space="0"/>
              <w:bottom w:val="single" w:color="FFFFFF" w:sz="6" w:space="0"/>
              <w:right w:val="single" w:color="FFFFFF" w:sz="6" w:space="0"/>
            </w:tcBorders>
            <w:vAlign w:val="center"/>
          </w:tcPr>
          <w:p>
            <w:pPr>
              <w:ind w:firstLine="420"/>
            </w:pPr>
            <w:r>
              <w:rPr>
                <w:rFonts w:ascii="方正书宋_GBK" w:hAnsi="方正书宋_GBK" w:eastAsia="方正书宋_GBK" w:cs="方正书宋_GBK"/>
                <w:color w:val="000000"/>
                <w:sz w:val="21"/>
                <w:lang w:val="uk-UA"/>
              </w:rPr>
              <w:t>注：无财政拨款</w:t>
            </w:r>
            <w:r>
              <w:rPr>
                <w:rFonts w:ascii="方正书宋_GBK" w:hAnsi="方正书宋_GBK" w:eastAsia="方正书宋_GBK" w:cs="方正书宋_GBK"/>
                <w:color w:val="000000"/>
                <w:sz w:val="21"/>
              </w:rPr>
              <w:t>“</w:t>
            </w:r>
            <w:r>
              <w:rPr>
                <w:rFonts w:ascii="方正书宋_GBK" w:hAnsi="方正书宋_GBK" w:eastAsia="方正书宋_GBK" w:cs="方正书宋_GBK"/>
                <w:color w:val="000000"/>
                <w:sz w:val="21"/>
                <w:lang w:val="uk-UA"/>
              </w:rPr>
              <w:t>三公</w:t>
            </w:r>
            <w:r>
              <w:rPr>
                <w:rFonts w:ascii="方正书宋_GBK" w:hAnsi="方正书宋_GBK" w:eastAsia="方正书宋_GBK" w:cs="方正书宋_GBK"/>
                <w:color w:val="000000"/>
                <w:sz w:val="21"/>
              </w:rPr>
              <w:t>”</w:t>
            </w:r>
            <w:r>
              <w:rPr>
                <w:rFonts w:ascii="方正书宋_GBK" w:hAnsi="方正书宋_GBK" w:eastAsia="方正书宋_GBK" w:cs="方正书宋_GBK"/>
                <w:color w:val="000000"/>
                <w:sz w:val="21"/>
                <w:lang w:val="uk-UA"/>
              </w:rPr>
              <w:t>经费支出表预算，空表列示。</w:t>
            </w:r>
          </w:p>
        </w:tc>
        <w:tc>
          <w:tcPr>
            <w:tcW w:w="2368" w:type="dxa"/>
            <w:tcBorders>
              <w:top w:val="single" w:color="FFFFFF" w:sz="6" w:space="0"/>
              <w:left w:val="single" w:color="FFFFFF" w:sz="6" w:space="0"/>
              <w:bottom w:val="single" w:color="FFFFFF" w:sz="6" w:space="0"/>
              <w:right w:val="single" w:color="FFFFFF" w:sz="6" w:space="0"/>
            </w:tcBorders>
            <w:vAlign w:val="center"/>
          </w:tcPr>
          <w:p>
            <w:pPr>
              <w:pStyle w:val="8"/>
            </w:pPr>
          </w:p>
        </w:tc>
        <w:tc>
          <w:tcPr>
            <w:tcW w:w="4737" w:type="dxa"/>
            <w:gridSpan w:val="2"/>
            <w:tcBorders>
              <w:top w:val="single" w:color="FFFFFF" w:sz="6" w:space="0"/>
              <w:left w:val="single" w:color="FFFFFF" w:sz="6" w:space="0"/>
              <w:bottom w:val="single" w:color="FFFFFF" w:sz="6" w:space="0"/>
              <w:right w:val="single" w:color="FFFFFF" w:sz="6" w:space="0"/>
            </w:tcBorders>
            <w:vAlign w:val="center"/>
          </w:tcPr>
          <w:p>
            <w:pPr>
              <w:pStyle w:val="9"/>
            </w:pPr>
          </w:p>
        </w:tc>
      </w:tr>
    </w:tbl>
    <w:p>
      <w:pPr>
        <w:jc w:val="center"/>
        <w:outlineLvl w:val="4"/>
      </w:pPr>
      <w:r>
        <w:rPr>
          <w:rFonts w:ascii="方正小标宋_GBK" w:hAnsi="方正小标宋_GBK" w:eastAsia="方正小标宋_GBK" w:cs="方正小标宋_GBK"/>
          <w:color w:val="000000"/>
          <w:sz w:val="44"/>
        </w:rPr>
        <w:t>魏县东代固镇人民政府本级2022年单位预算信息公开情况说明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val="en-US" w:eastAsia="zh-CN"/>
        </w:rPr>
        <w:t>中华人民共和国</w:t>
      </w:r>
      <w:bookmarkStart w:id="2" w:name="_GoBack"/>
      <w:bookmarkEnd w:id="2"/>
      <w:r>
        <w:rPr>
          <w:rFonts w:eastAsia="方正仿宋_GBK" w:cs="Times New Roman"/>
          <w:color w:val="000000"/>
          <w:sz w:val="28"/>
        </w:rPr>
        <w:t>预算法》、《地方预决算公开操作规程》和《关于进一步推进预算公开工作的实施意见》规定，现将魏县东代固镇人民政府本级2022年单位预算公开如下：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17"/>
      </w:pPr>
      <w:r>
        <w:t>(二)讨论和决定经济建设、政治建设、文化建设、社会建设、生态文明建设和党的建设以及乡村振兴中的重大问题。</w:t>
      </w:r>
    </w:p>
    <w:p>
      <w:pPr>
        <w:pStyle w:val="17"/>
      </w:pPr>
      <w:r>
        <w:t>(三)组织召开本级人民代表大会，充分行使重大事项决定权、监督权和选举权，做好人大代表工作，联系选民、反映群众意见和要求。</w:t>
      </w:r>
    </w:p>
    <w:p>
      <w:pPr>
        <w:pStyle w:val="17"/>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17"/>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7"/>
      </w:pPr>
      <w:r>
        <w:t>(六)加强镇党委自身建设和村党组织建设，以及其他隶属镇党委的党组织建设，抓好发展党员工作，加强党员队伍建设。维护和执行党的纪律，监督党员干部和其他任何工作人员严格遵守国家法律法规。</w:t>
      </w:r>
    </w:p>
    <w:p>
      <w:pPr>
        <w:pStyle w:val="17"/>
      </w:pPr>
      <w:r>
        <w:t>(七)按照干部管理权限，负责对干部的教育、培训、选拔、考核和监督工作。协助管理上级有关部门驻镇单位的干部.做好人才服务工作。</w:t>
      </w:r>
    </w:p>
    <w:p>
      <w:pPr>
        <w:pStyle w:val="17"/>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17"/>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(十)承办上级党委、人大、政府交办的其他事项。</w:t>
      </w:r>
    </w:p>
    <w:p>
      <w:pPr>
        <w:pStyle w:val="17"/>
      </w:pPr>
      <w:r>
        <w:t>党政内设机构和事业单位设置：</w:t>
      </w:r>
    </w:p>
    <w:p>
      <w:pPr>
        <w:pStyle w:val="17"/>
      </w:pPr>
      <w:r>
        <w:t>（一）党政综合办公室（财政所）；（二）党建工作办公室（人大主席团办公室）；（三）应急管理办公室；（四）自然资源和生态环境办公室；（五）综合行政执法队（综合指挥和信息化网络中心、社会治安综合治理中心）；（六）行政综合服务中心；（七）农业综合服务中心（动物防疫站、物业监督管理办公室）；（八）退役军人服务站；（九）社会事业服务中心（综合文化服务站）。设置镇纪委。工会、共青团、妇联等群团组织按有关规定和章程设置，在镇党委统一领导下开展工作。</w:t>
      </w:r>
    </w:p>
    <w:p>
      <w:pPr>
        <w:pStyle w:val="18"/>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魏县东代固镇人民政府本级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eastAsia="方正仿宋_GBK" w:cs="Times New Roman"/>
          <w:color w:val="000000"/>
          <w:sz w:val="28"/>
        </w:rPr>
        <w:t>单位预算的编制实行综合预算管理，即全部收入和支出都反映在预算中。</w:t>
      </w:r>
    </w:p>
    <w:p>
      <w:pPr>
        <w:pStyle w:val="18"/>
      </w:pPr>
      <w:r>
        <w:t>1、收入说明：2022年收入预算共计579.18万元，全部为财政拨款收入。</w:t>
      </w:r>
    </w:p>
    <w:p>
      <w:pPr>
        <w:pStyle w:val="18"/>
      </w:pPr>
      <w:r>
        <w:t>2、支出说明：2022年支出预算共计579.18万元，其中：人员经费支出预算229.62万元，正常公用部分支出预算37.82万元,专项项目预算311.74万元。</w:t>
      </w:r>
    </w:p>
    <w:p>
      <w:pPr>
        <w:pStyle w:val="18"/>
      </w:pPr>
      <w:r>
        <w:t>3、比上年增减情况：经过对比测算，2022年财政拨款预算比2021年增加84.58万元。其中：人员经费增加61.16万元，主要是提高了人员工资水平；日常公用经费增加23.42万元，主要是在职人员增加公用经费也相应增加；项目经费没有变化。</w:t>
      </w:r>
    </w:p>
    <w:p>
      <w:pPr>
        <w:spacing w:before="10" w:after="10" w:line="360" w:lineRule="auto"/>
        <w:ind w:firstLine="640"/>
        <w:outlineLvl w:val="2"/>
      </w:pPr>
      <w:r>
        <w:rPr>
          <w:rFonts w:ascii="黑体" w:hAnsi="黑体" w:eastAsia="黑体" w:cs="黑体"/>
          <w:color w:val="000000"/>
          <w:sz w:val="32"/>
        </w:rPr>
        <w:t>三、机关运行经费安排情况</w:t>
      </w:r>
    </w:p>
    <w:p>
      <w:pPr>
        <w:pStyle w:val="19"/>
      </w:pPr>
      <w:r>
        <w:t>机关运行经费共计安排</w:t>
      </w:r>
      <w:r>
        <w:rPr>
          <w:rFonts w:hint="eastAsia"/>
          <w:lang w:eastAsia="zh-CN"/>
        </w:rPr>
        <w:t>37.82</w:t>
      </w:r>
      <w:r>
        <w:t>万元，主要用于保证正常办公的基本需要和维持单位日常业务运转，包括：办公费、邮电费、差旅费、福利费、手续费、公务接待费、工会经费、公务用车运行维护费和离退休干部经费。</w:t>
      </w: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pStyle w:val="20"/>
      </w:pPr>
      <w:r>
        <w:t>2022年，财政拨款“三公”经费预算安排0万元，其中因公出国(境)费0万元；公务用车购置及运维费0万元(其中：公务用车购置费为0万元，公务用车运行费0万元)；公务接待费0万元。与2021年相比，因公出国(境)费、公务用车运行费和公务接待费均未变化，与上年持平；原因是我单位根据单位实际业务需要，按照政府过“紧日子”思想及上级有关要求，强化“三公”经费等一般性支出管理，未安排相关经费支出。</w:t>
      </w:r>
    </w:p>
    <w:p>
      <w:pPr>
        <w:pStyle w:val="21"/>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1、自收自支人员补助绩效目标表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1.维持东代固镇工作运转，自收自支人员32人，需资金63.27万元，提高工作积极性，保证东代固镇事务正常办理。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成本指标</w:t>
            </w:r>
          </w:p>
        </w:tc>
        <w:tc>
          <w:tcPr>
            <w:tcW w:w="2835" w:type="dxa"/>
            <w:vAlign w:val="center"/>
          </w:tcPr>
          <w:p>
            <w:pPr>
              <w:pStyle w:val="12"/>
            </w:pPr>
            <w:r>
              <w:t xml:space="preserve"> 镇干部工资总成本</w:t>
            </w:r>
          </w:p>
        </w:tc>
        <w:tc>
          <w:tcPr>
            <w:tcW w:w="2835" w:type="dxa"/>
            <w:vAlign w:val="center"/>
          </w:tcPr>
          <w:p>
            <w:pPr>
              <w:pStyle w:val="12"/>
            </w:pPr>
            <w:r>
              <w:t>给镇干部发放的工资总额</w:t>
            </w:r>
          </w:p>
        </w:tc>
        <w:tc>
          <w:tcPr>
            <w:tcW w:w="2551" w:type="dxa"/>
            <w:vAlign w:val="center"/>
          </w:tcPr>
          <w:p>
            <w:pPr>
              <w:pStyle w:val="12"/>
            </w:pPr>
            <w:r>
              <w:t>63.27万元</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工资发放人数</w:t>
            </w:r>
          </w:p>
        </w:tc>
        <w:tc>
          <w:tcPr>
            <w:tcW w:w="2835" w:type="dxa"/>
            <w:vAlign w:val="center"/>
          </w:tcPr>
          <w:p>
            <w:pPr>
              <w:pStyle w:val="12"/>
            </w:pPr>
            <w:r>
              <w:t>发放工资的镇干部人数</w:t>
            </w:r>
          </w:p>
        </w:tc>
        <w:tc>
          <w:tcPr>
            <w:tcW w:w="2551" w:type="dxa"/>
            <w:vAlign w:val="center"/>
          </w:tcPr>
          <w:p>
            <w:pPr>
              <w:pStyle w:val="12"/>
            </w:pPr>
            <w:r>
              <w:t>32人</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足额发放资金</w:t>
            </w:r>
          </w:p>
        </w:tc>
        <w:tc>
          <w:tcPr>
            <w:tcW w:w="2551" w:type="dxa"/>
            <w:vAlign w:val="center"/>
          </w:tcPr>
          <w:p>
            <w:pPr>
              <w:pStyle w:val="12"/>
            </w:pPr>
            <w:r>
              <w:t>100%</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12月底按时完成</w:t>
            </w:r>
          </w:p>
        </w:tc>
        <w:tc>
          <w:tcPr>
            <w:tcW w:w="2835" w:type="dxa"/>
            <w:vAlign w:val="center"/>
          </w:tcPr>
          <w:p>
            <w:pPr>
              <w:pStyle w:val="12"/>
            </w:pPr>
            <w:r>
              <w:t>按照要求和计划完成情况</w:t>
            </w:r>
          </w:p>
        </w:tc>
        <w:tc>
          <w:tcPr>
            <w:tcW w:w="2551" w:type="dxa"/>
            <w:vAlign w:val="center"/>
          </w:tcPr>
          <w:p>
            <w:pPr>
              <w:pStyle w:val="12"/>
            </w:pPr>
            <w:r>
              <w:t>12月底发放到位</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2835" w:type="dxa"/>
            <w:vAlign w:val="center"/>
          </w:tcPr>
          <w:p>
            <w:pPr>
              <w:pStyle w:val="12"/>
            </w:pPr>
            <w:r>
              <w:t>保证镇干部正常工作维护社会稳定</w:t>
            </w:r>
          </w:p>
        </w:tc>
        <w:tc>
          <w:tcPr>
            <w:tcW w:w="2551" w:type="dxa"/>
            <w:vAlign w:val="center"/>
          </w:tcPr>
          <w:p>
            <w:pPr>
              <w:pStyle w:val="12"/>
            </w:pPr>
            <w:r>
              <w:t>维护社会稳定</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 提高镇干部工作积极性</w:t>
            </w:r>
          </w:p>
        </w:tc>
        <w:tc>
          <w:tcPr>
            <w:tcW w:w="2835" w:type="dxa"/>
            <w:vAlign w:val="center"/>
          </w:tcPr>
          <w:p>
            <w:pPr>
              <w:pStyle w:val="12"/>
            </w:pPr>
            <w:r>
              <w:t>及时发放镇干部工资提高镇干部工作积极性</w:t>
            </w:r>
          </w:p>
        </w:tc>
        <w:tc>
          <w:tcPr>
            <w:tcW w:w="2551" w:type="dxa"/>
            <w:vAlign w:val="center"/>
          </w:tcPr>
          <w:p>
            <w:pPr>
              <w:pStyle w:val="12"/>
            </w:pPr>
            <w:r>
              <w:t>镇干部工作积极性提高</w:t>
            </w:r>
          </w:p>
        </w:tc>
        <w:tc>
          <w:tcPr>
            <w:tcW w:w="2268" w:type="dxa"/>
            <w:vAlign w:val="center"/>
          </w:tcPr>
          <w:p>
            <w:pPr>
              <w:pStyle w:val="12"/>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满意群众占全部调查群众的比例</w:t>
            </w:r>
          </w:p>
        </w:tc>
        <w:tc>
          <w:tcPr>
            <w:tcW w:w="2551" w:type="dxa"/>
            <w:vAlign w:val="center"/>
          </w:tcPr>
          <w:p>
            <w:pPr>
              <w:pStyle w:val="12"/>
            </w:pPr>
            <w:r>
              <w:t>≥95%</w:t>
            </w:r>
          </w:p>
        </w:tc>
        <w:tc>
          <w:tcPr>
            <w:tcW w:w="2268" w:type="dxa"/>
            <w:vAlign w:val="center"/>
          </w:tcPr>
          <w:p>
            <w:pPr>
              <w:pStyle w:val="12"/>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2、测试特定目标类项目绩效目标表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出具各类证明文件总数</w:t>
            </w:r>
          </w:p>
        </w:tc>
        <w:tc>
          <w:tcPr>
            <w:tcW w:w="2835" w:type="dxa"/>
            <w:vAlign w:val="center"/>
          </w:tcPr>
          <w:p>
            <w:pPr>
              <w:pStyle w:val="12"/>
            </w:pPr>
            <w:r>
              <w:t>出具各类证明文件总数</w:t>
            </w:r>
          </w:p>
        </w:tc>
        <w:tc>
          <w:tcPr>
            <w:tcW w:w="2551" w:type="dxa"/>
            <w:vAlign w:val="center"/>
          </w:tcPr>
          <w:p>
            <w:pPr>
              <w:pStyle w:val="12"/>
            </w:pPr>
            <w:r>
              <w:t>&lt;5出具各类证明文件总数</w:t>
            </w:r>
          </w:p>
        </w:tc>
        <w:tc>
          <w:tcPr>
            <w:tcW w:w="2268" w:type="dxa"/>
            <w:vAlign w:val="center"/>
          </w:tcPr>
          <w:p>
            <w:pPr>
              <w:pStyle w:val="12"/>
            </w:pPr>
            <w:r>
              <w:t>出具各类证明文件总数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上网场所上网实名率</w:t>
            </w:r>
          </w:p>
        </w:tc>
        <w:tc>
          <w:tcPr>
            <w:tcW w:w="2835" w:type="dxa"/>
            <w:vAlign w:val="center"/>
          </w:tcPr>
          <w:p>
            <w:pPr>
              <w:pStyle w:val="12"/>
            </w:pPr>
            <w:r>
              <w:t>上网场所上网实名率</w:t>
            </w:r>
          </w:p>
        </w:tc>
        <w:tc>
          <w:tcPr>
            <w:tcW w:w="2551" w:type="dxa"/>
            <w:vAlign w:val="center"/>
          </w:tcPr>
          <w:p>
            <w:pPr>
              <w:pStyle w:val="12"/>
            </w:pPr>
            <w:r>
              <w:t>≥5上网场所上网实名率</w:t>
            </w:r>
          </w:p>
        </w:tc>
        <w:tc>
          <w:tcPr>
            <w:tcW w:w="2268" w:type="dxa"/>
            <w:vAlign w:val="center"/>
          </w:tcPr>
          <w:p>
            <w:pPr>
              <w:pStyle w:val="12"/>
            </w:pPr>
            <w:r>
              <w:t>上网场所上网实名率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特殊食品广告审查项目实际完成时</w:t>
            </w:r>
          </w:p>
        </w:tc>
        <w:tc>
          <w:tcPr>
            <w:tcW w:w="2835" w:type="dxa"/>
            <w:vAlign w:val="center"/>
          </w:tcPr>
          <w:p>
            <w:pPr>
              <w:pStyle w:val="12"/>
            </w:pPr>
            <w:r>
              <w:t>特殊食品广告审查项目实际完成时限</w:t>
            </w:r>
          </w:p>
        </w:tc>
        <w:tc>
          <w:tcPr>
            <w:tcW w:w="2551" w:type="dxa"/>
            <w:vAlign w:val="center"/>
          </w:tcPr>
          <w:p>
            <w:pPr>
              <w:pStyle w:val="12"/>
            </w:pPr>
            <w:r>
              <w:t>&gt;5特殊食品广告审查项目实际完成时限</w:t>
            </w:r>
          </w:p>
        </w:tc>
        <w:tc>
          <w:tcPr>
            <w:tcW w:w="2268" w:type="dxa"/>
            <w:vAlign w:val="center"/>
          </w:tcPr>
          <w:p>
            <w:pPr>
              <w:pStyle w:val="12"/>
            </w:pPr>
            <w:r>
              <w:t>特殊食品广告审查项目实际完成时限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职业培训补贴人均标准</w:t>
            </w:r>
          </w:p>
        </w:tc>
        <w:tc>
          <w:tcPr>
            <w:tcW w:w="2835" w:type="dxa"/>
            <w:vAlign w:val="center"/>
          </w:tcPr>
          <w:p>
            <w:pPr>
              <w:pStyle w:val="12"/>
            </w:pPr>
            <w:r>
              <w:t>职业培训补贴人均标准</w:t>
            </w:r>
          </w:p>
        </w:tc>
        <w:tc>
          <w:tcPr>
            <w:tcW w:w="2551" w:type="dxa"/>
            <w:vAlign w:val="center"/>
          </w:tcPr>
          <w:p>
            <w:pPr>
              <w:pStyle w:val="12"/>
            </w:pPr>
            <w:r>
              <w:t>5职业培训补贴人均标准</w:t>
            </w:r>
          </w:p>
        </w:tc>
        <w:tc>
          <w:tcPr>
            <w:tcW w:w="2268" w:type="dxa"/>
            <w:vAlign w:val="center"/>
          </w:tcPr>
          <w:p>
            <w:pPr>
              <w:pStyle w:val="12"/>
            </w:pPr>
            <w:r>
              <w:t>职业培训补贴人均标准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通过科技服务机构进行技术转让的</w:t>
            </w:r>
          </w:p>
        </w:tc>
        <w:tc>
          <w:tcPr>
            <w:tcW w:w="2835" w:type="dxa"/>
            <w:vAlign w:val="center"/>
          </w:tcPr>
          <w:p>
            <w:pPr>
              <w:pStyle w:val="12"/>
            </w:pPr>
            <w:r>
              <w:t>通过科技服务机构进行技术转让的金额</w:t>
            </w:r>
          </w:p>
        </w:tc>
        <w:tc>
          <w:tcPr>
            <w:tcW w:w="2551" w:type="dxa"/>
            <w:vAlign w:val="center"/>
          </w:tcPr>
          <w:p>
            <w:pPr>
              <w:pStyle w:val="12"/>
            </w:pPr>
            <w:r>
              <w:t>&lt;5通过科技服务机构进行技术转让的金额</w:t>
            </w:r>
          </w:p>
        </w:tc>
        <w:tc>
          <w:tcPr>
            <w:tcW w:w="2268" w:type="dxa"/>
            <w:vAlign w:val="center"/>
          </w:tcPr>
          <w:p>
            <w:pPr>
              <w:pStyle w:val="12"/>
            </w:pPr>
            <w:r>
              <w:t>通过科技服务机构进行技术转让的金额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立体化社会治安防控体系覆盖率(</w:t>
            </w:r>
          </w:p>
        </w:tc>
        <w:tc>
          <w:tcPr>
            <w:tcW w:w="2835" w:type="dxa"/>
            <w:vAlign w:val="center"/>
          </w:tcPr>
          <w:p>
            <w:pPr>
              <w:pStyle w:val="12"/>
            </w:pPr>
            <w:r>
              <w:t>立体化社会治安防控体系覆盖率(%)</w:t>
            </w:r>
          </w:p>
        </w:tc>
        <w:tc>
          <w:tcPr>
            <w:tcW w:w="2551" w:type="dxa"/>
            <w:vAlign w:val="center"/>
          </w:tcPr>
          <w:p>
            <w:pPr>
              <w:pStyle w:val="12"/>
            </w:pPr>
            <w:r>
              <w:t>≤5立体化社会治安防控体系覆盖率(%)</w:t>
            </w:r>
          </w:p>
        </w:tc>
        <w:tc>
          <w:tcPr>
            <w:tcW w:w="2268" w:type="dxa"/>
            <w:vAlign w:val="center"/>
          </w:tcPr>
          <w:p>
            <w:pPr>
              <w:pStyle w:val="12"/>
            </w:pPr>
            <w:r>
              <w:t>立体化社会治安防控体系覆盖率(%)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2835" w:type="dxa"/>
            <w:vAlign w:val="center"/>
          </w:tcPr>
          <w:p>
            <w:pPr>
              <w:pStyle w:val="12"/>
            </w:pPr>
            <w:r>
              <w:t>信访群众满意度</w:t>
            </w:r>
          </w:p>
        </w:tc>
        <w:tc>
          <w:tcPr>
            <w:tcW w:w="2551" w:type="dxa"/>
            <w:vAlign w:val="center"/>
          </w:tcPr>
          <w:p>
            <w:pPr>
              <w:pStyle w:val="12"/>
            </w:pPr>
            <w:r>
              <w:t>5信访群众满意度</w:t>
            </w:r>
          </w:p>
        </w:tc>
        <w:tc>
          <w:tcPr>
            <w:tcW w:w="2268" w:type="dxa"/>
            <w:vAlign w:val="center"/>
          </w:tcPr>
          <w:p>
            <w:pPr>
              <w:pStyle w:val="12"/>
            </w:pPr>
            <w:r>
              <w:t>信访群众满意度</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2022年，魏县东代固镇人民政府本级安排政府采购预算0.00万元。具体内容见下表。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魏县东代固镇人民政府本级上年末固定资产金额为0.00万元（详见下表）。本年度拟购置固定资产总额为0.00万元，已按要求列入政府采购预算，详见政府采购预算表。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914001魏县东代固镇人民政府本级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1"/>
            </w:pPr>
          </w:p>
        </w:tc>
        <w:tc>
          <w:tcPr>
            <w:tcW w:w="4933" w:type="dxa"/>
            <w:vAlign w:val="center"/>
          </w:tcPr>
          <w:p>
            <w:pPr>
              <w:pStyle w:val="13"/>
              <w:rPr>
                <w:lang w:eastAsia="zh-CN"/>
              </w:rPr>
            </w:pPr>
            <w:r>
              <w:rPr>
                <w:rFonts w:hint="eastAsia"/>
                <w:lang w:eastAsia="zh-CN"/>
              </w:rPr>
              <w:t>116.85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1"/>
              <w:rPr>
                <w:lang w:eastAsia="zh-CN"/>
              </w:rPr>
            </w:pPr>
            <w:r>
              <w:rPr>
                <w:rFonts w:hint="eastAsia"/>
                <w:lang w:eastAsia="zh-CN"/>
              </w:rPr>
              <w:t>2278</w:t>
            </w:r>
          </w:p>
        </w:tc>
        <w:tc>
          <w:tcPr>
            <w:tcW w:w="4933" w:type="dxa"/>
            <w:vAlign w:val="center"/>
          </w:tcPr>
          <w:p>
            <w:pPr>
              <w:pStyle w:val="13"/>
              <w:rPr>
                <w:lang w:eastAsia="zh-CN"/>
              </w:rPr>
            </w:pPr>
            <w:r>
              <w:rPr>
                <w:rFonts w:hint="eastAsia"/>
                <w:lang w:eastAsia="zh-CN"/>
              </w:rPr>
              <w:t>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1"/>
              <w:rPr>
                <w:lang w:eastAsia="zh-CN"/>
              </w:rPr>
            </w:pPr>
            <w:r>
              <w:rPr>
                <w:rFonts w:hint="eastAsia"/>
                <w:lang w:eastAsia="zh-CN"/>
              </w:rPr>
              <w:t>918</w:t>
            </w: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1"/>
              <w:rPr>
                <w:lang w:eastAsia="zh-CN"/>
              </w:rPr>
            </w:pPr>
            <w:r>
              <w:rPr>
                <w:rFonts w:hint="eastAsia"/>
                <w:lang w:eastAsia="zh-CN"/>
              </w:rPr>
              <w:t>1</w:t>
            </w:r>
          </w:p>
        </w:tc>
        <w:tc>
          <w:tcPr>
            <w:tcW w:w="4933" w:type="dxa"/>
            <w:vAlign w:val="center"/>
          </w:tcPr>
          <w:p>
            <w:pPr>
              <w:pStyle w:val="13"/>
              <w:rPr>
                <w:lang w:eastAsia="zh-CN"/>
              </w:rPr>
            </w:pPr>
            <w:r>
              <w:rPr>
                <w:rFonts w:hint="eastAsia"/>
                <w:lang w:eastAsia="zh-CN"/>
              </w:rP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1"/>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1"/>
              <w:rPr>
                <w:lang w:eastAsia="zh-CN"/>
              </w:rPr>
            </w:pPr>
            <w:r>
              <w:rPr>
                <w:rFonts w:hint="eastAsia"/>
                <w:lang w:eastAsia="zh-CN"/>
              </w:rPr>
              <w:t>38</w:t>
            </w:r>
          </w:p>
        </w:tc>
        <w:tc>
          <w:tcPr>
            <w:tcW w:w="4933" w:type="dxa"/>
            <w:vAlign w:val="center"/>
          </w:tcPr>
          <w:p>
            <w:pPr>
              <w:pStyle w:val="13"/>
              <w:rPr>
                <w:lang w:eastAsia="zh-CN"/>
              </w:rPr>
            </w:pPr>
            <w:r>
              <w:rPr>
                <w:rFonts w:hint="eastAsia"/>
                <w:lang w:eastAsia="zh-CN"/>
              </w:rPr>
              <w:t>17.2</w:t>
            </w:r>
          </w:p>
        </w:tc>
      </w:tr>
    </w:tbl>
    <w:p>
      <w:pPr>
        <w:ind w:firstLine="420"/>
      </w:pP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1A2CCE"/>
    <w:rsid w:val="00187D37"/>
    <w:rsid w:val="001A2CCE"/>
    <w:rsid w:val="003F5A76"/>
    <w:rsid w:val="00801DF1"/>
    <w:rsid w:val="00BA1A29"/>
    <w:rsid w:val="00F21C21"/>
    <w:rsid w:val="5F4669DD"/>
    <w:rsid w:val="6B29247C"/>
    <w:rsid w:val="6B4350F2"/>
    <w:rsid w:val="6F9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uiPriority w:val="0"/>
    <w:pPr>
      <w:tabs>
        <w:tab w:val="center" w:pos="4153"/>
        <w:tab w:val="right" w:pos="8306"/>
      </w:tabs>
      <w:snapToGrid w:val="0"/>
    </w:pPr>
    <w:rPr>
      <w:sz w:val="18"/>
      <w:szCs w:val="18"/>
    </w:rPr>
  </w:style>
  <w:style w:type="paragraph" w:styleId="3">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s="Times New Roman"/>
      <w:color w:val="000000"/>
      <w:sz w:val="28"/>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18">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character" w:customStyle="1" w:styleId="23">
    <w:name w:val="页眉 Char"/>
    <w:basedOn w:val="6"/>
    <w:link w:val="3"/>
    <w:uiPriority w:val="0"/>
    <w:rPr>
      <w:rFonts w:ascii="Times New Roman" w:hAnsi="Times New Roman" w:eastAsia="Times New Roman"/>
      <w:sz w:val="18"/>
      <w:szCs w:val="18"/>
      <w:lang w:eastAsia="uk-UA"/>
    </w:rPr>
  </w:style>
  <w:style w:type="character" w:customStyle="1" w:styleId="24">
    <w:name w:val="页脚 Char"/>
    <w:basedOn w:val="6"/>
    <w:link w:val="2"/>
    <w:uiPriority w:val="0"/>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1380</Words>
  <Characters>7870</Characters>
  <Lines>65</Lines>
  <Paragraphs>18</Paragraphs>
  <TotalTime>1</TotalTime>
  <ScaleCrop>false</ScaleCrop>
  <LinksUpToDate>false</LinksUpToDate>
  <CharactersWithSpaces>9232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2023-08-11T07:18:00Z</dcterms:created>
  <dc:creator>Administrator</dc:creator>
  <cp:lastModifiedBy>信息化办</cp:lastModifiedBy>
  <dcterms:modified xsi:type="dcterms:W3CDTF">2023-11-17T02:42:47Z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828A2240780C4725B44154CD1036E651_12</vt:lpwstr>
  </property>
</Properties>
</file>