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outlineLvl w:val="0"/>
        <w:rPr>
          <w:rFonts w:ascii="方正小标宋_GBK" w:hAnsi="方正小标宋_GBK" w:eastAsia="方正小标宋_GBK" w:cs="方正小标宋_GBK"/>
          <w:color w:val="000000"/>
          <w:sz w:val="72"/>
        </w:rPr>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魏县文化馆本级收支预算</w:t>
      </w:r>
      <w:r>
        <w:tab/>
      </w:r>
      <w:r>
        <w:rPr>
          <w:rFonts w:hint="eastAsia"/>
          <w:lang w:val="en-US" w:eastAsia="zh-CN"/>
        </w:rPr>
        <w:t>2</w:t>
      </w:r>
      <w:r>
        <w:fldChar w:fldCharType="end"/>
      </w:r>
    </w:p>
    <w:p>
      <w:pPr>
        <w:sectPr>
          <w:headerReference r:id="rId3" w:type="default"/>
          <w:footerReference r:id="rId4" w:type="default"/>
          <w:pgSz w:w="16840" w:h="11900" w:orient="landscape"/>
          <w:pgMar w:top="1587" w:right="1134" w:bottom="1361" w:left="1134" w:header="720" w:footer="720" w:gutter="0"/>
          <w:pgNumType w:start="1"/>
          <w:cols w:space="720" w:num="1"/>
        </w:sectPr>
      </w:pPr>
      <w:r>
        <w:fldChar w:fldCharType="end"/>
      </w:r>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358001魏县文化馆本级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129.50</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r>
              <w:t>115.87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13.64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129.50</w:t>
            </w:r>
          </w:p>
        </w:tc>
        <w:tc>
          <w:tcPr>
            <w:tcW w:w="4535" w:type="dxa"/>
            <w:vAlign w:val="center"/>
          </w:tcPr>
          <w:p>
            <w:pPr>
              <w:pStyle w:val="14"/>
            </w:pPr>
            <w:r>
              <w:t>本年支出合计</w:t>
            </w:r>
          </w:p>
        </w:tc>
        <w:tc>
          <w:tcPr>
            <w:tcW w:w="2126" w:type="dxa"/>
            <w:vAlign w:val="center"/>
          </w:tcPr>
          <w:p>
            <w:pPr>
              <w:pStyle w:val="15"/>
            </w:pPr>
            <w:r>
              <w:t>129.50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129.50</w:t>
            </w:r>
          </w:p>
        </w:tc>
        <w:tc>
          <w:tcPr>
            <w:tcW w:w="4535" w:type="dxa"/>
            <w:vAlign w:val="center"/>
          </w:tcPr>
          <w:p>
            <w:pPr>
              <w:pStyle w:val="14"/>
            </w:pPr>
            <w:r>
              <w:t>支出总计</w:t>
            </w:r>
          </w:p>
        </w:tc>
        <w:tc>
          <w:tcPr>
            <w:tcW w:w="2126" w:type="dxa"/>
            <w:vAlign w:val="center"/>
          </w:tcPr>
          <w:p>
            <w:pPr>
              <w:pStyle w:val="15"/>
            </w:pPr>
            <w:r>
              <w:t>129.50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358001魏县文化馆本级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129.50</w:t>
            </w:r>
          </w:p>
        </w:tc>
        <w:tc>
          <w:tcPr>
            <w:tcW w:w="1134" w:type="dxa"/>
            <w:vAlign w:val="center"/>
          </w:tcPr>
          <w:p>
            <w:pPr>
              <w:pStyle w:val="15"/>
            </w:pPr>
            <w:r>
              <w:t>129.50</w:t>
            </w:r>
          </w:p>
        </w:tc>
        <w:tc>
          <w:tcPr>
            <w:tcW w:w="1134" w:type="dxa"/>
            <w:vAlign w:val="center"/>
          </w:tcPr>
          <w:p>
            <w:pPr>
              <w:pStyle w:val="15"/>
            </w:pPr>
            <w:r>
              <w:t>129.50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3"/>
            </w:pPr>
            <w:r>
              <w:t>115.87</w:t>
            </w:r>
          </w:p>
        </w:tc>
        <w:tc>
          <w:tcPr>
            <w:tcW w:w="1134" w:type="dxa"/>
            <w:vAlign w:val="center"/>
          </w:tcPr>
          <w:p>
            <w:pPr>
              <w:pStyle w:val="13"/>
            </w:pPr>
            <w:r>
              <w:t>115.87</w:t>
            </w:r>
          </w:p>
        </w:tc>
        <w:tc>
          <w:tcPr>
            <w:tcW w:w="1134" w:type="dxa"/>
            <w:vAlign w:val="center"/>
          </w:tcPr>
          <w:p>
            <w:pPr>
              <w:pStyle w:val="13"/>
            </w:pPr>
            <w:r>
              <w:t>115.87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3"/>
            </w:pPr>
            <w:r>
              <w:t>9.07</w:t>
            </w:r>
          </w:p>
        </w:tc>
        <w:tc>
          <w:tcPr>
            <w:tcW w:w="1134" w:type="dxa"/>
            <w:vAlign w:val="center"/>
          </w:tcPr>
          <w:p>
            <w:pPr>
              <w:pStyle w:val="13"/>
            </w:pPr>
            <w:r>
              <w:t>9.07</w:t>
            </w:r>
          </w:p>
        </w:tc>
        <w:tc>
          <w:tcPr>
            <w:tcW w:w="1134" w:type="dxa"/>
            <w:vAlign w:val="center"/>
          </w:tcPr>
          <w:p>
            <w:pPr>
              <w:pStyle w:val="13"/>
            </w:pPr>
            <w:r>
              <w:t>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3"/>
            </w:pPr>
            <w:r>
              <w:t>9.07</w:t>
            </w:r>
          </w:p>
        </w:tc>
        <w:tc>
          <w:tcPr>
            <w:tcW w:w="1134" w:type="dxa"/>
            <w:vAlign w:val="center"/>
          </w:tcPr>
          <w:p>
            <w:pPr>
              <w:pStyle w:val="13"/>
            </w:pPr>
            <w:r>
              <w:t>9.07</w:t>
            </w:r>
          </w:p>
        </w:tc>
        <w:tc>
          <w:tcPr>
            <w:tcW w:w="1134" w:type="dxa"/>
            <w:vAlign w:val="center"/>
          </w:tcPr>
          <w:p>
            <w:pPr>
              <w:pStyle w:val="13"/>
            </w:pPr>
            <w:r>
              <w:t>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3"/>
            </w:pPr>
            <w:r>
              <w:t>106.80</w:t>
            </w:r>
          </w:p>
        </w:tc>
        <w:tc>
          <w:tcPr>
            <w:tcW w:w="1134" w:type="dxa"/>
            <w:vAlign w:val="center"/>
          </w:tcPr>
          <w:p>
            <w:pPr>
              <w:pStyle w:val="13"/>
            </w:pPr>
            <w:r>
              <w:t>106.80</w:t>
            </w:r>
          </w:p>
        </w:tc>
        <w:tc>
          <w:tcPr>
            <w:tcW w:w="1134" w:type="dxa"/>
            <w:vAlign w:val="center"/>
          </w:tcPr>
          <w:p>
            <w:pPr>
              <w:pStyle w:val="13"/>
            </w:pPr>
            <w:r>
              <w:t>106.80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3"/>
            </w:pPr>
            <w:r>
              <w:t>106.80</w:t>
            </w:r>
          </w:p>
        </w:tc>
        <w:tc>
          <w:tcPr>
            <w:tcW w:w="1134" w:type="dxa"/>
            <w:vAlign w:val="center"/>
          </w:tcPr>
          <w:p>
            <w:pPr>
              <w:pStyle w:val="13"/>
            </w:pPr>
            <w:r>
              <w:t>106.80</w:t>
            </w:r>
          </w:p>
        </w:tc>
        <w:tc>
          <w:tcPr>
            <w:tcW w:w="1134" w:type="dxa"/>
            <w:vAlign w:val="center"/>
          </w:tcPr>
          <w:p>
            <w:pPr>
              <w:pStyle w:val="13"/>
            </w:pPr>
            <w:r>
              <w:t>106.80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r>
              <w:t>13.64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358001魏县文化馆本级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129.50</w:t>
            </w:r>
          </w:p>
        </w:tc>
        <w:tc>
          <w:tcPr>
            <w:tcW w:w="1361" w:type="dxa"/>
            <w:vAlign w:val="center"/>
          </w:tcPr>
          <w:p>
            <w:pPr>
              <w:pStyle w:val="15"/>
            </w:pPr>
            <w:r>
              <w:t>22.70</w:t>
            </w:r>
          </w:p>
        </w:tc>
        <w:tc>
          <w:tcPr>
            <w:tcW w:w="1361" w:type="dxa"/>
            <w:vAlign w:val="center"/>
          </w:tcPr>
          <w:p>
            <w:pPr>
              <w:pStyle w:val="15"/>
            </w:pPr>
            <w:r>
              <w:t>106.80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3"/>
            </w:pPr>
            <w:r>
              <w:t>115.87</w:t>
            </w:r>
          </w:p>
        </w:tc>
        <w:tc>
          <w:tcPr>
            <w:tcW w:w="1361" w:type="dxa"/>
            <w:vAlign w:val="center"/>
          </w:tcPr>
          <w:p>
            <w:pPr>
              <w:pStyle w:val="13"/>
            </w:pPr>
            <w:r>
              <w:t>9.07</w:t>
            </w: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3"/>
            </w:pPr>
            <w:r>
              <w:t>9.07</w:t>
            </w:r>
          </w:p>
        </w:tc>
        <w:tc>
          <w:tcPr>
            <w:tcW w:w="1361" w:type="dxa"/>
            <w:vAlign w:val="center"/>
          </w:tcPr>
          <w:p>
            <w:pPr>
              <w:pStyle w:val="13"/>
            </w:pPr>
            <w:r>
              <w:t>9.07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3"/>
            </w:pPr>
            <w:r>
              <w:t>9.07</w:t>
            </w:r>
          </w:p>
        </w:tc>
        <w:tc>
          <w:tcPr>
            <w:tcW w:w="1361" w:type="dxa"/>
            <w:vAlign w:val="center"/>
          </w:tcPr>
          <w:p>
            <w:pPr>
              <w:pStyle w:val="13"/>
            </w:pPr>
            <w:r>
              <w:t>9.07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r>
              <w:t>106.80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13.64</w:t>
            </w:r>
          </w:p>
        </w:tc>
        <w:tc>
          <w:tcPr>
            <w:tcW w:w="1361" w:type="dxa"/>
            <w:vAlign w:val="center"/>
          </w:tcPr>
          <w:p>
            <w:pPr>
              <w:pStyle w:val="13"/>
            </w:pPr>
            <w:r>
              <w:t>13.64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13.64</w:t>
            </w:r>
          </w:p>
        </w:tc>
        <w:tc>
          <w:tcPr>
            <w:tcW w:w="1361" w:type="dxa"/>
            <w:vAlign w:val="center"/>
          </w:tcPr>
          <w:p>
            <w:pPr>
              <w:pStyle w:val="13"/>
            </w:pPr>
            <w:r>
              <w:t>13.64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3"/>
            </w:pPr>
            <w:r>
              <w:t>13.64</w:t>
            </w:r>
          </w:p>
        </w:tc>
        <w:tc>
          <w:tcPr>
            <w:tcW w:w="1361" w:type="dxa"/>
            <w:vAlign w:val="center"/>
          </w:tcPr>
          <w:p>
            <w:pPr>
              <w:pStyle w:val="13"/>
            </w:pPr>
            <w:r>
              <w:t>13.64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358001魏县文化馆本级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129.50</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r>
              <w:t>115.87</w:t>
            </w:r>
          </w:p>
        </w:tc>
        <w:tc>
          <w:tcPr>
            <w:tcW w:w="1474" w:type="dxa"/>
            <w:vAlign w:val="center"/>
          </w:tcPr>
          <w:p>
            <w:pPr>
              <w:pStyle w:val="13"/>
            </w:pPr>
            <w:r>
              <w:t>115.87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13.64</w:t>
            </w:r>
          </w:p>
        </w:tc>
        <w:tc>
          <w:tcPr>
            <w:tcW w:w="1474" w:type="dxa"/>
            <w:vAlign w:val="center"/>
          </w:tcPr>
          <w:p>
            <w:pPr>
              <w:pStyle w:val="13"/>
            </w:pPr>
            <w:r>
              <w:t>13.64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129.50</w:t>
            </w:r>
          </w:p>
        </w:tc>
        <w:tc>
          <w:tcPr>
            <w:tcW w:w="3402" w:type="dxa"/>
            <w:vAlign w:val="center"/>
          </w:tcPr>
          <w:p>
            <w:pPr>
              <w:pStyle w:val="14"/>
            </w:pPr>
            <w:r>
              <w:t>本年支出合计</w:t>
            </w:r>
          </w:p>
        </w:tc>
        <w:tc>
          <w:tcPr>
            <w:tcW w:w="1474" w:type="dxa"/>
            <w:vAlign w:val="center"/>
          </w:tcPr>
          <w:p>
            <w:pPr>
              <w:pStyle w:val="15"/>
            </w:pPr>
            <w:r>
              <w:t>129.50</w:t>
            </w:r>
          </w:p>
        </w:tc>
        <w:tc>
          <w:tcPr>
            <w:tcW w:w="1474" w:type="dxa"/>
            <w:vAlign w:val="center"/>
          </w:tcPr>
          <w:p>
            <w:pPr>
              <w:pStyle w:val="15"/>
            </w:pPr>
            <w:r>
              <w:t>129.50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129.50</w:t>
            </w:r>
          </w:p>
        </w:tc>
        <w:tc>
          <w:tcPr>
            <w:tcW w:w="3402" w:type="dxa"/>
            <w:vAlign w:val="center"/>
          </w:tcPr>
          <w:p>
            <w:pPr>
              <w:pStyle w:val="14"/>
            </w:pPr>
            <w:r>
              <w:t>支出总计</w:t>
            </w:r>
          </w:p>
        </w:tc>
        <w:tc>
          <w:tcPr>
            <w:tcW w:w="1474" w:type="dxa"/>
            <w:vAlign w:val="center"/>
          </w:tcPr>
          <w:p>
            <w:pPr>
              <w:pStyle w:val="15"/>
            </w:pPr>
            <w:r>
              <w:t>129.50</w:t>
            </w:r>
          </w:p>
        </w:tc>
        <w:tc>
          <w:tcPr>
            <w:tcW w:w="1474" w:type="dxa"/>
            <w:vAlign w:val="center"/>
          </w:tcPr>
          <w:p>
            <w:pPr>
              <w:pStyle w:val="15"/>
            </w:pPr>
            <w:r>
              <w:t>129.50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358001魏县文化馆本级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129.50</w:t>
            </w:r>
          </w:p>
        </w:tc>
        <w:tc>
          <w:tcPr>
            <w:tcW w:w="2551" w:type="dxa"/>
            <w:vAlign w:val="center"/>
          </w:tcPr>
          <w:p>
            <w:pPr>
              <w:pStyle w:val="15"/>
            </w:pPr>
            <w:r>
              <w:t>22.70</w:t>
            </w:r>
          </w:p>
        </w:tc>
        <w:tc>
          <w:tcPr>
            <w:tcW w:w="2551" w:type="dxa"/>
            <w:vAlign w:val="center"/>
          </w:tcPr>
          <w:p>
            <w:pPr>
              <w:pStyle w:val="15"/>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3"/>
            </w:pPr>
            <w:r>
              <w:t>115.87</w:t>
            </w:r>
          </w:p>
        </w:tc>
        <w:tc>
          <w:tcPr>
            <w:tcW w:w="2551" w:type="dxa"/>
            <w:vAlign w:val="center"/>
          </w:tcPr>
          <w:p>
            <w:pPr>
              <w:pStyle w:val="13"/>
            </w:pPr>
            <w:r>
              <w:t>9.07</w:t>
            </w:r>
          </w:p>
        </w:tc>
        <w:tc>
          <w:tcPr>
            <w:tcW w:w="2551" w:type="dxa"/>
            <w:vAlign w:val="center"/>
          </w:tcPr>
          <w:p>
            <w:pPr>
              <w:pStyle w:val="13"/>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3"/>
            </w:pPr>
            <w:r>
              <w:t>9.07</w:t>
            </w:r>
          </w:p>
        </w:tc>
        <w:tc>
          <w:tcPr>
            <w:tcW w:w="2551" w:type="dxa"/>
            <w:vAlign w:val="center"/>
          </w:tcPr>
          <w:p>
            <w:pPr>
              <w:pStyle w:val="13"/>
            </w:pPr>
            <w:r>
              <w:t>9.07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3"/>
            </w:pPr>
            <w:r>
              <w:t>9.07</w:t>
            </w:r>
          </w:p>
        </w:tc>
        <w:tc>
          <w:tcPr>
            <w:tcW w:w="2551" w:type="dxa"/>
            <w:vAlign w:val="center"/>
          </w:tcPr>
          <w:p>
            <w:pPr>
              <w:pStyle w:val="13"/>
            </w:pPr>
            <w:r>
              <w:t>9.07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3"/>
            </w:pPr>
            <w:r>
              <w:t>106.80</w:t>
            </w:r>
          </w:p>
        </w:tc>
        <w:tc>
          <w:tcPr>
            <w:tcW w:w="2551" w:type="dxa"/>
            <w:vAlign w:val="center"/>
          </w:tcPr>
          <w:p>
            <w:pPr>
              <w:pStyle w:val="13"/>
            </w:pPr>
          </w:p>
        </w:tc>
        <w:tc>
          <w:tcPr>
            <w:tcW w:w="2551" w:type="dxa"/>
            <w:vAlign w:val="center"/>
          </w:tcPr>
          <w:p>
            <w:pPr>
              <w:pStyle w:val="13"/>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3"/>
            </w:pPr>
            <w:r>
              <w:t>106.80</w:t>
            </w:r>
          </w:p>
        </w:tc>
        <w:tc>
          <w:tcPr>
            <w:tcW w:w="2551" w:type="dxa"/>
            <w:vAlign w:val="center"/>
          </w:tcPr>
          <w:p>
            <w:pPr>
              <w:pStyle w:val="13"/>
            </w:pPr>
          </w:p>
        </w:tc>
        <w:tc>
          <w:tcPr>
            <w:tcW w:w="2551" w:type="dxa"/>
            <w:vAlign w:val="center"/>
          </w:tcPr>
          <w:p>
            <w:pPr>
              <w:pStyle w:val="13"/>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13.64</w:t>
            </w:r>
          </w:p>
        </w:tc>
        <w:tc>
          <w:tcPr>
            <w:tcW w:w="2551" w:type="dxa"/>
            <w:vAlign w:val="center"/>
          </w:tcPr>
          <w:p>
            <w:pPr>
              <w:pStyle w:val="13"/>
            </w:pPr>
            <w:r>
              <w:t>13.64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13.64</w:t>
            </w:r>
          </w:p>
        </w:tc>
        <w:tc>
          <w:tcPr>
            <w:tcW w:w="2551" w:type="dxa"/>
            <w:vAlign w:val="center"/>
          </w:tcPr>
          <w:p>
            <w:pPr>
              <w:pStyle w:val="13"/>
            </w:pPr>
            <w:r>
              <w:t>13.64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3"/>
            </w:pPr>
            <w:r>
              <w:t>13.64</w:t>
            </w:r>
          </w:p>
        </w:tc>
        <w:tc>
          <w:tcPr>
            <w:tcW w:w="2551" w:type="dxa"/>
            <w:vAlign w:val="center"/>
          </w:tcPr>
          <w:p>
            <w:pPr>
              <w:pStyle w:val="13"/>
            </w:pPr>
            <w:r>
              <w:t>13.64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358001魏县文化馆本级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22.70</w:t>
            </w:r>
          </w:p>
        </w:tc>
        <w:tc>
          <w:tcPr>
            <w:tcW w:w="2551" w:type="dxa"/>
            <w:vAlign w:val="center"/>
          </w:tcPr>
          <w:p>
            <w:pPr>
              <w:pStyle w:val="15"/>
            </w:pPr>
            <w:r>
              <w:t>16.70</w:t>
            </w: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1.43</w:t>
            </w:r>
          </w:p>
        </w:tc>
        <w:tc>
          <w:tcPr>
            <w:tcW w:w="2551" w:type="dxa"/>
            <w:vAlign w:val="center"/>
          </w:tcPr>
          <w:p>
            <w:pPr>
              <w:pStyle w:val="13"/>
            </w:pPr>
            <w:r>
              <w:t>1.43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1.43</w:t>
            </w:r>
          </w:p>
        </w:tc>
        <w:tc>
          <w:tcPr>
            <w:tcW w:w="2551" w:type="dxa"/>
            <w:vAlign w:val="center"/>
          </w:tcPr>
          <w:p>
            <w:pPr>
              <w:pStyle w:val="13"/>
            </w:pPr>
            <w:r>
              <w:t>1.43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15.27</w:t>
            </w:r>
          </w:p>
        </w:tc>
        <w:tc>
          <w:tcPr>
            <w:tcW w:w="2551" w:type="dxa"/>
            <w:vAlign w:val="center"/>
          </w:tcPr>
          <w:p>
            <w:pPr>
              <w:pStyle w:val="13"/>
            </w:pPr>
            <w:r>
              <w:t>15.27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13.64</w:t>
            </w:r>
          </w:p>
        </w:tc>
        <w:tc>
          <w:tcPr>
            <w:tcW w:w="2551" w:type="dxa"/>
            <w:vAlign w:val="center"/>
          </w:tcPr>
          <w:p>
            <w:pPr>
              <w:pStyle w:val="13"/>
            </w:pPr>
            <w:r>
              <w:t>13.64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3"/>
            </w:pPr>
            <w:r>
              <w:t>1.64</w:t>
            </w:r>
          </w:p>
        </w:tc>
        <w:tc>
          <w:tcPr>
            <w:tcW w:w="2551" w:type="dxa"/>
            <w:vAlign w:val="center"/>
          </w:tcPr>
          <w:p>
            <w:pPr>
              <w:pStyle w:val="13"/>
            </w:pPr>
            <w:r>
              <w:t>1.64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358001魏县文化馆本级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358001魏县文化馆本级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358001魏县文化馆本级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魏县文化馆本级2023年单位预算信息公开情况说明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bookmarkStart w:id="0" w:name="_GoBack"/>
      <w:bookmarkEnd w:id="0"/>
      <w:r>
        <w:rPr>
          <w:rFonts w:eastAsia="方正仿宋_GBK" w:cs="Times New Roman"/>
          <w:color w:val="000000"/>
          <w:sz w:val="28"/>
        </w:rPr>
        <w:t>预算法》、《地方预决算公开操作规程》和《关于进一步推进预算公开工作的实施意见》规定，现将魏县文化馆本级2023年单位预算公开如下：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 xml:space="preserve">组织开展文化活动、展览、讲座；辅导群众文化队伍，培训文艺人才；开展文化下乡、社会公益性培训；开展非遗传承保护工作。为进一步加大文化馆免费开放工作力度，提升免费开放服务水平，扎实有效的开展非物质文化遗产保护工作，更好的服务于全县工作大局，满足广大人民群众文化生活需求。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2"/>
            </w:pPr>
            <w:r>
              <w:t>魏县文化馆本级</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18"/>
      </w:pPr>
      <w:r>
        <w:t>按照预算管理有关规定，目前我县部门预算的编制实行综合预算管理，即全部收入和支出都反映在预算中。魏县文化馆机关及所属事业单位的收支包含在部门预算中。</w:t>
      </w:r>
    </w:p>
    <w:p>
      <w:pPr>
        <w:pStyle w:val="18"/>
      </w:pPr>
      <w:r>
        <w:t>收入说明：2023 年收入预算共计129.50万元，全部是财政拨款收入。</w:t>
      </w:r>
    </w:p>
    <w:p>
      <w:pPr>
        <w:pStyle w:val="18"/>
      </w:pPr>
      <w:r>
        <w:t>支出说明：2023年支出预算共计129.50万元，其中人员经费支出预算16.7万元，日常公用经费支出预算6万元。项目支出106.80万元。</w:t>
      </w:r>
    </w:p>
    <w:p>
      <w:pPr>
        <w:pStyle w:val="18"/>
      </w:pPr>
      <w:r>
        <w:t>比上年增减情况：经过对比测算，2023年财政拨款预算比2022年增加39.21万元，主要是：人员经费减少47.79万元、日常公用经费增加1万元、项目经费增加86万元。</w:t>
      </w:r>
    </w:p>
    <w:p>
      <w:pPr>
        <w:spacing w:before="10" w:after="10"/>
        <w:ind w:firstLine="640"/>
        <w:outlineLvl w:val="5"/>
      </w:pPr>
      <w:r>
        <w:rPr>
          <w:rFonts w:ascii="黑体" w:hAnsi="黑体" w:eastAsia="黑体" w:cs="黑体"/>
          <w:color w:val="000000"/>
          <w:sz w:val="32"/>
        </w:rPr>
        <w:t>三、机关运行经费安排情况</w:t>
      </w:r>
    </w:p>
    <w:p>
      <w:pPr>
        <w:pStyle w:val="19"/>
        <w:rPr>
          <w:rFonts w:hint="eastAsia" w:eastAsia="方正仿宋_GBK"/>
          <w:lang w:eastAsia="zh-CN"/>
        </w:rPr>
      </w:pPr>
      <w:r>
        <w:t>机关运行经费共计安排</w:t>
      </w:r>
      <w:r>
        <w:rPr>
          <w:rFonts w:hint="eastAsia"/>
          <w:lang w:val="en-US" w:eastAsia="zh-CN"/>
        </w:rPr>
        <w:t>6</w:t>
      </w:r>
      <w:r>
        <w:t>万元，主要用于保证正常办公的基本需要和维持单位日常业务运转，包括：办公费、邮电费、差旅费、印刷费、水电费。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2023年，财政拨款“三公”经费预算安排0万元，与上年持平。其中因公出国(境)费0万元，与上年持平；公务用车购置及运维费0万元，与上年持平(其中：公务用车购置费为0万元，公务用车运行费0万元)；公务接待费0万元，与上年持平。主要原因是根据上级有关精神，压减“三公”经费等一般性支出，未安排相关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1、冀财教[2022]144号2023年中央补助地方文化馆免费开放资金绩效目标表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1.全部免费对社会公众开展基本公共文化服务,开展文化活动2次以上，群众参与人次逐年提升。</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成本指标</w:t>
            </w:r>
          </w:p>
        </w:tc>
        <w:tc>
          <w:tcPr>
            <w:tcW w:w="2835" w:type="dxa"/>
            <w:vAlign w:val="center"/>
          </w:tcPr>
          <w:p>
            <w:pPr>
              <w:pStyle w:val="12"/>
            </w:pPr>
            <w:r>
              <w:t>文化馆免费开放资金</w:t>
            </w:r>
          </w:p>
        </w:tc>
        <w:tc>
          <w:tcPr>
            <w:tcW w:w="2835" w:type="dxa"/>
            <w:vAlign w:val="center"/>
          </w:tcPr>
          <w:p>
            <w:pPr>
              <w:pStyle w:val="12"/>
            </w:pPr>
            <w:r>
              <w:t>实际到位文化馆免费开放资金</w:t>
            </w:r>
          </w:p>
        </w:tc>
        <w:tc>
          <w:tcPr>
            <w:tcW w:w="2551" w:type="dxa"/>
            <w:vAlign w:val="center"/>
          </w:tcPr>
          <w:p>
            <w:pPr>
              <w:pStyle w:val="12"/>
            </w:pPr>
            <w:r>
              <w:t>12万元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组织各种文化活动的数量</w:t>
            </w:r>
          </w:p>
        </w:tc>
        <w:tc>
          <w:tcPr>
            <w:tcW w:w="2835" w:type="dxa"/>
            <w:vAlign w:val="center"/>
          </w:tcPr>
          <w:p>
            <w:pPr>
              <w:pStyle w:val="12"/>
            </w:pPr>
            <w:r>
              <w:t>组织各种文化活动的数量</w:t>
            </w:r>
          </w:p>
        </w:tc>
        <w:tc>
          <w:tcPr>
            <w:tcW w:w="2551" w:type="dxa"/>
            <w:vAlign w:val="center"/>
          </w:tcPr>
          <w:p>
            <w:pPr>
              <w:pStyle w:val="12"/>
            </w:pPr>
            <w:r>
              <w:t>≥2次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群众参与人次较上年增长率</w:t>
            </w:r>
          </w:p>
        </w:tc>
        <w:tc>
          <w:tcPr>
            <w:tcW w:w="2835" w:type="dxa"/>
            <w:vAlign w:val="center"/>
          </w:tcPr>
          <w:p>
            <w:pPr>
              <w:pStyle w:val="12"/>
            </w:pPr>
            <w:r>
              <w:t>群众参与人次较上年增长率</w:t>
            </w:r>
          </w:p>
        </w:tc>
        <w:tc>
          <w:tcPr>
            <w:tcW w:w="2551" w:type="dxa"/>
            <w:vAlign w:val="center"/>
          </w:tcPr>
          <w:p>
            <w:pPr>
              <w:pStyle w:val="12"/>
            </w:pPr>
            <w:r>
              <w:t>≥2%</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补助资金到位率</w:t>
            </w:r>
          </w:p>
        </w:tc>
        <w:tc>
          <w:tcPr>
            <w:tcW w:w="2835" w:type="dxa"/>
            <w:vAlign w:val="center"/>
          </w:tcPr>
          <w:p>
            <w:pPr>
              <w:pStyle w:val="12"/>
            </w:pPr>
            <w:r>
              <w:t>补助资金拨付占未拨付的比例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免费开放正常运转</w:t>
            </w:r>
          </w:p>
        </w:tc>
        <w:tc>
          <w:tcPr>
            <w:tcW w:w="2835" w:type="dxa"/>
            <w:vAlign w:val="center"/>
          </w:tcPr>
          <w:p>
            <w:pPr>
              <w:pStyle w:val="12"/>
            </w:pPr>
            <w:r>
              <w:t>免费开放正常运转的比例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公关文化服务水平提升</w:t>
            </w:r>
          </w:p>
        </w:tc>
        <w:tc>
          <w:tcPr>
            <w:tcW w:w="2835" w:type="dxa"/>
            <w:vAlign w:val="center"/>
          </w:tcPr>
          <w:p>
            <w:pPr>
              <w:pStyle w:val="12"/>
            </w:pPr>
            <w:r>
              <w:t>公共文化服务水平提升</w:t>
            </w:r>
          </w:p>
        </w:tc>
        <w:tc>
          <w:tcPr>
            <w:tcW w:w="2551" w:type="dxa"/>
            <w:vAlign w:val="center"/>
          </w:tcPr>
          <w:p>
            <w:pPr>
              <w:pStyle w:val="12"/>
            </w:pPr>
            <w:r>
              <w:t>长期</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受益群众满意度所占比例</w:t>
            </w:r>
          </w:p>
        </w:tc>
        <w:tc>
          <w:tcPr>
            <w:tcW w:w="2551" w:type="dxa"/>
            <w:vAlign w:val="center"/>
          </w:tcPr>
          <w:p>
            <w:pPr>
              <w:pStyle w:val="12"/>
            </w:pPr>
            <w:r>
              <w:t>≥90%</w:t>
            </w:r>
          </w:p>
        </w:tc>
        <w:tc>
          <w:tcPr>
            <w:tcW w:w="2268" w:type="dxa"/>
            <w:vAlign w:val="center"/>
          </w:tcPr>
          <w:p>
            <w:pPr>
              <w:pStyle w:val="12"/>
            </w:pPr>
            <w:r>
              <w:t>调查问卷、群众留言</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2、冀财教[2022]154号国家非物质文化遗产保护资金-国家级非遗传承人传承补助绩效目标表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1.国家级非物质文化遗产代表性传承人1名，开展文化传承活动，积极参加公益活动，弘扬优秀传统文化。</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国家级非遗代表性传承人数量</w:t>
            </w:r>
          </w:p>
        </w:tc>
        <w:tc>
          <w:tcPr>
            <w:tcW w:w="2835" w:type="dxa"/>
            <w:vAlign w:val="center"/>
          </w:tcPr>
          <w:p>
            <w:pPr>
              <w:pStyle w:val="12"/>
            </w:pPr>
            <w:r>
              <w:t>国家级非遗代表性传承人数量</w:t>
            </w:r>
          </w:p>
        </w:tc>
        <w:tc>
          <w:tcPr>
            <w:tcW w:w="2551" w:type="dxa"/>
            <w:vAlign w:val="center"/>
          </w:tcPr>
          <w:p>
            <w:pPr>
              <w:pStyle w:val="12"/>
            </w:pPr>
            <w:r>
              <w:t>1名</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2835" w:type="dxa"/>
            <w:vAlign w:val="center"/>
          </w:tcPr>
          <w:p>
            <w:pPr>
              <w:pStyle w:val="12"/>
            </w:pPr>
            <w:r>
              <w:t>资金发放到传承人情况</w:t>
            </w:r>
          </w:p>
        </w:tc>
        <w:tc>
          <w:tcPr>
            <w:tcW w:w="2551" w:type="dxa"/>
            <w:vAlign w:val="center"/>
          </w:tcPr>
          <w:p>
            <w:pPr>
              <w:pStyle w:val="12"/>
            </w:pPr>
            <w:r>
              <w:t>100%</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12月前</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2835" w:type="dxa"/>
            <w:vAlign w:val="center"/>
          </w:tcPr>
          <w:p>
            <w:pPr>
              <w:pStyle w:val="12"/>
            </w:pPr>
            <w:r>
              <w:t>人均发放标准</w:t>
            </w:r>
          </w:p>
        </w:tc>
        <w:tc>
          <w:tcPr>
            <w:tcW w:w="2551" w:type="dxa"/>
            <w:vAlign w:val="center"/>
          </w:tcPr>
          <w:p>
            <w:pPr>
              <w:pStyle w:val="12"/>
            </w:pPr>
            <w:r>
              <w:t>2万元</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传承人群增长率</w:t>
            </w:r>
          </w:p>
        </w:tc>
        <w:tc>
          <w:tcPr>
            <w:tcW w:w="2835" w:type="dxa"/>
            <w:vAlign w:val="center"/>
          </w:tcPr>
          <w:p>
            <w:pPr>
              <w:pStyle w:val="12"/>
            </w:pPr>
            <w:r>
              <w:t>传承人数的增长比例</w:t>
            </w:r>
          </w:p>
        </w:tc>
        <w:tc>
          <w:tcPr>
            <w:tcW w:w="2551" w:type="dxa"/>
            <w:vAlign w:val="center"/>
          </w:tcPr>
          <w:p>
            <w:pPr>
              <w:pStyle w:val="12"/>
            </w:pPr>
            <w:r>
              <w:t>≥5%</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对中华优秀传统文化传承影响</w:t>
            </w:r>
          </w:p>
        </w:tc>
        <w:tc>
          <w:tcPr>
            <w:tcW w:w="2835" w:type="dxa"/>
            <w:vAlign w:val="center"/>
          </w:tcPr>
          <w:p>
            <w:pPr>
              <w:pStyle w:val="12"/>
            </w:pPr>
            <w:r>
              <w:t>对中华优秀传统文化传承影响</w:t>
            </w:r>
          </w:p>
        </w:tc>
        <w:tc>
          <w:tcPr>
            <w:tcW w:w="2551" w:type="dxa"/>
            <w:vAlign w:val="center"/>
          </w:tcPr>
          <w:p>
            <w:pPr>
              <w:pStyle w:val="12"/>
            </w:pPr>
            <w:r>
              <w:t>显著</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社会公众对非物质文化遗产保护满意比例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3、冀财教[2022]167号2023年省级非物质文化遗产保护资金-省级非遗传承人补助绩效目标表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1.组织省级非物质文化遗产代表性传承人8名积极参加公益性宣传展示活动，师传授徒、传承本项目技艺，广泛开展交流传承活动。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补助省级非遗代表性传承人补助数量</w:t>
            </w:r>
          </w:p>
        </w:tc>
        <w:tc>
          <w:tcPr>
            <w:tcW w:w="2835" w:type="dxa"/>
            <w:vAlign w:val="center"/>
          </w:tcPr>
          <w:p>
            <w:pPr>
              <w:pStyle w:val="12"/>
            </w:pPr>
            <w:r>
              <w:t>省级非遗代表性传承人数量</w:t>
            </w:r>
          </w:p>
        </w:tc>
        <w:tc>
          <w:tcPr>
            <w:tcW w:w="2551" w:type="dxa"/>
            <w:vAlign w:val="center"/>
          </w:tcPr>
          <w:p>
            <w:pPr>
              <w:pStyle w:val="12"/>
            </w:pPr>
            <w:r>
              <w:t>8名</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2835" w:type="dxa"/>
            <w:vAlign w:val="center"/>
          </w:tcPr>
          <w:p>
            <w:pPr>
              <w:pStyle w:val="12"/>
            </w:pPr>
            <w:r>
              <w:t>资金发放到传承人情况</w:t>
            </w:r>
          </w:p>
        </w:tc>
        <w:tc>
          <w:tcPr>
            <w:tcW w:w="2551" w:type="dxa"/>
            <w:vAlign w:val="center"/>
          </w:tcPr>
          <w:p>
            <w:pPr>
              <w:pStyle w:val="12"/>
            </w:pPr>
            <w:r>
              <w:t>100%</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12月前</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2835" w:type="dxa"/>
            <w:vAlign w:val="center"/>
          </w:tcPr>
          <w:p>
            <w:pPr>
              <w:pStyle w:val="12"/>
            </w:pPr>
            <w:r>
              <w:t>发放标准</w:t>
            </w:r>
          </w:p>
        </w:tc>
        <w:tc>
          <w:tcPr>
            <w:tcW w:w="2551" w:type="dxa"/>
            <w:vAlign w:val="center"/>
          </w:tcPr>
          <w:p>
            <w:pPr>
              <w:pStyle w:val="12"/>
            </w:pPr>
            <w:r>
              <w:t>4.8万元</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传承人群增长率</w:t>
            </w:r>
          </w:p>
        </w:tc>
        <w:tc>
          <w:tcPr>
            <w:tcW w:w="2835" w:type="dxa"/>
            <w:vAlign w:val="center"/>
          </w:tcPr>
          <w:p>
            <w:pPr>
              <w:pStyle w:val="12"/>
            </w:pPr>
            <w:r>
              <w:t>传承人数的增长比例</w:t>
            </w:r>
          </w:p>
        </w:tc>
        <w:tc>
          <w:tcPr>
            <w:tcW w:w="2551" w:type="dxa"/>
            <w:vAlign w:val="center"/>
          </w:tcPr>
          <w:p>
            <w:pPr>
              <w:pStyle w:val="12"/>
            </w:pPr>
            <w:r>
              <w:t>≥5%</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对中华优秀传统文化传承影响</w:t>
            </w:r>
          </w:p>
        </w:tc>
        <w:tc>
          <w:tcPr>
            <w:tcW w:w="2835" w:type="dxa"/>
            <w:vAlign w:val="center"/>
          </w:tcPr>
          <w:p>
            <w:pPr>
              <w:pStyle w:val="12"/>
            </w:pPr>
            <w:r>
              <w:t>对中华优秀传统文化传承影响</w:t>
            </w:r>
          </w:p>
        </w:tc>
        <w:tc>
          <w:tcPr>
            <w:tcW w:w="2551" w:type="dxa"/>
            <w:vAlign w:val="center"/>
          </w:tcPr>
          <w:p>
            <w:pPr>
              <w:pStyle w:val="12"/>
            </w:pPr>
            <w:r>
              <w:t>显著</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社会公众对非物质文化遗产保护满意比例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4、冀财教[2022]174号省级“三馆一站”免费开放资金-文化馆免费开放经费绩效目标表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1.全部免费对社会公众开展基本公共文化服务,开展文化活动2次以上，群众参与人次逐年提升。</w:t>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成本指标</w:t>
            </w:r>
          </w:p>
        </w:tc>
        <w:tc>
          <w:tcPr>
            <w:tcW w:w="2835" w:type="dxa"/>
            <w:vAlign w:val="center"/>
          </w:tcPr>
          <w:p>
            <w:pPr>
              <w:pStyle w:val="12"/>
            </w:pPr>
            <w:r>
              <w:t>文化馆免费开放资金</w:t>
            </w:r>
          </w:p>
        </w:tc>
        <w:tc>
          <w:tcPr>
            <w:tcW w:w="2835" w:type="dxa"/>
            <w:vAlign w:val="center"/>
          </w:tcPr>
          <w:p>
            <w:pPr>
              <w:pStyle w:val="12"/>
            </w:pPr>
            <w:r>
              <w:t>实际到位文化馆免费开放资金</w:t>
            </w:r>
          </w:p>
        </w:tc>
        <w:tc>
          <w:tcPr>
            <w:tcW w:w="2551" w:type="dxa"/>
            <w:vAlign w:val="center"/>
          </w:tcPr>
          <w:p>
            <w:pPr>
              <w:pStyle w:val="12"/>
            </w:pPr>
            <w:r>
              <w:t>2万元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开展文化活动次数</w:t>
            </w:r>
          </w:p>
        </w:tc>
        <w:tc>
          <w:tcPr>
            <w:tcW w:w="2551" w:type="dxa"/>
            <w:vAlign w:val="center"/>
          </w:tcPr>
          <w:p>
            <w:pPr>
              <w:pStyle w:val="12"/>
            </w:pPr>
            <w:r>
              <w:t>≥2次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群众参与人次较上年增长率</w:t>
            </w:r>
          </w:p>
        </w:tc>
        <w:tc>
          <w:tcPr>
            <w:tcW w:w="2835" w:type="dxa"/>
            <w:vAlign w:val="center"/>
          </w:tcPr>
          <w:p>
            <w:pPr>
              <w:pStyle w:val="12"/>
            </w:pPr>
            <w:r>
              <w:t>群众参与人次较上年增长率</w:t>
            </w:r>
          </w:p>
        </w:tc>
        <w:tc>
          <w:tcPr>
            <w:tcW w:w="2551" w:type="dxa"/>
            <w:vAlign w:val="center"/>
          </w:tcPr>
          <w:p>
            <w:pPr>
              <w:pStyle w:val="12"/>
            </w:pPr>
            <w:r>
              <w:t>≥2%</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补助资金到位率</w:t>
            </w:r>
          </w:p>
        </w:tc>
        <w:tc>
          <w:tcPr>
            <w:tcW w:w="2835" w:type="dxa"/>
            <w:vAlign w:val="center"/>
          </w:tcPr>
          <w:p>
            <w:pPr>
              <w:pStyle w:val="12"/>
            </w:pPr>
            <w:r>
              <w:t>补助资金拨付占未拨付的比例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免费开放正常运转</w:t>
            </w:r>
          </w:p>
        </w:tc>
        <w:tc>
          <w:tcPr>
            <w:tcW w:w="2835" w:type="dxa"/>
            <w:vAlign w:val="center"/>
          </w:tcPr>
          <w:p>
            <w:pPr>
              <w:pStyle w:val="12"/>
            </w:pPr>
            <w:r>
              <w:t>免费开放正常运转的比例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公关文化服务水平提升</w:t>
            </w:r>
          </w:p>
        </w:tc>
        <w:tc>
          <w:tcPr>
            <w:tcW w:w="2835" w:type="dxa"/>
            <w:vAlign w:val="center"/>
          </w:tcPr>
          <w:p>
            <w:pPr>
              <w:pStyle w:val="12"/>
            </w:pPr>
            <w:r>
              <w:t>公共文化服务水平提升</w:t>
            </w:r>
          </w:p>
        </w:tc>
        <w:tc>
          <w:tcPr>
            <w:tcW w:w="2551" w:type="dxa"/>
            <w:vAlign w:val="center"/>
          </w:tcPr>
          <w:p>
            <w:pPr>
              <w:pStyle w:val="12"/>
            </w:pPr>
            <w:r>
              <w:t>长期</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受益群众满意度所占比例</w:t>
            </w:r>
          </w:p>
        </w:tc>
        <w:tc>
          <w:tcPr>
            <w:tcW w:w="2551" w:type="dxa"/>
            <w:vAlign w:val="center"/>
          </w:tcPr>
          <w:p>
            <w:pPr>
              <w:pStyle w:val="12"/>
            </w:pPr>
            <w:r>
              <w:t>≥90%</w:t>
            </w:r>
          </w:p>
        </w:tc>
        <w:tc>
          <w:tcPr>
            <w:tcW w:w="2268" w:type="dxa"/>
            <w:vAlign w:val="center"/>
          </w:tcPr>
          <w:p>
            <w:pPr>
              <w:pStyle w:val="12"/>
            </w:pPr>
            <w:r>
              <w:t>调查问卷、群众留言</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5、冀财教【2022】151号2023年中央补助地方公共文化服务体系建设资金--文化馆公共服务提升项目绩效目标表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1.魏县文化馆公共服务提升，做好购置专业设备1台，建设网站一个，非遗展厅一个，组织各类文化活动45场次，提升全县文化活动能力。</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购置专业设备</w:t>
            </w:r>
          </w:p>
        </w:tc>
        <w:tc>
          <w:tcPr>
            <w:tcW w:w="2835" w:type="dxa"/>
            <w:vAlign w:val="center"/>
          </w:tcPr>
          <w:p>
            <w:pPr>
              <w:pStyle w:val="12"/>
            </w:pPr>
            <w:r>
              <w:t>购置专业设备数量</w:t>
            </w:r>
          </w:p>
        </w:tc>
        <w:tc>
          <w:tcPr>
            <w:tcW w:w="2551" w:type="dxa"/>
            <w:vAlign w:val="center"/>
          </w:tcPr>
          <w:p>
            <w:pPr>
              <w:pStyle w:val="12"/>
            </w:pPr>
            <w:r>
              <w:t>≥1台</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非遗展厅布展</w:t>
            </w:r>
          </w:p>
        </w:tc>
        <w:tc>
          <w:tcPr>
            <w:tcW w:w="2835" w:type="dxa"/>
            <w:vAlign w:val="center"/>
          </w:tcPr>
          <w:p>
            <w:pPr>
              <w:pStyle w:val="12"/>
            </w:pPr>
            <w:r>
              <w:t>展厅布展个数</w:t>
            </w:r>
          </w:p>
        </w:tc>
        <w:tc>
          <w:tcPr>
            <w:tcW w:w="2551" w:type="dxa"/>
            <w:vAlign w:val="center"/>
          </w:tcPr>
          <w:p>
            <w:pPr>
              <w:pStyle w:val="12"/>
            </w:pPr>
            <w:r>
              <w:t>1个</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建设文化馆网站数量</w:t>
            </w:r>
          </w:p>
        </w:tc>
        <w:tc>
          <w:tcPr>
            <w:tcW w:w="2835" w:type="dxa"/>
            <w:vAlign w:val="center"/>
          </w:tcPr>
          <w:p>
            <w:pPr>
              <w:pStyle w:val="12"/>
            </w:pPr>
            <w:r>
              <w:t>建设文化馆网站数量</w:t>
            </w:r>
          </w:p>
        </w:tc>
        <w:tc>
          <w:tcPr>
            <w:tcW w:w="2551" w:type="dxa"/>
            <w:vAlign w:val="center"/>
          </w:tcPr>
          <w:p>
            <w:pPr>
              <w:pStyle w:val="12"/>
            </w:pPr>
            <w:r>
              <w:t>1个</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2835" w:type="dxa"/>
            <w:vAlign w:val="center"/>
          </w:tcPr>
          <w:p>
            <w:pPr>
              <w:pStyle w:val="12"/>
            </w:pPr>
            <w:r>
              <w:t>业务工作完成率（%）</w:t>
            </w:r>
          </w:p>
        </w:tc>
        <w:tc>
          <w:tcPr>
            <w:tcW w:w="2551" w:type="dxa"/>
            <w:vAlign w:val="center"/>
          </w:tcPr>
          <w:p>
            <w:pPr>
              <w:pStyle w:val="12"/>
            </w:pPr>
            <w:r>
              <w:t>≥90%</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工作完成的时限</w:t>
            </w:r>
          </w:p>
        </w:tc>
        <w:tc>
          <w:tcPr>
            <w:tcW w:w="2835" w:type="dxa"/>
            <w:vAlign w:val="center"/>
          </w:tcPr>
          <w:p>
            <w:pPr>
              <w:pStyle w:val="12"/>
            </w:pPr>
            <w:r>
              <w:t>工作完成的时限要求</w:t>
            </w:r>
          </w:p>
        </w:tc>
        <w:tc>
          <w:tcPr>
            <w:tcW w:w="2551" w:type="dxa"/>
            <w:vAlign w:val="center"/>
          </w:tcPr>
          <w:p>
            <w:pPr>
              <w:pStyle w:val="12"/>
            </w:pPr>
            <w:r>
              <w:t>12月底前</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w:t>
            </w:r>
          </w:p>
        </w:tc>
        <w:tc>
          <w:tcPr>
            <w:tcW w:w="2835" w:type="dxa"/>
            <w:vAlign w:val="center"/>
          </w:tcPr>
          <w:p>
            <w:pPr>
              <w:pStyle w:val="12"/>
            </w:pPr>
            <w:r>
              <w:t>项目预算成本</w:t>
            </w:r>
          </w:p>
        </w:tc>
        <w:tc>
          <w:tcPr>
            <w:tcW w:w="2551" w:type="dxa"/>
            <w:vAlign w:val="center"/>
          </w:tcPr>
          <w:p>
            <w:pPr>
              <w:pStyle w:val="12"/>
            </w:pPr>
            <w:r>
              <w:t>≤80万元</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组织各类文化活动</w:t>
            </w:r>
          </w:p>
        </w:tc>
        <w:tc>
          <w:tcPr>
            <w:tcW w:w="2835" w:type="dxa"/>
            <w:vAlign w:val="center"/>
          </w:tcPr>
          <w:p>
            <w:pPr>
              <w:pStyle w:val="12"/>
            </w:pPr>
            <w:r>
              <w:t>组织各类文化活动场次</w:t>
            </w:r>
          </w:p>
        </w:tc>
        <w:tc>
          <w:tcPr>
            <w:tcW w:w="2551" w:type="dxa"/>
            <w:vAlign w:val="center"/>
          </w:tcPr>
          <w:p>
            <w:pPr>
              <w:pStyle w:val="12"/>
            </w:pPr>
            <w:r>
              <w:t>45场次</w:t>
            </w:r>
          </w:p>
        </w:tc>
        <w:tc>
          <w:tcPr>
            <w:tcW w:w="2268" w:type="dxa"/>
            <w:vAlign w:val="center"/>
          </w:tcPr>
          <w:p>
            <w:pPr>
              <w:pStyle w:val="12"/>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公共文化场馆流通人次</w:t>
            </w:r>
          </w:p>
        </w:tc>
        <w:tc>
          <w:tcPr>
            <w:tcW w:w="2835" w:type="dxa"/>
            <w:vAlign w:val="center"/>
          </w:tcPr>
          <w:p>
            <w:pPr>
              <w:pStyle w:val="12"/>
            </w:pPr>
            <w:r>
              <w:t>公共文化场馆流通人次</w:t>
            </w:r>
          </w:p>
        </w:tc>
        <w:tc>
          <w:tcPr>
            <w:tcW w:w="2551" w:type="dxa"/>
            <w:vAlign w:val="center"/>
          </w:tcPr>
          <w:p>
            <w:pPr>
              <w:pStyle w:val="12"/>
            </w:pPr>
            <w:r>
              <w:t>≥20000人次</w:t>
            </w:r>
          </w:p>
        </w:tc>
        <w:tc>
          <w:tcPr>
            <w:tcW w:w="2268"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2835" w:type="dxa"/>
            <w:vAlign w:val="center"/>
          </w:tcPr>
          <w:p>
            <w:pPr>
              <w:pStyle w:val="12"/>
            </w:pPr>
            <w:r>
              <w:t>提升公共服务水平和质量</w:t>
            </w:r>
          </w:p>
        </w:tc>
        <w:tc>
          <w:tcPr>
            <w:tcW w:w="2551" w:type="dxa"/>
            <w:vAlign w:val="center"/>
          </w:tcPr>
          <w:p>
            <w:pPr>
              <w:pStyle w:val="12"/>
            </w:pPr>
            <w:r>
              <w:t>提升</w:t>
            </w:r>
          </w:p>
        </w:tc>
        <w:tc>
          <w:tcPr>
            <w:tcW w:w="2268"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提升公共服务水平和质量</w:t>
            </w:r>
          </w:p>
        </w:tc>
        <w:tc>
          <w:tcPr>
            <w:tcW w:w="2835" w:type="dxa"/>
            <w:vAlign w:val="center"/>
          </w:tcPr>
          <w:p>
            <w:pPr>
              <w:pStyle w:val="12"/>
            </w:pPr>
            <w:r>
              <w:t>提升公共服务水平和质量</w:t>
            </w:r>
          </w:p>
        </w:tc>
        <w:tc>
          <w:tcPr>
            <w:tcW w:w="2551" w:type="dxa"/>
            <w:vAlign w:val="center"/>
          </w:tcPr>
          <w:p>
            <w:pPr>
              <w:pStyle w:val="12"/>
            </w:pPr>
            <w:r>
              <w:t>提升</w:t>
            </w:r>
          </w:p>
        </w:tc>
        <w:tc>
          <w:tcPr>
            <w:tcW w:w="2268" w:type="dxa"/>
            <w:vAlign w:val="center"/>
          </w:tcPr>
          <w:p>
            <w:pPr>
              <w:pStyle w:val="12"/>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6、文化馆免费开放补助县级配套绩效目标表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1.提供基本文化服务，保障县文化馆全部免费开放。</w:t>
            </w:r>
            <w:r>
              <w:tab/>
            </w: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成本指标</w:t>
            </w:r>
          </w:p>
        </w:tc>
        <w:tc>
          <w:tcPr>
            <w:tcW w:w="2835" w:type="dxa"/>
            <w:vAlign w:val="center"/>
          </w:tcPr>
          <w:p>
            <w:pPr>
              <w:pStyle w:val="12"/>
            </w:pPr>
            <w:r>
              <w:t>两馆站免费开放资金</w:t>
            </w:r>
          </w:p>
        </w:tc>
        <w:tc>
          <w:tcPr>
            <w:tcW w:w="2835" w:type="dxa"/>
            <w:vAlign w:val="center"/>
          </w:tcPr>
          <w:p>
            <w:pPr>
              <w:pStyle w:val="12"/>
            </w:pPr>
            <w:r>
              <w:t>实际到位两馆站免费开放资金</w:t>
            </w:r>
          </w:p>
        </w:tc>
        <w:tc>
          <w:tcPr>
            <w:tcW w:w="2551" w:type="dxa"/>
            <w:vAlign w:val="center"/>
          </w:tcPr>
          <w:p>
            <w:pPr>
              <w:pStyle w:val="12"/>
            </w:pPr>
            <w:r>
              <w:t>6万元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两馆站免费开放数量</w:t>
            </w:r>
          </w:p>
        </w:tc>
        <w:tc>
          <w:tcPr>
            <w:tcW w:w="2835" w:type="dxa"/>
            <w:vAlign w:val="center"/>
          </w:tcPr>
          <w:p>
            <w:pPr>
              <w:pStyle w:val="12"/>
            </w:pPr>
            <w:r>
              <w:t>全县实际免费开放的数量</w:t>
            </w:r>
          </w:p>
        </w:tc>
        <w:tc>
          <w:tcPr>
            <w:tcW w:w="2551" w:type="dxa"/>
            <w:vAlign w:val="center"/>
          </w:tcPr>
          <w:p>
            <w:pPr>
              <w:pStyle w:val="12"/>
            </w:pPr>
            <w:r>
              <w:t>1个</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两馆站免费开放正常运转</w:t>
            </w:r>
          </w:p>
        </w:tc>
        <w:tc>
          <w:tcPr>
            <w:tcW w:w="2835" w:type="dxa"/>
            <w:vAlign w:val="center"/>
          </w:tcPr>
          <w:p>
            <w:pPr>
              <w:pStyle w:val="12"/>
            </w:pPr>
            <w:r>
              <w:t>实际两馆站免费开放正常运转所占比例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工作完成时限</w:t>
            </w:r>
          </w:p>
        </w:tc>
        <w:tc>
          <w:tcPr>
            <w:tcW w:w="2551" w:type="dxa"/>
            <w:vAlign w:val="center"/>
          </w:tcPr>
          <w:p>
            <w:pPr>
              <w:pStyle w:val="12"/>
            </w:pPr>
            <w:r>
              <w:t>12月底</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免费开放正常运转</w:t>
            </w:r>
          </w:p>
        </w:tc>
        <w:tc>
          <w:tcPr>
            <w:tcW w:w="2835" w:type="dxa"/>
            <w:vAlign w:val="center"/>
          </w:tcPr>
          <w:p>
            <w:pPr>
              <w:pStyle w:val="12"/>
            </w:pPr>
            <w:r>
              <w:t>免费开放正常运转的比例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公关文化服务水平提升</w:t>
            </w:r>
          </w:p>
        </w:tc>
        <w:tc>
          <w:tcPr>
            <w:tcW w:w="2835" w:type="dxa"/>
            <w:vAlign w:val="center"/>
          </w:tcPr>
          <w:p>
            <w:pPr>
              <w:pStyle w:val="12"/>
            </w:pPr>
            <w:r>
              <w:t>公共文化服务水平提升</w:t>
            </w:r>
          </w:p>
        </w:tc>
        <w:tc>
          <w:tcPr>
            <w:tcW w:w="2551" w:type="dxa"/>
            <w:vAlign w:val="center"/>
          </w:tcPr>
          <w:p>
            <w:pPr>
              <w:pStyle w:val="12"/>
            </w:pPr>
            <w:r>
              <w:t>稳步提升</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受益群众满意度所占比例</w:t>
            </w:r>
          </w:p>
        </w:tc>
        <w:tc>
          <w:tcPr>
            <w:tcW w:w="2551" w:type="dxa"/>
            <w:vAlign w:val="center"/>
          </w:tcPr>
          <w:p>
            <w:pPr>
              <w:pStyle w:val="12"/>
            </w:pPr>
            <w:r>
              <w:t>≥90%</w:t>
            </w:r>
          </w:p>
        </w:tc>
        <w:tc>
          <w:tcPr>
            <w:tcW w:w="2268" w:type="dxa"/>
            <w:vAlign w:val="center"/>
          </w:tcPr>
          <w:p>
            <w:pPr>
              <w:pStyle w:val="12"/>
            </w:pPr>
            <w:r>
              <w:t>调查问卷、读者留言</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2023年，魏县文化馆本级安排政府采购预算2.50万元。具体内容见下表。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358001魏县文化馆本级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魏县文化馆本级小计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冀财教【2022】151号2023年中央补助地方公共文化服务体系建设资金--文化馆公共服务提升项目</w:t>
            </w:r>
          </w:p>
        </w:tc>
        <w:tc>
          <w:tcPr>
            <w:tcW w:w="964" w:type="dxa"/>
            <w:vAlign w:val="center"/>
          </w:tcPr>
          <w:p>
            <w:pPr>
              <w:pStyle w:val="13"/>
            </w:pPr>
            <w:r>
              <w:t>80.00</w:t>
            </w:r>
          </w:p>
        </w:tc>
        <w:tc>
          <w:tcPr>
            <w:tcW w:w="1134" w:type="dxa"/>
            <w:vAlign w:val="center"/>
          </w:tcPr>
          <w:p>
            <w:pPr>
              <w:pStyle w:val="12"/>
            </w:pPr>
            <w:r>
              <w:t>乐器</w:t>
            </w:r>
          </w:p>
        </w:tc>
        <w:tc>
          <w:tcPr>
            <w:tcW w:w="1134" w:type="dxa"/>
            <w:vAlign w:val="center"/>
          </w:tcPr>
          <w:p>
            <w:pPr>
              <w:pStyle w:val="12"/>
            </w:pPr>
            <w:r>
              <w:t>A02450100</w:t>
            </w:r>
          </w:p>
        </w:tc>
        <w:tc>
          <w:tcPr>
            <w:tcW w:w="709" w:type="dxa"/>
            <w:vAlign w:val="center"/>
          </w:tcPr>
          <w:p>
            <w:pPr>
              <w:pStyle w:val="11"/>
            </w:pPr>
            <w:r>
              <w:t>台</w:t>
            </w:r>
          </w:p>
        </w:tc>
        <w:tc>
          <w:tcPr>
            <w:tcW w:w="850" w:type="dxa"/>
            <w:vAlign w:val="center"/>
          </w:tcPr>
          <w:p>
            <w:pPr>
              <w:pStyle w:val="13"/>
            </w:pPr>
            <w:r>
              <w:t>1</w:t>
            </w:r>
          </w:p>
        </w:tc>
        <w:tc>
          <w:tcPr>
            <w:tcW w:w="850" w:type="dxa"/>
            <w:vAlign w:val="center"/>
          </w:tcPr>
          <w:p>
            <w:pPr>
              <w:pStyle w:val="13"/>
            </w:pPr>
            <w:r>
              <w:t>2.50</w:t>
            </w:r>
          </w:p>
        </w:tc>
        <w:tc>
          <w:tcPr>
            <w:tcW w:w="964" w:type="dxa"/>
            <w:vAlign w:val="center"/>
          </w:tcPr>
          <w:p>
            <w:pPr>
              <w:pStyle w:val="13"/>
            </w:pPr>
            <w:r>
              <w:t>2.50</w:t>
            </w:r>
          </w:p>
        </w:tc>
        <w:tc>
          <w:tcPr>
            <w:tcW w:w="964" w:type="dxa"/>
            <w:vAlign w:val="center"/>
          </w:tcPr>
          <w:p>
            <w:pPr>
              <w:pStyle w:val="13"/>
            </w:pPr>
            <w:r>
              <w:t>2.50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魏县文化馆本级上年末固定资产金额为</w:t>
      </w:r>
      <w:r>
        <w:rPr>
          <w:rFonts w:hint="eastAsia" w:eastAsia="方正仿宋_GBK" w:cs="Times New Roman"/>
          <w:color w:val="000000"/>
          <w:sz w:val="28"/>
          <w:lang w:val="en-US" w:eastAsia="zh-CN"/>
        </w:rPr>
        <w:t>184.37</w:t>
      </w:r>
      <w:r>
        <w:rPr>
          <w:rFonts w:eastAsia="方正仿宋_GBK" w:cs="Times New Roman"/>
          <w:color w:val="000000"/>
          <w:sz w:val="28"/>
        </w:rPr>
        <w:t>万元（详见下表）。本年度拟购置固定资产总额为</w:t>
      </w:r>
      <w:r>
        <w:rPr>
          <w:rFonts w:hint="eastAsia" w:eastAsia="方正仿宋_GBK" w:cs="Times New Roman"/>
          <w:color w:val="000000"/>
          <w:sz w:val="28"/>
          <w:lang w:val="en-US" w:eastAsia="zh-CN"/>
        </w:rPr>
        <w:t>2.5</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358001魏县文化馆本级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rPr>
                <w:rFonts w:hint="default" w:eastAsia="方正书宋_GBK"/>
                <w:lang w:val="en-US" w:eastAsia="zh-CN"/>
              </w:rPr>
            </w:pPr>
            <w:r>
              <w:rPr>
                <w:rFonts w:hint="eastAsia"/>
                <w:lang w:val="en-US" w:eastAsia="zh-CN"/>
              </w:rPr>
              <w:t>184.37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rPr>
                <w:rFonts w:hint="default" w:eastAsia="方正书宋_GBK"/>
                <w:lang w:val="en-US" w:eastAsia="zh-CN"/>
              </w:rPr>
            </w:pPr>
            <w:r>
              <w:rPr>
                <w:rFonts w:hint="eastAsia"/>
                <w:lang w:val="en-US" w:eastAsia="zh-CN"/>
              </w:rPr>
              <w:t>1046.20</w:t>
            </w:r>
          </w:p>
        </w:tc>
        <w:tc>
          <w:tcPr>
            <w:tcW w:w="2835" w:type="dxa"/>
            <w:vAlign w:val="center"/>
          </w:tcPr>
          <w:p>
            <w:pPr>
              <w:pStyle w:val="13"/>
              <w:rPr>
                <w:rFonts w:hint="default" w:eastAsia="方正书宋_GBK"/>
                <w:lang w:val="en-US" w:eastAsia="zh-CN"/>
              </w:rPr>
            </w:pPr>
            <w:r>
              <w:rPr>
                <w:rFonts w:hint="eastAsia"/>
                <w:lang w:val="en-US" w:eastAsia="zh-CN"/>
              </w:rPr>
              <w:t>110.87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rPr>
                <w:rFonts w:hint="default" w:eastAsia="方正书宋_GBK"/>
                <w:lang w:val="en-US" w:eastAsia="zh-CN"/>
              </w:rPr>
            </w:pPr>
            <w:r>
              <w:rPr>
                <w:rFonts w:hint="eastAsia"/>
                <w:lang w:val="en-US" w:eastAsia="zh-CN"/>
              </w:rPr>
              <w:t>30</w:t>
            </w:r>
          </w:p>
        </w:tc>
        <w:tc>
          <w:tcPr>
            <w:tcW w:w="2835" w:type="dxa"/>
            <w:vAlign w:val="center"/>
          </w:tcPr>
          <w:p>
            <w:pPr>
              <w:pStyle w:val="13"/>
              <w:rPr>
                <w:rFonts w:hint="default" w:eastAsia="方正书宋_GBK"/>
                <w:lang w:val="en-US" w:eastAsia="zh-CN"/>
              </w:rPr>
            </w:pPr>
            <w:r>
              <w:rPr>
                <w:rFonts w:hint="eastAsia"/>
                <w:lang w:val="en-US" w:eastAsia="zh-CN"/>
              </w:rP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rPr>
                <w:rFonts w:hint="eastAsia" w:eastAsia="方正书宋_GBK"/>
                <w:lang w:val="en-US" w:eastAsia="zh-CN"/>
              </w:rPr>
            </w:pPr>
            <w:r>
              <w:rPr>
                <w:rFonts w:hint="eastAsia"/>
                <w:lang w:val="en-US" w:eastAsia="zh-CN"/>
              </w:rPr>
              <w:t>1</w:t>
            </w:r>
          </w:p>
        </w:tc>
        <w:tc>
          <w:tcPr>
            <w:tcW w:w="2835" w:type="dxa"/>
            <w:vAlign w:val="center"/>
          </w:tcPr>
          <w:p>
            <w:pPr>
              <w:pStyle w:val="13"/>
              <w:rPr>
                <w:rFonts w:hint="default" w:eastAsia="方正书宋_GBK"/>
                <w:lang w:val="en-US" w:eastAsia="zh-CN"/>
              </w:rPr>
            </w:pPr>
            <w:r>
              <w:rPr>
                <w:rFonts w:hint="eastAsia"/>
                <w:lang w:val="en-US" w:eastAsia="zh-CN"/>
              </w:rPr>
              <w:t>21.69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rPr>
                <w:rFonts w:hint="eastAsia" w:eastAsia="方正书宋_GBK"/>
                <w:lang w:val="en-US" w:eastAsia="zh-CN"/>
              </w:rPr>
            </w:pPr>
            <w:r>
              <w:rPr>
                <w:rFonts w:hint="eastAsia"/>
                <w:lang w:val="en-US" w:eastAsia="zh-CN"/>
              </w:rPr>
              <w:t>0</w:t>
            </w:r>
          </w:p>
        </w:tc>
        <w:tc>
          <w:tcPr>
            <w:tcW w:w="2835"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val="en-US" w:eastAsia="zh-CN"/>
              </w:rPr>
            </w:pPr>
            <w:r>
              <w:rPr>
                <w:rFonts w:hint="eastAsia"/>
                <w:lang w:val="en-US" w:eastAsia="zh-CN"/>
              </w:rPr>
              <w:t>4、</w:t>
            </w:r>
            <w:r>
              <w:t>其他固定资产</w:t>
            </w:r>
          </w:p>
        </w:tc>
        <w:tc>
          <w:tcPr>
            <w:tcW w:w="2835" w:type="dxa"/>
            <w:vAlign w:val="center"/>
          </w:tcPr>
          <w:p>
            <w:pPr>
              <w:pStyle w:val="11"/>
              <w:rPr>
                <w:rFonts w:hint="default" w:eastAsia="方正书宋_GBK"/>
                <w:lang w:val="en-US" w:eastAsia="zh-CN"/>
              </w:rPr>
            </w:pPr>
            <w:r>
              <w:rPr>
                <w:rFonts w:hint="eastAsia"/>
                <w:lang w:val="en-US" w:eastAsia="zh-CN"/>
              </w:rPr>
              <w:t>14358</w:t>
            </w:r>
          </w:p>
        </w:tc>
        <w:tc>
          <w:tcPr>
            <w:tcW w:w="2835" w:type="dxa"/>
            <w:vAlign w:val="center"/>
          </w:tcPr>
          <w:p>
            <w:pPr>
              <w:pStyle w:val="13"/>
              <w:rPr>
                <w:rFonts w:hint="default" w:eastAsia="方正书宋_GBK"/>
                <w:lang w:val="en-US" w:eastAsia="zh-CN"/>
              </w:rPr>
            </w:pPr>
            <w:r>
              <w:rPr>
                <w:rFonts w:hint="eastAsia"/>
                <w:lang w:val="en-US" w:eastAsia="zh-CN"/>
              </w:rPr>
              <w:t>48.63</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1EFB577C"/>
    <w:rsid w:val="08C51C70"/>
    <w:rsid w:val="1EFB577C"/>
    <w:rsid w:val="515B0980"/>
    <w:rsid w:val="55AF4AEC"/>
    <w:rsid w:val="5E630DFE"/>
    <w:rsid w:val="5F234AF1"/>
    <w:rsid w:val="79503FEC"/>
    <w:rsid w:val="7EEC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2023-08-01T07:49:00Z</dcterms:created>
  <dc:creator>Administrator</dc:creator>
  <cp:lastModifiedBy>信息化办</cp:lastModifiedBy>
  <dcterms:modified xsi:type="dcterms:W3CDTF">2023-11-17T02:38:52Z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48F2A271510E48388ABB718C7389C219_11</vt:lpwstr>
  </property>
</Properties>
</file>