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865.42</w:t>
            </w:r>
          </w:p>
        </w:tc>
        <w:tc>
          <w:tcPr>
            <w:tcW w:w="4535" w:type="dxa"/>
            <w:vAlign w:val="center"/>
          </w:tcPr>
          <w:p>
            <w:pPr>
              <w:pStyle w:val="14"/>
            </w:pPr>
            <w:r>
              <w:t>一、一般公共服务支出</w:t>
            </w:r>
          </w:p>
        </w:tc>
        <w:tc>
          <w:tcPr>
            <w:tcW w:w="2126" w:type="dxa"/>
            <w:vAlign w:val="center"/>
          </w:tcPr>
          <w:p>
            <w:pPr>
              <w:pStyle w:val="13"/>
            </w:pPr>
            <w:r>
              <w:t>297.05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865.42</w:t>
            </w:r>
          </w:p>
        </w:tc>
        <w:tc>
          <w:tcPr>
            <w:tcW w:w="4535" w:type="dxa"/>
            <w:vAlign w:val="center"/>
          </w:tcPr>
          <w:p>
            <w:pPr>
              <w:pStyle w:val="16"/>
            </w:pPr>
            <w:r>
              <w:t>本年支出合计</w:t>
            </w:r>
          </w:p>
        </w:tc>
        <w:tc>
          <w:tcPr>
            <w:tcW w:w="2126" w:type="dxa"/>
            <w:vAlign w:val="center"/>
          </w:tcPr>
          <w:p>
            <w:pPr>
              <w:pStyle w:val="17"/>
            </w:pPr>
            <w:r>
              <w:t>865.42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865.42</w:t>
            </w:r>
          </w:p>
        </w:tc>
        <w:tc>
          <w:tcPr>
            <w:tcW w:w="4535" w:type="dxa"/>
            <w:vAlign w:val="center"/>
          </w:tcPr>
          <w:p>
            <w:pPr>
              <w:pStyle w:val="16"/>
            </w:pPr>
            <w:r>
              <w:t>支出总计</w:t>
            </w:r>
          </w:p>
        </w:tc>
        <w:tc>
          <w:tcPr>
            <w:tcW w:w="2126" w:type="dxa"/>
            <w:vAlign w:val="center"/>
          </w:tcPr>
          <w:p>
            <w:pPr>
              <w:pStyle w:val="17"/>
            </w:pPr>
            <w:r>
              <w:t>865.42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865.42</w:t>
            </w:r>
          </w:p>
        </w:tc>
        <w:tc>
          <w:tcPr>
            <w:tcW w:w="1134" w:type="dxa"/>
            <w:vAlign w:val="center"/>
          </w:tcPr>
          <w:p>
            <w:pPr>
              <w:pStyle w:val="17"/>
            </w:pPr>
            <w:r>
              <w:t>865.42</w:t>
            </w:r>
          </w:p>
        </w:tc>
        <w:tc>
          <w:tcPr>
            <w:tcW w:w="1134" w:type="dxa"/>
            <w:vAlign w:val="center"/>
          </w:tcPr>
          <w:p>
            <w:pPr>
              <w:pStyle w:val="17"/>
            </w:pPr>
            <w:r>
              <w:t>865.42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297.05</w:t>
            </w:r>
          </w:p>
        </w:tc>
        <w:tc>
          <w:tcPr>
            <w:tcW w:w="1134" w:type="dxa"/>
            <w:vAlign w:val="center"/>
          </w:tcPr>
          <w:p>
            <w:pPr>
              <w:pStyle w:val="13"/>
            </w:pPr>
            <w:r>
              <w:t>297.05</w:t>
            </w:r>
          </w:p>
        </w:tc>
        <w:tc>
          <w:tcPr>
            <w:tcW w:w="1134" w:type="dxa"/>
            <w:vAlign w:val="center"/>
          </w:tcPr>
          <w:p>
            <w:pPr>
              <w:pStyle w:val="13"/>
            </w:pPr>
            <w:r>
              <w:t>297.05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297.05</w:t>
            </w:r>
          </w:p>
        </w:tc>
        <w:tc>
          <w:tcPr>
            <w:tcW w:w="1134" w:type="dxa"/>
            <w:vAlign w:val="center"/>
          </w:tcPr>
          <w:p>
            <w:pPr>
              <w:pStyle w:val="13"/>
            </w:pPr>
            <w:r>
              <w:t>297.05</w:t>
            </w:r>
          </w:p>
        </w:tc>
        <w:tc>
          <w:tcPr>
            <w:tcW w:w="1134" w:type="dxa"/>
            <w:vAlign w:val="center"/>
          </w:tcPr>
          <w:p>
            <w:pPr>
              <w:pStyle w:val="13"/>
            </w:pPr>
            <w:r>
              <w:t>297.05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2011399</w:t>
            </w:r>
          </w:p>
        </w:tc>
        <w:tc>
          <w:tcPr>
            <w:tcW w:w="1559" w:type="dxa"/>
            <w:vAlign w:val="center"/>
          </w:tcPr>
          <w:p>
            <w:pPr>
              <w:pStyle w:val="14"/>
            </w:pPr>
            <w:r>
              <w:t>其他商贸事务支出</w:t>
            </w:r>
          </w:p>
        </w:tc>
        <w:tc>
          <w:tcPr>
            <w:tcW w:w="1134" w:type="dxa"/>
            <w:vAlign w:val="center"/>
          </w:tcPr>
          <w:p>
            <w:pPr>
              <w:pStyle w:val="13"/>
            </w:pPr>
            <w:r>
              <w:t>297.05</w:t>
            </w:r>
          </w:p>
        </w:tc>
        <w:tc>
          <w:tcPr>
            <w:tcW w:w="1134" w:type="dxa"/>
            <w:vAlign w:val="center"/>
          </w:tcPr>
          <w:p>
            <w:pPr>
              <w:pStyle w:val="13"/>
            </w:pPr>
            <w:r>
              <w:t>297.05</w:t>
            </w:r>
          </w:p>
        </w:tc>
        <w:tc>
          <w:tcPr>
            <w:tcW w:w="1134" w:type="dxa"/>
            <w:vAlign w:val="center"/>
          </w:tcPr>
          <w:p>
            <w:pPr>
              <w:pStyle w:val="13"/>
            </w:pPr>
            <w:r>
              <w:t>297.05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0.93</w:t>
            </w:r>
          </w:p>
        </w:tc>
        <w:tc>
          <w:tcPr>
            <w:tcW w:w="1134" w:type="dxa"/>
            <w:vAlign w:val="center"/>
          </w:tcPr>
          <w:p>
            <w:pPr>
              <w:pStyle w:val="13"/>
            </w:pPr>
            <w:r>
              <w:t>0.93</w:t>
            </w:r>
          </w:p>
        </w:tc>
        <w:tc>
          <w:tcPr>
            <w:tcW w:w="1134" w:type="dxa"/>
            <w:vAlign w:val="center"/>
          </w:tcPr>
          <w:p>
            <w:pPr>
              <w:pStyle w:val="13"/>
            </w:pPr>
            <w:r>
              <w:t>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0.93</w:t>
            </w:r>
          </w:p>
        </w:tc>
        <w:tc>
          <w:tcPr>
            <w:tcW w:w="1134" w:type="dxa"/>
            <w:vAlign w:val="center"/>
          </w:tcPr>
          <w:p>
            <w:pPr>
              <w:pStyle w:val="13"/>
            </w:pPr>
            <w:r>
              <w:t>0.93</w:t>
            </w:r>
          </w:p>
        </w:tc>
        <w:tc>
          <w:tcPr>
            <w:tcW w:w="1134" w:type="dxa"/>
            <w:vAlign w:val="center"/>
          </w:tcPr>
          <w:p>
            <w:pPr>
              <w:pStyle w:val="13"/>
            </w:pPr>
            <w:r>
              <w:t>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0.93</w:t>
            </w:r>
          </w:p>
        </w:tc>
        <w:tc>
          <w:tcPr>
            <w:tcW w:w="1134" w:type="dxa"/>
            <w:vAlign w:val="center"/>
          </w:tcPr>
          <w:p>
            <w:pPr>
              <w:pStyle w:val="13"/>
            </w:pPr>
            <w:r>
              <w:t>0.93</w:t>
            </w:r>
          </w:p>
        </w:tc>
        <w:tc>
          <w:tcPr>
            <w:tcW w:w="1134" w:type="dxa"/>
            <w:vAlign w:val="center"/>
          </w:tcPr>
          <w:p>
            <w:pPr>
              <w:pStyle w:val="13"/>
            </w:pPr>
            <w:r>
              <w:t>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17.44</w:t>
            </w:r>
          </w:p>
        </w:tc>
        <w:tc>
          <w:tcPr>
            <w:tcW w:w="1134" w:type="dxa"/>
            <w:vAlign w:val="center"/>
          </w:tcPr>
          <w:p>
            <w:pPr>
              <w:pStyle w:val="13"/>
            </w:pPr>
            <w:r>
              <w:t>17.44</w:t>
            </w:r>
          </w:p>
        </w:tc>
        <w:tc>
          <w:tcPr>
            <w:tcW w:w="1134" w:type="dxa"/>
            <w:vAlign w:val="center"/>
          </w:tcPr>
          <w:p>
            <w:pPr>
              <w:pStyle w:val="13"/>
            </w:pPr>
            <w:r>
              <w:t>17.44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17.44</w:t>
            </w:r>
          </w:p>
        </w:tc>
        <w:tc>
          <w:tcPr>
            <w:tcW w:w="1134" w:type="dxa"/>
            <w:vAlign w:val="center"/>
          </w:tcPr>
          <w:p>
            <w:pPr>
              <w:pStyle w:val="13"/>
            </w:pPr>
            <w:r>
              <w:t>17.44</w:t>
            </w:r>
          </w:p>
        </w:tc>
        <w:tc>
          <w:tcPr>
            <w:tcW w:w="1134" w:type="dxa"/>
            <w:vAlign w:val="center"/>
          </w:tcPr>
          <w:p>
            <w:pPr>
              <w:pStyle w:val="13"/>
            </w:pPr>
            <w:r>
              <w:t>17.44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17.44</w:t>
            </w:r>
          </w:p>
        </w:tc>
        <w:tc>
          <w:tcPr>
            <w:tcW w:w="1134" w:type="dxa"/>
            <w:vAlign w:val="center"/>
          </w:tcPr>
          <w:p>
            <w:pPr>
              <w:pStyle w:val="13"/>
            </w:pPr>
            <w:r>
              <w:t>17.44</w:t>
            </w:r>
          </w:p>
        </w:tc>
        <w:tc>
          <w:tcPr>
            <w:tcW w:w="1134" w:type="dxa"/>
            <w:vAlign w:val="center"/>
          </w:tcPr>
          <w:p>
            <w:pPr>
              <w:pStyle w:val="13"/>
            </w:pPr>
            <w:r>
              <w:t>17.44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r>
              <w:t>550.00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865.42</w:t>
            </w:r>
          </w:p>
        </w:tc>
        <w:tc>
          <w:tcPr>
            <w:tcW w:w="1361" w:type="dxa"/>
            <w:vAlign w:val="center"/>
          </w:tcPr>
          <w:p>
            <w:pPr>
              <w:pStyle w:val="17"/>
            </w:pPr>
            <w:r>
              <w:t>315.42</w:t>
            </w:r>
          </w:p>
        </w:tc>
        <w:tc>
          <w:tcPr>
            <w:tcW w:w="1361" w:type="dxa"/>
            <w:vAlign w:val="center"/>
          </w:tcPr>
          <w:p>
            <w:pPr>
              <w:pStyle w:val="17"/>
            </w:pPr>
            <w:r>
              <w:t>550.00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297.05</w:t>
            </w:r>
          </w:p>
        </w:tc>
        <w:tc>
          <w:tcPr>
            <w:tcW w:w="1361" w:type="dxa"/>
            <w:vAlign w:val="center"/>
          </w:tcPr>
          <w:p>
            <w:pPr>
              <w:pStyle w:val="13"/>
            </w:pPr>
            <w:r>
              <w:t>297.05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297.05</w:t>
            </w:r>
          </w:p>
        </w:tc>
        <w:tc>
          <w:tcPr>
            <w:tcW w:w="1361" w:type="dxa"/>
            <w:vAlign w:val="center"/>
          </w:tcPr>
          <w:p>
            <w:pPr>
              <w:pStyle w:val="13"/>
            </w:pPr>
            <w:r>
              <w:t>297.05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2011399</w:t>
            </w:r>
          </w:p>
        </w:tc>
        <w:tc>
          <w:tcPr>
            <w:tcW w:w="4535" w:type="dxa"/>
            <w:vAlign w:val="center"/>
          </w:tcPr>
          <w:p>
            <w:pPr>
              <w:pStyle w:val="14"/>
            </w:pPr>
            <w:r>
              <w:t>其他商贸事务支出</w:t>
            </w:r>
          </w:p>
        </w:tc>
        <w:tc>
          <w:tcPr>
            <w:tcW w:w="1361" w:type="dxa"/>
            <w:vAlign w:val="center"/>
          </w:tcPr>
          <w:p>
            <w:pPr>
              <w:pStyle w:val="13"/>
            </w:pPr>
            <w:r>
              <w:t>297.05</w:t>
            </w:r>
          </w:p>
        </w:tc>
        <w:tc>
          <w:tcPr>
            <w:tcW w:w="1361" w:type="dxa"/>
            <w:vAlign w:val="center"/>
          </w:tcPr>
          <w:p>
            <w:pPr>
              <w:pStyle w:val="13"/>
            </w:pPr>
            <w:r>
              <w:t>297.05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0.93</w:t>
            </w:r>
          </w:p>
        </w:tc>
        <w:tc>
          <w:tcPr>
            <w:tcW w:w="1361" w:type="dxa"/>
            <w:vAlign w:val="center"/>
          </w:tcPr>
          <w:p>
            <w:pPr>
              <w:pStyle w:val="13"/>
            </w:pPr>
            <w:r>
              <w:t>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0.93</w:t>
            </w:r>
          </w:p>
        </w:tc>
        <w:tc>
          <w:tcPr>
            <w:tcW w:w="1361" w:type="dxa"/>
            <w:vAlign w:val="center"/>
          </w:tcPr>
          <w:p>
            <w:pPr>
              <w:pStyle w:val="13"/>
            </w:pPr>
            <w:r>
              <w:t>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0.93</w:t>
            </w:r>
          </w:p>
        </w:tc>
        <w:tc>
          <w:tcPr>
            <w:tcW w:w="1361" w:type="dxa"/>
            <w:vAlign w:val="center"/>
          </w:tcPr>
          <w:p>
            <w:pPr>
              <w:pStyle w:val="13"/>
            </w:pPr>
            <w:r>
              <w:t>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17.44</w:t>
            </w:r>
          </w:p>
        </w:tc>
        <w:tc>
          <w:tcPr>
            <w:tcW w:w="1361" w:type="dxa"/>
            <w:vAlign w:val="center"/>
          </w:tcPr>
          <w:p>
            <w:pPr>
              <w:pStyle w:val="13"/>
            </w:pPr>
            <w:r>
              <w:t>17.44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17.44</w:t>
            </w:r>
          </w:p>
        </w:tc>
        <w:tc>
          <w:tcPr>
            <w:tcW w:w="1361" w:type="dxa"/>
            <w:vAlign w:val="center"/>
          </w:tcPr>
          <w:p>
            <w:pPr>
              <w:pStyle w:val="13"/>
            </w:pPr>
            <w:r>
              <w:t>17.44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17.44</w:t>
            </w:r>
          </w:p>
        </w:tc>
        <w:tc>
          <w:tcPr>
            <w:tcW w:w="1361" w:type="dxa"/>
            <w:vAlign w:val="center"/>
          </w:tcPr>
          <w:p>
            <w:pPr>
              <w:pStyle w:val="13"/>
            </w:pPr>
            <w:r>
              <w:t>17.44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r>
              <w:t>550.00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865.42</w:t>
            </w:r>
          </w:p>
        </w:tc>
        <w:tc>
          <w:tcPr>
            <w:tcW w:w="3402" w:type="dxa"/>
            <w:vAlign w:val="center"/>
          </w:tcPr>
          <w:p>
            <w:pPr>
              <w:pStyle w:val="14"/>
            </w:pPr>
            <w:r>
              <w:t>一、一般公共服务支出</w:t>
            </w:r>
          </w:p>
        </w:tc>
        <w:tc>
          <w:tcPr>
            <w:tcW w:w="1474" w:type="dxa"/>
            <w:vAlign w:val="center"/>
          </w:tcPr>
          <w:p>
            <w:pPr>
              <w:pStyle w:val="13"/>
            </w:pPr>
            <w:r>
              <w:t>297.05</w:t>
            </w:r>
          </w:p>
        </w:tc>
        <w:tc>
          <w:tcPr>
            <w:tcW w:w="1474" w:type="dxa"/>
            <w:vAlign w:val="center"/>
          </w:tcPr>
          <w:p>
            <w:pPr>
              <w:pStyle w:val="13"/>
            </w:pPr>
            <w:r>
              <w:t>297.05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0.93</w:t>
            </w:r>
          </w:p>
        </w:tc>
        <w:tc>
          <w:tcPr>
            <w:tcW w:w="1474" w:type="dxa"/>
            <w:vAlign w:val="center"/>
          </w:tcPr>
          <w:p>
            <w:pPr>
              <w:pStyle w:val="13"/>
            </w:pPr>
            <w:r>
              <w:t>0.93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17.44</w:t>
            </w:r>
          </w:p>
        </w:tc>
        <w:tc>
          <w:tcPr>
            <w:tcW w:w="1474" w:type="dxa"/>
            <w:vAlign w:val="center"/>
          </w:tcPr>
          <w:p>
            <w:pPr>
              <w:pStyle w:val="13"/>
            </w:pPr>
            <w:r>
              <w:t>17.44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550.00</w:t>
            </w:r>
          </w:p>
        </w:tc>
        <w:tc>
          <w:tcPr>
            <w:tcW w:w="1474" w:type="dxa"/>
            <w:vAlign w:val="center"/>
          </w:tcPr>
          <w:p>
            <w:pPr>
              <w:pStyle w:val="13"/>
            </w:pPr>
            <w:r>
              <w:t>550.00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865.42</w:t>
            </w:r>
          </w:p>
        </w:tc>
        <w:tc>
          <w:tcPr>
            <w:tcW w:w="3402" w:type="dxa"/>
            <w:vAlign w:val="center"/>
          </w:tcPr>
          <w:p>
            <w:pPr>
              <w:pStyle w:val="16"/>
            </w:pPr>
            <w:r>
              <w:t>本年支出合计</w:t>
            </w:r>
          </w:p>
        </w:tc>
        <w:tc>
          <w:tcPr>
            <w:tcW w:w="1474" w:type="dxa"/>
            <w:vAlign w:val="center"/>
          </w:tcPr>
          <w:p>
            <w:pPr>
              <w:pStyle w:val="17"/>
            </w:pPr>
            <w:r>
              <w:t>865.42</w:t>
            </w:r>
          </w:p>
        </w:tc>
        <w:tc>
          <w:tcPr>
            <w:tcW w:w="1474" w:type="dxa"/>
            <w:vAlign w:val="center"/>
          </w:tcPr>
          <w:p>
            <w:pPr>
              <w:pStyle w:val="17"/>
            </w:pPr>
            <w:r>
              <w:t>865.42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865.42</w:t>
            </w:r>
          </w:p>
        </w:tc>
        <w:tc>
          <w:tcPr>
            <w:tcW w:w="3402" w:type="dxa"/>
            <w:vAlign w:val="center"/>
          </w:tcPr>
          <w:p>
            <w:pPr>
              <w:pStyle w:val="16"/>
            </w:pPr>
            <w:r>
              <w:t>支出总计</w:t>
            </w:r>
          </w:p>
        </w:tc>
        <w:tc>
          <w:tcPr>
            <w:tcW w:w="1474" w:type="dxa"/>
            <w:vAlign w:val="center"/>
          </w:tcPr>
          <w:p>
            <w:pPr>
              <w:pStyle w:val="17"/>
            </w:pPr>
            <w:r>
              <w:t>865.42</w:t>
            </w:r>
          </w:p>
        </w:tc>
        <w:tc>
          <w:tcPr>
            <w:tcW w:w="1474" w:type="dxa"/>
            <w:vAlign w:val="center"/>
          </w:tcPr>
          <w:p>
            <w:pPr>
              <w:pStyle w:val="17"/>
            </w:pPr>
            <w:r>
              <w:t>865.42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865.42</w:t>
            </w:r>
          </w:p>
        </w:tc>
        <w:tc>
          <w:tcPr>
            <w:tcW w:w="2551" w:type="dxa"/>
            <w:vAlign w:val="center"/>
          </w:tcPr>
          <w:p>
            <w:pPr>
              <w:pStyle w:val="17"/>
            </w:pPr>
            <w:r>
              <w:t>315.42</w:t>
            </w:r>
          </w:p>
        </w:tc>
        <w:tc>
          <w:tcPr>
            <w:tcW w:w="2551" w:type="dxa"/>
            <w:vAlign w:val="center"/>
          </w:tcPr>
          <w:p>
            <w:pPr>
              <w:pStyle w:val="17"/>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297.05</w:t>
            </w:r>
          </w:p>
        </w:tc>
        <w:tc>
          <w:tcPr>
            <w:tcW w:w="2551" w:type="dxa"/>
            <w:vAlign w:val="center"/>
          </w:tcPr>
          <w:p>
            <w:pPr>
              <w:pStyle w:val="13"/>
            </w:pPr>
            <w:r>
              <w:t>297.05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297.05</w:t>
            </w:r>
          </w:p>
        </w:tc>
        <w:tc>
          <w:tcPr>
            <w:tcW w:w="2551" w:type="dxa"/>
            <w:vAlign w:val="center"/>
          </w:tcPr>
          <w:p>
            <w:pPr>
              <w:pStyle w:val="13"/>
            </w:pPr>
            <w:r>
              <w:t>297.05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2011399</w:t>
            </w:r>
          </w:p>
        </w:tc>
        <w:tc>
          <w:tcPr>
            <w:tcW w:w="4535" w:type="dxa"/>
            <w:vAlign w:val="center"/>
          </w:tcPr>
          <w:p>
            <w:pPr>
              <w:pStyle w:val="14"/>
            </w:pPr>
            <w:r>
              <w:t>其他商贸事务支出</w:t>
            </w:r>
          </w:p>
        </w:tc>
        <w:tc>
          <w:tcPr>
            <w:tcW w:w="2551" w:type="dxa"/>
            <w:vAlign w:val="center"/>
          </w:tcPr>
          <w:p>
            <w:pPr>
              <w:pStyle w:val="13"/>
            </w:pPr>
            <w:r>
              <w:t>297.05</w:t>
            </w:r>
          </w:p>
        </w:tc>
        <w:tc>
          <w:tcPr>
            <w:tcW w:w="2551" w:type="dxa"/>
            <w:vAlign w:val="center"/>
          </w:tcPr>
          <w:p>
            <w:pPr>
              <w:pStyle w:val="13"/>
            </w:pPr>
            <w:r>
              <w:t>297.05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17.44</w:t>
            </w:r>
          </w:p>
        </w:tc>
        <w:tc>
          <w:tcPr>
            <w:tcW w:w="2551" w:type="dxa"/>
            <w:vAlign w:val="center"/>
          </w:tcPr>
          <w:p>
            <w:pPr>
              <w:pStyle w:val="13"/>
            </w:pPr>
            <w:r>
              <w:t>17.44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17.44</w:t>
            </w:r>
          </w:p>
        </w:tc>
        <w:tc>
          <w:tcPr>
            <w:tcW w:w="2551" w:type="dxa"/>
            <w:vAlign w:val="center"/>
          </w:tcPr>
          <w:p>
            <w:pPr>
              <w:pStyle w:val="13"/>
            </w:pPr>
            <w:r>
              <w:t>17.44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17.44</w:t>
            </w:r>
          </w:p>
        </w:tc>
        <w:tc>
          <w:tcPr>
            <w:tcW w:w="2551" w:type="dxa"/>
            <w:vAlign w:val="center"/>
          </w:tcPr>
          <w:p>
            <w:pPr>
              <w:pStyle w:val="13"/>
            </w:pPr>
            <w:r>
              <w:t>17.44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550.00</w:t>
            </w:r>
          </w:p>
        </w:tc>
        <w:tc>
          <w:tcPr>
            <w:tcW w:w="2551" w:type="dxa"/>
            <w:vAlign w:val="center"/>
          </w:tcPr>
          <w:p>
            <w:pPr>
              <w:pStyle w:val="13"/>
            </w:pPr>
          </w:p>
        </w:tc>
        <w:tc>
          <w:tcPr>
            <w:tcW w:w="2551" w:type="dxa"/>
            <w:vAlign w:val="center"/>
          </w:tcPr>
          <w:p>
            <w:pPr>
              <w:pStyle w:val="13"/>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550.00</w:t>
            </w:r>
          </w:p>
        </w:tc>
        <w:tc>
          <w:tcPr>
            <w:tcW w:w="2551" w:type="dxa"/>
            <w:vAlign w:val="center"/>
          </w:tcPr>
          <w:p>
            <w:pPr>
              <w:pStyle w:val="13"/>
            </w:pPr>
          </w:p>
        </w:tc>
        <w:tc>
          <w:tcPr>
            <w:tcW w:w="2551" w:type="dxa"/>
            <w:vAlign w:val="center"/>
          </w:tcPr>
          <w:p>
            <w:pPr>
              <w:pStyle w:val="13"/>
            </w:pPr>
            <w:r>
              <w:t>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550.00</w:t>
            </w:r>
          </w:p>
        </w:tc>
        <w:tc>
          <w:tcPr>
            <w:tcW w:w="2551" w:type="dxa"/>
            <w:vAlign w:val="center"/>
          </w:tcPr>
          <w:p>
            <w:pPr>
              <w:pStyle w:val="13"/>
            </w:pPr>
          </w:p>
        </w:tc>
        <w:tc>
          <w:tcPr>
            <w:tcW w:w="2551" w:type="dxa"/>
            <w:vAlign w:val="center"/>
          </w:tcPr>
          <w:p>
            <w:pPr>
              <w:pStyle w:val="13"/>
            </w:pPr>
            <w:r>
              <w:t>550.00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315.42</w:t>
            </w:r>
          </w:p>
        </w:tc>
        <w:tc>
          <w:tcPr>
            <w:tcW w:w="2551" w:type="dxa"/>
            <w:vAlign w:val="center"/>
          </w:tcPr>
          <w:p>
            <w:pPr>
              <w:pStyle w:val="17"/>
            </w:pPr>
            <w:r>
              <w:t>315.42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314.49</w:t>
            </w:r>
          </w:p>
        </w:tc>
        <w:tc>
          <w:tcPr>
            <w:tcW w:w="2551" w:type="dxa"/>
            <w:vAlign w:val="center"/>
          </w:tcPr>
          <w:p>
            <w:pPr>
              <w:pStyle w:val="13"/>
            </w:pPr>
            <w:r>
              <w:t>314.49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200.18</w:t>
            </w:r>
          </w:p>
        </w:tc>
        <w:tc>
          <w:tcPr>
            <w:tcW w:w="2551" w:type="dxa"/>
            <w:vAlign w:val="center"/>
          </w:tcPr>
          <w:p>
            <w:pPr>
              <w:pStyle w:val="13"/>
            </w:pPr>
            <w:r>
              <w:t>200.18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5.72</w:t>
            </w:r>
          </w:p>
        </w:tc>
        <w:tc>
          <w:tcPr>
            <w:tcW w:w="2551" w:type="dxa"/>
            <w:vAlign w:val="center"/>
          </w:tcPr>
          <w:p>
            <w:pPr>
              <w:pStyle w:val="13"/>
            </w:pPr>
            <w:r>
              <w:t>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10.77</w:t>
            </w:r>
          </w:p>
        </w:tc>
        <w:tc>
          <w:tcPr>
            <w:tcW w:w="2551" w:type="dxa"/>
            <w:vAlign w:val="center"/>
          </w:tcPr>
          <w:p>
            <w:pPr>
              <w:pStyle w:val="13"/>
            </w:pPr>
            <w:r>
              <w:t>10.77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30.36</w:t>
            </w:r>
          </w:p>
        </w:tc>
        <w:tc>
          <w:tcPr>
            <w:tcW w:w="2551" w:type="dxa"/>
            <w:vAlign w:val="center"/>
          </w:tcPr>
          <w:p>
            <w:pPr>
              <w:pStyle w:val="13"/>
            </w:pPr>
            <w:r>
              <w:t>30.36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17.44</w:t>
            </w:r>
          </w:p>
        </w:tc>
        <w:tc>
          <w:tcPr>
            <w:tcW w:w="2551" w:type="dxa"/>
            <w:vAlign w:val="center"/>
          </w:tcPr>
          <w:p>
            <w:pPr>
              <w:pStyle w:val="13"/>
            </w:pPr>
            <w:r>
              <w:t>17.44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34.84</w:t>
            </w:r>
          </w:p>
        </w:tc>
        <w:tc>
          <w:tcPr>
            <w:tcW w:w="2551" w:type="dxa"/>
            <w:vAlign w:val="center"/>
          </w:tcPr>
          <w:p>
            <w:pPr>
              <w:pStyle w:val="13"/>
            </w:pPr>
            <w:r>
              <w:t>34.84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河北魏县经济开发区管理委员会2022年部门预算信息公开情况说明</w:t>
      </w:r>
    </w:p>
    <w:p>
      <w:pPr>
        <w:jc w:val="center"/>
      </w:pPr>
      <w:r>
        <w:rPr>
          <w:rFonts w:ascii="方正小标宋_GBK" w:hAnsi="方正小标宋_GBK" w:eastAsia="方正小标宋_GBK" w:cs="方正小标宋_GBK"/>
          <w:color w:val="000000"/>
          <w:sz w:val="44"/>
        </w:rPr>
        <w:t>河北魏县经济开发区管理委员会2022年部门预算信息公开情况说明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按照《预算法》、《地方预决算公开操作规程》和《关于进一步推进预算公开工作的实施意见》规定，现将河北魏县经济开发区管理委员会2022年部门预算公开如下：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w:t>
      </w:r>
      <w:r>
        <w:rPr>
          <w:rFonts w:hint="eastAsia" w:cs="方正仿宋_GBK"/>
        </w:rPr>
        <w:t>、编制辖区内总体规划和经济社会发展规划；编制辖区内区域性城市发展规划、国土利用规划。</w:t>
      </w:r>
    </w:p>
    <w:p>
      <w:pPr>
        <w:pStyle w:val="19"/>
      </w:pPr>
      <w:r>
        <w:t>2</w:t>
      </w:r>
      <w:r>
        <w:rPr>
          <w:rFonts w:hint="eastAsia" w:cs="方正仿宋_GBK"/>
        </w:rPr>
        <w:t>、审批或审核固定资产投资项目。</w:t>
      </w:r>
    </w:p>
    <w:p>
      <w:pPr>
        <w:pStyle w:val="19"/>
      </w:pPr>
      <w:r>
        <w:t>3</w:t>
      </w:r>
      <w:r>
        <w:rPr>
          <w:rFonts w:hint="eastAsia" w:cs="方正仿宋_GBK"/>
        </w:rPr>
        <w:t>、负责辖区内基础设施和公用设施的建设和管理。</w:t>
      </w:r>
    </w:p>
    <w:p>
      <w:pPr>
        <w:pStyle w:val="19"/>
      </w:pPr>
      <w:r>
        <w:t>4</w:t>
      </w:r>
      <w:r>
        <w:rPr>
          <w:rFonts w:hint="eastAsia" w:cs="方正仿宋_GBK"/>
        </w:rPr>
        <w:t>、负责招商引资、进出口贸易、国内外经济技术合作。</w:t>
      </w:r>
    </w:p>
    <w:p>
      <w:pPr>
        <w:pStyle w:val="19"/>
      </w:pPr>
      <w:r>
        <w:t>5</w:t>
      </w:r>
      <w:r>
        <w:rPr>
          <w:rFonts w:hint="eastAsia" w:cs="方正仿宋_GBK"/>
        </w:rPr>
        <w:t>、负责辖区内环境和安全生产监管。</w:t>
      </w:r>
    </w:p>
    <w:p>
      <w:pPr>
        <w:pStyle w:val="19"/>
      </w:pPr>
      <w:r>
        <w:t>6</w:t>
      </w:r>
      <w:r>
        <w:rPr>
          <w:rFonts w:hint="eastAsia" w:cs="方正仿宋_GBK"/>
        </w:rPr>
        <w:t>、加快就业服务体系建设和专业技术人才的引进和培养，规范企业用工。</w:t>
      </w:r>
    </w:p>
    <w:p>
      <w:pPr>
        <w:pStyle w:val="19"/>
      </w:pPr>
      <w:r>
        <w:t>7</w:t>
      </w:r>
      <w:r>
        <w:rPr>
          <w:rFonts w:hint="eastAsia" w:cs="方正仿宋_GBK"/>
        </w:rPr>
        <w:t>、协调和保障上级有关部门派驻开发区机构的正常工作。</w:t>
      </w:r>
    </w:p>
    <w:p>
      <w:pPr>
        <w:pStyle w:val="19"/>
      </w:pPr>
      <w:r>
        <w:t>8</w:t>
      </w:r>
      <w:r>
        <w:rPr>
          <w:rFonts w:hint="eastAsia" w:cs="方正仿宋_GBK"/>
        </w:rPr>
        <w:t>、贯彻落实党的路线、方针、政策和上级党委决议、研究和制定辖区内重大经济和社会问题、宣传和精神文明建设工作、社会管理、综合治理工作和维稳工作党的纪律检查工作、辖区内工、青、妇等群团工作。</w:t>
      </w:r>
    </w:p>
    <w:p>
      <w:pPr>
        <w:pStyle w:val="19"/>
      </w:pPr>
      <w:r>
        <w:t>9</w:t>
      </w:r>
      <w:r>
        <w:rPr>
          <w:rFonts w:hint="eastAsia" w:cs="方正仿宋_GBK"/>
        </w:rPr>
        <w:t>、负责管理和使用辖区建设发展专项资金。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河北魏县经济开发区管理委员会本级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按照预算管理有关规定，目前我县部门预算的编制实行综合预算管理，即全部收入和支出都反映在预算中。河北魏县经济开发区管理委员会机关及所属事业单位的收支包含在部门预算中。</w:t>
      </w:r>
    </w:p>
    <w:p>
      <w:pPr>
        <w:pStyle w:val="20"/>
      </w:pPr>
      <w:r>
        <w:t>1、收入说明：2022年收入预算共计865.43万元，全部为财政拨款收入。</w:t>
      </w:r>
    </w:p>
    <w:p>
      <w:pPr>
        <w:pStyle w:val="20"/>
      </w:pPr>
      <w:r>
        <w:t>2、支出说明：2022年支出预算共计865.43万元，其中：人员经费支出预算315.43万元，公用经费支出0万元，项目支出550万元。开发区从2019年开始实施“独立财政”体制改革以来，开发区实施一级财政管理，财政实行核定了财政转移支付基数550万元，将所有经费纳入转移支付基数，由开发区统筹安排用于人员、公用和项目支出。</w:t>
      </w:r>
    </w:p>
    <w:p>
      <w:pPr>
        <w:pStyle w:val="20"/>
      </w:pPr>
      <w:r>
        <w:rPr>
          <w:color w:val="auto"/>
        </w:rPr>
        <w:t>3、比上年增减情况：经过对比测算，2022年财政拨款预算比202</w:t>
      </w:r>
      <w:r>
        <w:rPr>
          <w:rFonts w:hint="eastAsia"/>
          <w:color w:val="auto"/>
          <w:lang w:val="en-US" w:eastAsia="zh-CN"/>
        </w:rPr>
        <w:t>1</w:t>
      </w:r>
      <w:r>
        <w:rPr>
          <w:color w:val="auto"/>
        </w:rPr>
        <w:t>年减少5952.63万元。其中：</w:t>
      </w:r>
      <w:r>
        <w:t>人员经费支出增加22.37万元，主要原因是人员工资调整；公用经费支出0万元，与上年比没有增减变动，主要原因是“独立财政”体制改革后，经费实行包干管理，未单独列示公用经费；项目支出减少5975万元，主要原因是安排的支持引导企业发展项目资金减少和开发区部分职责划转到住建部门。</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0万元（从开发区体制补助550万元基数中统筹解决，未单独予以安排），根据体制改革要求，未单独向县财政报送。机关运行经费主要用于保证正常办公的基本需要和维持单位日常业务运转，包括：办公费、邮电费、差旅费、福利费、手续费、公务接待费、工会经费、其他交通费和离退休干部经费。主要是：根据省、市开发区改革意见和县委、县政府印发的魏县开发区改革意见和有关政府纪要，按照开发区改革后的职能职责，需将人才培训、招商引资、信访维稳等公务活动纳入开发管理，为确保开发区改革后的管理水平提升和日常业务运行，促进开发区高质量发展，需增加财政拨款预算。</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公务用车运行费、公务接待费没有增减变动，均与去年持平。主要原因是我单位根据实际情况，未安排出国经费，公务车辆按照有关规定已报废，目前没有公务车辆，也未安排相关经费，公务接待费实行“零招待”制度，也未进行安排。</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rPr>
          <w:rFonts w:hint="eastAsia" w:eastAsiaTheme="minorEastAsia"/>
          <w:lang w:eastAsia="zh-CN"/>
        </w:rPr>
        <w:t>1、</w:t>
      </w:r>
      <w:r>
        <w:t>编制辖区内总体规划和经济社会发展规划；编制辖区内区域性城市发展规划、国土利用规划。</w:t>
      </w:r>
      <w:r>
        <w:tab/>
      </w:r>
      <w:r>
        <w:t>加强开发区内规划管理，协调辖区空间发展布局，促进开发区经济社会全面协调可持续发展。</w:t>
      </w:r>
      <w:r>
        <w:tab/>
      </w:r>
      <w:r>
        <w:tab/>
      </w:r>
    </w:p>
    <w:p>
      <w:pPr>
        <w:pStyle w:val="23"/>
      </w:pPr>
      <w:r>
        <w:rPr>
          <w:rFonts w:hint="eastAsia" w:eastAsiaTheme="minorEastAsia"/>
          <w:lang w:eastAsia="zh-CN"/>
        </w:rPr>
        <w:t>2、</w:t>
      </w:r>
      <w:r>
        <w:t>审批或审核固定资产投资项目组织对入区固定资产投资项目的审批和审核</w:t>
      </w:r>
      <w:r>
        <w:tab/>
      </w:r>
      <w:r>
        <w:t>。</w:t>
      </w:r>
      <w:r>
        <w:tab/>
      </w:r>
      <w:r>
        <w:tab/>
      </w:r>
      <w:r>
        <w:tab/>
      </w:r>
      <w:r>
        <w:tab/>
      </w:r>
    </w:p>
    <w:p>
      <w:pPr>
        <w:pStyle w:val="23"/>
      </w:pPr>
      <w:r>
        <w:rPr>
          <w:rFonts w:hint="eastAsia" w:eastAsiaTheme="minorEastAsia"/>
          <w:lang w:eastAsia="zh-CN"/>
        </w:rPr>
        <w:t>3、</w:t>
      </w:r>
      <w:r>
        <w:t>基础和公用设施建设管理：负责辖区内基础设施和公用设施的建设和管理；按照规划对区内基础设施和公用设施进行建设并进行管理。</w:t>
      </w:r>
      <w:r>
        <w:tab/>
      </w:r>
      <w:r>
        <w:tab/>
      </w:r>
      <w:r>
        <w:tab/>
      </w:r>
      <w:r>
        <w:tab/>
      </w:r>
      <w:r>
        <w:tab/>
      </w:r>
      <w:r>
        <w:tab/>
      </w:r>
      <w:r>
        <w:tab/>
      </w:r>
    </w:p>
    <w:p>
      <w:pPr>
        <w:pStyle w:val="23"/>
      </w:pPr>
      <w:r>
        <w:rPr>
          <w:rFonts w:hint="eastAsia" w:eastAsiaTheme="minorEastAsia"/>
          <w:lang w:eastAsia="zh-CN"/>
        </w:rPr>
        <w:t>4、</w:t>
      </w:r>
      <w:r>
        <w:t>招商、贸易、合作：负责招商引资、进出口贸易、国内外经济技术合作</w:t>
      </w:r>
      <w:r>
        <w:tab/>
      </w:r>
      <w:r>
        <w:tab/>
      </w:r>
      <w:r>
        <w:tab/>
      </w:r>
      <w:r>
        <w:tab/>
      </w:r>
      <w:r>
        <w:tab/>
      </w:r>
      <w:r>
        <w:tab/>
      </w:r>
      <w:r>
        <w:tab/>
      </w:r>
    </w:p>
    <w:p>
      <w:pPr>
        <w:pStyle w:val="23"/>
        <w:rPr>
          <w:rFonts w:eastAsiaTheme="minorEastAsia"/>
          <w:lang w:eastAsia="zh-CN"/>
        </w:rPr>
      </w:pPr>
      <w:r>
        <w:rPr>
          <w:rFonts w:hint="eastAsia" w:eastAsiaTheme="minorEastAsia"/>
          <w:lang w:eastAsia="zh-CN"/>
        </w:rPr>
        <w:t>5、</w:t>
      </w:r>
      <w:r>
        <w:t>辖区环境和安全生产监督管理工作：环境和安全生监管和按照有关要求加强监督管理。</w:t>
      </w:r>
    </w:p>
    <w:p>
      <w:pPr>
        <w:pStyle w:val="23"/>
      </w:pPr>
      <w:r>
        <w:rPr>
          <w:rFonts w:hint="eastAsia" w:eastAsiaTheme="minorEastAsia"/>
          <w:lang w:eastAsia="zh-CN"/>
        </w:rPr>
        <w:t>6、</w:t>
      </w:r>
      <w:r>
        <w:t>辖区的人力资源和社会保障工作：加快就业服务体系建设和专业技术人才的引进和培养，规范企业用工。</w:t>
      </w:r>
      <w:r>
        <w:tab/>
      </w:r>
      <w:r>
        <w:t>加强人才队伍建设，引进高素质人才，规范劳动关系，保障劳动者权益。</w:t>
      </w:r>
      <w:r>
        <w:tab/>
      </w:r>
      <w:r>
        <w:tab/>
      </w:r>
      <w:r>
        <w:tab/>
      </w:r>
      <w:r>
        <w:tab/>
      </w:r>
      <w:r>
        <w:tab/>
      </w:r>
    </w:p>
    <w:p>
      <w:pPr>
        <w:pStyle w:val="23"/>
        <w:rPr>
          <w:rFonts w:eastAsiaTheme="minorEastAsia"/>
          <w:lang w:eastAsia="zh-CN"/>
        </w:rPr>
      </w:pPr>
      <w:r>
        <w:rPr>
          <w:rFonts w:hint="eastAsia" w:eastAsiaTheme="minorEastAsia"/>
          <w:lang w:eastAsia="zh-CN"/>
        </w:rPr>
        <w:t>7、</w:t>
      </w:r>
      <w:r>
        <w:t>辖区内上级有关部门派驻机构的工作：协调和保障上级有关部门派驻开发区机构的正常工作；保证派驻机构办公用房、办公用品等正常运行。</w:t>
      </w:r>
    </w:p>
    <w:p>
      <w:pPr>
        <w:pStyle w:val="23"/>
      </w:pPr>
      <w:r>
        <w:rPr>
          <w:rFonts w:hint="eastAsia" w:eastAsiaTheme="minorEastAsia"/>
          <w:lang w:eastAsia="zh-CN"/>
        </w:rPr>
        <w:t>8、</w:t>
      </w:r>
      <w:r>
        <w:t>贯彻落实党的路线、方针、政策和上级党委决议、研究和制定辖区内重大经济和社会问题、宣传和精神文明建设工作、社会管理、综合治理工作和维稳工作党的纪律检查工作、辖区内工、青、妇等群团工作。</w:t>
      </w:r>
    </w:p>
    <w:p>
      <w:pPr>
        <w:pStyle w:val="23"/>
      </w:pPr>
      <w:r>
        <w:rPr>
          <w:rFonts w:hint="eastAsia" w:eastAsiaTheme="minorEastAsia"/>
          <w:lang w:eastAsia="zh-CN"/>
        </w:rPr>
        <w:t>9、</w:t>
      </w:r>
      <w:r>
        <w:t>负责管理和使用辖区建设发展专项资金。</w:t>
      </w:r>
      <w:r>
        <w:tab/>
      </w:r>
    </w:p>
    <w:p>
      <w:pPr>
        <w:spacing w:line="500" w:lineRule="exact"/>
        <w:ind w:firstLine="560"/>
      </w:pPr>
      <w:r>
        <w:rPr>
          <w:rFonts w:eastAsia="方正仿宋_GBK"/>
          <w:color w:val="000000"/>
          <w:sz w:val="28"/>
        </w:rPr>
        <w:t>（二）分项绩效目标</w:t>
      </w:r>
    </w:p>
    <w:p>
      <w:pPr>
        <w:pStyle w:val="24"/>
      </w:pPr>
      <w:r>
        <w:t>部门职责绩效目标1：</w:t>
      </w:r>
    </w:p>
    <w:p>
      <w:pPr>
        <w:pStyle w:val="24"/>
      </w:pPr>
      <w:r>
        <w:t>编制规划绩效目标：</w:t>
      </w:r>
    </w:p>
    <w:p>
      <w:pPr>
        <w:pStyle w:val="24"/>
      </w:pPr>
      <w:r>
        <w:t>规划制定、实施和监管</w:t>
      </w:r>
      <w:r>
        <w:tab/>
      </w:r>
      <w:r>
        <w:t>依法编制开发区总体规划、经济社会发展规划、区域性城市发展规划和国土利用规划等，并向有关部门报批，对依法批准的规划进行监督实施</w:t>
      </w:r>
      <w:r>
        <w:tab/>
      </w:r>
      <w:r>
        <w:t>完成规划的编制、报批及对依法批准的规划进行监管实施。负责辖区内建设用地和建设工程的规划管理，审查设计方案，参与区内建设验线、跟踪管理、规划验收。监督检查各种违法占地和违法建设行为。</w:t>
      </w:r>
      <w:r>
        <w:tab/>
      </w:r>
    </w:p>
    <w:p>
      <w:pPr>
        <w:pStyle w:val="24"/>
      </w:pPr>
      <w:r>
        <w:t>各类规划的完成率、审批率等</w:t>
      </w:r>
      <w:r>
        <w:tab/>
      </w:r>
      <w:r>
        <w:t>完成规划的编制、报批及对依法批准的规划进行监管实施的数量。</w:t>
      </w:r>
      <w:r>
        <w:tab/>
      </w:r>
    </w:p>
    <w:p>
      <w:pPr>
        <w:pStyle w:val="24"/>
      </w:pPr>
      <w:r>
        <w:t>部门职责绩效目标2：</w:t>
      </w:r>
    </w:p>
    <w:p>
      <w:pPr>
        <w:pStyle w:val="24"/>
      </w:pPr>
      <w:r>
        <w:t>审批或审核绩效目标：</w:t>
      </w:r>
      <w:r>
        <w:tab/>
      </w:r>
      <w:r>
        <w:tab/>
      </w:r>
      <w:r>
        <w:tab/>
      </w:r>
      <w:r>
        <w:tab/>
      </w:r>
      <w:r>
        <w:tab/>
      </w:r>
    </w:p>
    <w:p>
      <w:pPr>
        <w:pStyle w:val="24"/>
      </w:pPr>
      <w:r>
        <w:t>审批和审核区内固定资产投资项目</w:t>
      </w:r>
      <w:r>
        <w:tab/>
      </w:r>
      <w:r>
        <w:t>审批入区固定资产投资项目</w:t>
      </w:r>
      <w:r>
        <w:tab/>
      </w:r>
      <w:r>
        <w:t>根据国家有关规定和《入区协议书》《入区项目企业管理办法》对入区固定资产投资进行审批，根据投资方提供的有关资料对其固定资产投资进行审核。</w:t>
      </w:r>
    </w:p>
    <w:p>
      <w:pPr>
        <w:pStyle w:val="24"/>
      </w:pPr>
      <w:r>
        <w:t>监管覆盖率和审批入区固定资产投资项目监管企业数量。</w:t>
      </w:r>
      <w:r>
        <w:tab/>
      </w:r>
    </w:p>
    <w:p>
      <w:pPr>
        <w:pStyle w:val="24"/>
      </w:pPr>
      <w:r>
        <w:t>部门职责绩效目标3：</w:t>
      </w:r>
    </w:p>
    <w:p>
      <w:pPr>
        <w:pStyle w:val="24"/>
      </w:pPr>
      <w:r>
        <w:t>基础和公用设施建设管理绩效目标：</w:t>
      </w:r>
      <w:r>
        <w:tab/>
      </w:r>
      <w:r>
        <w:tab/>
      </w:r>
      <w:r>
        <w:tab/>
      </w:r>
      <w:r>
        <w:t xml:space="preserve"> 1、辖区内基础设施和公用设施建设、基础设施和公用设施建设、</w:t>
      </w:r>
      <w:r>
        <w:tab/>
      </w:r>
      <w:r>
        <w:t>组织实施区内基础设施和公用设施建设、保质保量完成建设任务</w:t>
      </w:r>
      <w:r>
        <w:tab/>
      </w:r>
      <w:r>
        <w:t>。基础设施和公用设施建设完成数</w:t>
      </w:r>
      <w:r>
        <w:tab/>
      </w:r>
      <w:r>
        <w:t xml:space="preserve">        2、辖区内基础设施和公用设施管理</w:t>
      </w:r>
      <w:r>
        <w:tab/>
      </w:r>
      <w:r>
        <w:t>基础设施和公用设施管理</w:t>
      </w:r>
      <w:r>
        <w:tab/>
      </w:r>
      <w:r>
        <w:t>。设施运行和维护、各种设施完好率、设施运行和维护的完好程度。</w:t>
      </w:r>
      <w:r>
        <w:tab/>
      </w:r>
    </w:p>
    <w:p>
      <w:pPr>
        <w:pStyle w:val="24"/>
      </w:pPr>
      <w:r>
        <w:t>部门职责绩效目标4：</w:t>
      </w:r>
    </w:p>
    <w:p>
      <w:pPr>
        <w:pStyle w:val="24"/>
      </w:pPr>
      <w:r>
        <w:t>招商、贸易、合作绩效目标：</w:t>
      </w:r>
    </w:p>
    <w:p>
      <w:pPr>
        <w:pStyle w:val="24"/>
      </w:pPr>
      <w:r>
        <w:t>组织开展招商引资工作，区内企业进出口贸易和开展国际国内合作，根据开发区产业发展发布招商信息、进行商务考察，接待客商考察组织区内企业进行进出口贸易组织区内项目企业与国内外企业、高校和科研机构进行经济技术合作。</w:t>
      </w:r>
      <w:r>
        <w:tab/>
      </w:r>
      <w:r>
        <w:t>部门职责绩效目标5：</w:t>
      </w:r>
    </w:p>
    <w:p>
      <w:pPr>
        <w:pStyle w:val="24"/>
      </w:pPr>
      <w:r>
        <w:t>辖区环境和安全生产监督管理工作，环境和安全生监管</w:t>
      </w:r>
      <w:r>
        <w:tab/>
      </w:r>
      <w:r>
        <w:t>按照有关要求加强监督管理绩效目标：</w:t>
      </w:r>
      <w:r>
        <w:tab/>
      </w:r>
      <w:r>
        <w:tab/>
      </w:r>
    </w:p>
    <w:p>
      <w:pPr>
        <w:pStyle w:val="24"/>
      </w:pPr>
      <w:r>
        <w:t>1、环境监督管理、环境监管、加强环境监察与督查、企业排放达标率</w:t>
      </w:r>
      <w:r>
        <w:tab/>
      </w:r>
      <w:r>
        <w:t>企业排放达标程度</w:t>
      </w:r>
      <w:r>
        <w:tab/>
      </w:r>
    </w:p>
    <w:p>
      <w:pPr>
        <w:pStyle w:val="24"/>
      </w:pPr>
      <w:r>
        <w:t>2、安全生产监督管理</w:t>
      </w:r>
      <w:r>
        <w:tab/>
      </w:r>
      <w:r>
        <w:t>企业安全生监督管理，按照《安全生产法》加强企业安全生产、督导、检查、整改</w:t>
      </w:r>
      <w:r>
        <w:tab/>
      </w:r>
      <w:r>
        <w:t>安全生产达标率和安全生产达标程度。</w:t>
      </w:r>
    </w:p>
    <w:p>
      <w:pPr>
        <w:pStyle w:val="24"/>
      </w:pPr>
      <w:r>
        <w:t>部门职责绩效目标6</w:t>
      </w:r>
      <w:r>
        <w:rPr>
          <w:rFonts w:hint="eastAsia" w:asciiTheme="minorEastAsia" w:hAnsiTheme="minorEastAsia" w:eastAsiaTheme="minorEastAsia"/>
          <w:lang w:eastAsia="zh-CN"/>
        </w:rPr>
        <w:t>：</w:t>
      </w:r>
    </w:p>
    <w:p>
      <w:pPr>
        <w:pStyle w:val="24"/>
      </w:pPr>
      <w:r>
        <w:t>辖区的人力资源和社会保障工作</w:t>
      </w:r>
      <w:r>
        <w:tab/>
      </w:r>
      <w:r>
        <w:t>加快就业服务体系建设和专业技术人才的引进和培养，规范企业用工，加强人才队伍建设，引进高素质人才，规范劳动关系，保障劳动者权益绩效目标：</w:t>
      </w:r>
      <w:r>
        <w:tab/>
      </w:r>
      <w:r>
        <w:tab/>
      </w:r>
      <w:r>
        <w:tab/>
      </w:r>
      <w:r>
        <w:tab/>
      </w:r>
      <w:r>
        <w:tab/>
      </w:r>
      <w:r>
        <w:tab/>
      </w:r>
    </w:p>
    <w:p>
      <w:pPr>
        <w:pStyle w:val="24"/>
      </w:pPr>
      <w:r>
        <w:t>人力资源和社会保障工作</w:t>
      </w:r>
      <w:r>
        <w:tab/>
      </w:r>
      <w:r>
        <w:t>围绕企业用工需求，引进专业技术人才。规范劳动关系</w:t>
      </w:r>
      <w:r>
        <w:tab/>
      </w:r>
      <w:r>
        <w:t>建立区内企业用工需求数据库，并实时更新，加强用需对接，规范区内企业劳动用工，保障劳动者合法权益</w:t>
      </w:r>
      <w:r>
        <w:tab/>
      </w:r>
      <w:r>
        <w:t>引进人才落实率。</w:t>
      </w:r>
    </w:p>
    <w:p>
      <w:pPr>
        <w:pStyle w:val="24"/>
      </w:pPr>
      <w:r>
        <w:t>企业用工合同签订率</w:t>
      </w:r>
      <w:r>
        <w:tab/>
      </w:r>
      <w:r>
        <w:t>引进人才数量及企业用工合同签订数量。</w:t>
      </w:r>
      <w:r>
        <w:tab/>
      </w:r>
    </w:p>
    <w:p>
      <w:pPr>
        <w:pStyle w:val="24"/>
      </w:pPr>
      <w:r>
        <w:t>部门职责绩效目标7：</w:t>
      </w:r>
    </w:p>
    <w:p>
      <w:pPr>
        <w:pStyle w:val="24"/>
      </w:pPr>
      <w:r>
        <w:t>辖区内上级有关部门派驻机构的工作绩效目标：</w:t>
      </w:r>
      <w:r>
        <w:tab/>
      </w:r>
      <w:r>
        <w:t xml:space="preserve">        协调和保障上级有关部门派驻开发区机构的正常工作</w:t>
      </w:r>
      <w:r>
        <w:tab/>
      </w:r>
      <w:r>
        <w:t>保证派驻机构办公用房、办公用品等正常运行。</w:t>
      </w:r>
      <w:r>
        <w:tab/>
      </w:r>
      <w:r>
        <w:tab/>
      </w:r>
      <w:r>
        <w:tab/>
      </w:r>
      <w:r>
        <w:tab/>
      </w:r>
      <w:r>
        <w:tab/>
      </w:r>
      <w:r>
        <w:tab/>
      </w:r>
    </w:p>
    <w:p>
      <w:pPr>
        <w:pStyle w:val="24"/>
      </w:pPr>
      <w:r>
        <w:t>部门职责绩效目标8</w:t>
      </w:r>
    </w:p>
    <w:p>
      <w:pPr>
        <w:pStyle w:val="24"/>
      </w:pPr>
      <w:r>
        <w:t>党建工作绩效目标：</w:t>
      </w:r>
    </w:p>
    <w:p>
      <w:pPr>
        <w:pStyle w:val="24"/>
      </w:pPr>
      <w:r>
        <w:t>1、组织建设</w:t>
      </w:r>
    </w:p>
    <w:p>
      <w:pPr>
        <w:pStyle w:val="24"/>
      </w:pPr>
      <w:r>
        <w:t>指导各级党组织加强组织建设，</w:t>
      </w:r>
      <w:r>
        <w:tab/>
      </w:r>
      <w:r>
        <w:t>党组织和党员作用发挥突出。党组织评议满意度和党组织评议满意程度。</w:t>
      </w:r>
    </w:p>
    <w:p>
      <w:pPr>
        <w:pStyle w:val="24"/>
      </w:pPr>
      <w:r>
        <w:t xml:space="preserve">2、思想政治建设 </w:t>
      </w:r>
    </w:p>
    <w:p>
      <w:pPr>
        <w:pStyle w:val="24"/>
      </w:pPr>
      <w:r>
        <w:t>指导各级党组织抓好党的思想、作风建设，加强党的纪律检查工作。</w:t>
      </w:r>
      <w:r>
        <w:tab/>
      </w:r>
      <w:r>
        <w:t>加强学习和作风建设，利用各载体开展精神文明创建工作。</w:t>
      </w:r>
      <w:r>
        <w:tab/>
      </w:r>
    </w:p>
    <w:p>
      <w:pPr>
        <w:pStyle w:val="24"/>
      </w:pPr>
      <w:r>
        <w:t xml:space="preserve">3、工青妇等群团工作 </w:t>
      </w:r>
      <w:r>
        <w:tab/>
      </w:r>
    </w:p>
    <w:p>
      <w:pPr>
        <w:pStyle w:val="24"/>
      </w:pPr>
      <w:r>
        <w:t>在企业建立健全工、青、妇群团组织并开展工作，群团组织建立健全，工作得到落实，作用发挥明显。</w:t>
      </w:r>
      <w:r>
        <w:tab/>
      </w:r>
      <w:r>
        <w:t>公众参与率</w:t>
      </w:r>
      <w:r>
        <w:tab/>
      </w:r>
      <w:r>
        <w:t>公众参与数量</w:t>
      </w:r>
      <w:r>
        <w:tab/>
      </w:r>
    </w:p>
    <w:p>
      <w:pPr>
        <w:pStyle w:val="24"/>
      </w:pPr>
      <w:r>
        <w:t>4、</w:t>
      </w:r>
      <w:r>
        <w:rPr>
          <w:rFonts w:hint="eastAsia"/>
          <w:lang w:eastAsia="zh-CN"/>
        </w:rPr>
        <w:t>县委、县政府</w:t>
      </w:r>
      <w:r>
        <w:t>交办的其它事项</w:t>
      </w:r>
      <w:r>
        <w:tab/>
      </w:r>
    </w:p>
    <w:p>
      <w:pPr>
        <w:pStyle w:val="24"/>
      </w:pPr>
      <w:r>
        <w:rPr>
          <w:rFonts w:hint="eastAsia"/>
          <w:lang w:eastAsia="zh-CN"/>
        </w:rPr>
        <w:t>县委县政府</w:t>
      </w:r>
      <w:r>
        <w:t>交办的其它重要工作和临时性工作。</w:t>
      </w:r>
      <w:r>
        <w:tab/>
      </w:r>
      <w:r>
        <w:t>按要求高质量、高标准完成。</w:t>
      </w:r>
      <w:r>
        <w:tab/>
      </w:r>
      <w:r>
        <w:tab/>
      </w:r>
      <w:r>
        <w:tab/>
      </w:r>
      <w:r>
        <w:tab/>
      </w:r>
      <w:r>
        <w:tab/>
      </w:r>
      <w:r>
        <w:tab/>
      </w:r>
    </w:p>
    <w:p>
      <w:pPr>
        <w:pStyle w:val="24"/>
      </w:pPr>
      <w:r>
        <w:t>部门职责绩效目标9</w:t>
      </w:r>
    </w:p>
    <w:p>
      <w:pPr>
        <w:pStyle w:val="24"/>
      </w:pPr>
      <w:r>
        <w:t>专项资金管理</w:t>
      </w:r>
      <w:r>
        <w:tab/>
      </w:r>
      <w:r>
        <w:t>负责管理和使用辖区建设发展专项资金绩效目标：</w:t>
      </w:r>
      <w:r>
        <w:tab/>
      </w:r>
      <w:r>
        <w:tab/>
      </w:r>
      <w:r>
        <w:tab/>
      </w:r>
      <w:r>
        <w:tab/>
      </w:r>
      <w:r>
        <w:tab/>
      </w:r>
      <w:r>
        <w:tab/>
      </w:r>
      <w:r>
        <w:tab/>
      </w:r>
    </w:p>
    <w:p>
      <w:pPr>
        <w:pStyle w:val="24"/>
      </w:pPr>
      <w:r>
        <w:t>建设专项资金使用管理</w:t>
      </w:r>
      <w:r>
        <w:tab/>
      </w:r>
      <w:r>
        <w:t>负责管理和使用辖区建设发展专项资金</w:t>
      </w:r>
      <w:r>
        <w:tab/>
      </w:r>
      <w:r>
        <w:t>专项资金专款专用，充分发挥作用。</w:t>
      </w:r>
      <w:r>
        <w:tab/>
      </w:r>
      <w:r>
        <w:tab/>
      </w:r>
      <w:r>
        <w:tab/>
      </w:r>
      <w:r>
        <w:rPr>
          <w:color w:val="000000"/>
        </w:rPr>
        <w:t>（三）工作保障措施</w:t>
      </w:r>
    </w:p>
    <w:p>
      <w:pPr>
        <w:pStyle w:val="25"/>
        <w:numPr>
          <w:ilvl w:val="0"/>
          <w:numId w:val="1"/>
        </w:numPr>
      </w:pPr>
      <w:r>
        <w:t xml:space="preserve">坚持防控生产两手抓，实现经济持续向好。坚持疫情防控常态化不放松，实行精准化、科学化管理，严防外来输入的同时，服务好疫情常态化形势下的企业生产，为企业解决生产生活中的难题，确保供应链稳定和居民就业不受影响。        </w:t>
      </w:r>
    </w:p>
    <w:p>
      <w:pPr>
        <w:pStyle w:val="25"/>
        <w:numPr>
          <w:ilvl w:val="0"/>
          <w:numId w:val="0"/>
        </w:numPr>
        <w:ind w:firstLine="560" w:firstLineChars="200"/>
      </w:pPr>
      <w:r>
        <w:t xml:space="preserve"> 2、盯住重点经济指标，实现经济高质量发展。2022年实现主营业务收入、税收收入同比增长15%以上；预计实现固定资产投资同比增长20%，占当地比例60%以上。</w:t>
      </w:r>
    </w:p>
    <w:p>
      <w:pPr>
        <w:pStyle w:val="25"/>
      </w:pPr>
      <w:r>
        <w:t>3、创新招商模式，提高招商成效。针对疫情形势下，常态化对招商工作的影响。2022年招商工作以服务全区经济发展大局为主线，立足四大主导产业，创新招商方式，不断提高招商成效。一是加强招商队伍建设。建立一支懂经济、会招商、高素质的招商队伍，专职从事招商工作；研究招商信息，定期召开招商引资专题培训，切实提高招商队伍水平和能力。二是围绕重点精准招商。依托“国际合作装备制造产业园”进一步加大招商引资力度，在加强国际合作的同时，积极承接京津产业转移，加快争跑项目和资金，做大做强“国际合作产业园”。围绕 “四大主导产业”进行延链、补链、强链，推动单纯的项目招商向产业招商转变，做大产业规模，形成聚集效应。三是创新模式多渠道招商。针对疫情造成的影响，创新实行电话、视频、网络等线上招商，同时将招商任务进行分解，有针对性地举办专题招商对接会，宣传推介发展优势，编制产业链招商地图，列出产业链缺失环节目录和问题清单，实行“挂图作战”，助力产业发展。</w:t>
      </w:r>
    </w:p>
    <w:p>
      <w:pPr>
        <w:pStyle w:val="25"/>
      </w:pPr>
      <w:r>
        <w:t>4、全力服务项目建设，促进项目建设进度。2022年将全力推进中瑞汽车、药玻二期、中普精钢等在建项目建设进度，倒排工期，挂图作战，加大问题的协调、解决力度，强化督导，严格考核，确保在建项目积极推进；加快科技孵化基地建设，实现投产运行，签约企业全部入驻。翻修改造天雨路，完成110KV变电站运行并网，进一步提升承载能力，为开发区长足发展打下坚实基础。</w:t>
      </w:r>
    </w:p>
    <w:p>
      <w:pPr>
        <w:pStyle w:val="25"/>
      </w:pPr>
      <w:r>
        <w:t>5、强化企业管理促进企业提质增效。根据《开发区企业亩产效益考核办法》，对开发区企业亩均效益情况进行考核，并强化考核结果的运用，倒逼企业转型升级；完善一企一档，建立电子档案。加大对开发区内企业税收征缴力度，充分发挥协税、护税职责，配合县税务局加大对开发区内企业税收征缴力度，实现财政增收；</w:t>
      </w:r>
    </w:p>
    <w:p>
      <w:pPr>
        <w:pStyle w:val="25"/>
      </w:pPr>
      <w:r>
        <w:t>6、 抓基层党建，凝聚发展合力。开发区党工委将以党的政治建设为统领，全面加强基层党的建设，进一步凝聚发展合力。一是全面提升机关党建工作质量。深入学习贯彻党的思想理论；坚决贯彻落实中央、省、市、县委各项决策部署，推进正风肃纪，全面提高魏县开发区管委会机关党的建设质量，建设让人民群众满意的模范机关。二是全面提升基层党组织建设标准。认真贯彻落实县委《关于在全县基层党组织中推行党支部标准工作法的实施方案》要求，着力推动“三会一课”等基本制度落实；按照一类抓创新、二类抓提高、三类促完善的要求，将开发区现有的企业党组织分为三类，实行分类实施推进，全部实现“八有”标准。三是提高基层党组织覆盖面。进一步扩大党的基层组织覆盖和工作有效覆盖，突出抓好规模以上非公企业党组织建设工作，按照应建必建、能建快建的原则，对建成投产企业全部建立党的基层组织，扩大基层党组织覆盖面。</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eastAsiaTheme="minorEastAsia"/>
          <w:sz w:val="28"/>
          <w:szCs w:val="28"/>
          <w:lang w:eastAsia="zh-CN"/>
        </w:rPr>
        <w:sectPr>
          <w:pgSz w:w="16840" w:h="11900" w:orient="landscape"/>
          <w:pgMar w:top="1361" w:right="1020" w:bottom="1361" w:left="1020" w:header="720" w:footer="720" w:gutter="0"/>
          <w:cols w:space="720" w:num="1"/>
        </w:sectPr>
      </w:pPr>
      <w:r>
        <w:rPr>
          <w:rFonts w:hint="eastAsia" w:ascii="方正楷体_GBK" w:hAnsi="方正楷体_GBK" w:cs="方正楷体_GBK" w:eastAsiaTheme="minorEastAsia"/>
          <w:color w:val="000000"/>
          <w:sz w:val="28"/>
          <w:szCs w:val="28"/>
          <w:lang w:eastAsia="zh-CN"/>
        </w:rPr>
        <w:t>本年度未安排专项资金。</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1、经济开发区财政体制改革补助绩效目标表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1.目标内容1创造良好的招商环境、助推魏县经济发展，年度开展外出招商12次以上，优质项目占比70%以上。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招商活动开展次数</w:t>
            </w:r>
          </w:p>
        </w:tc>
        <w:tc>
          <w:tcPr>
            <w:tcW w:w="2835" w:type="dxa"/>
            <w:vAlign w:val="center"/>
          </w:tcPr>
          <w:p>
            <w:pPr>
              <w:pStyle w:val="14"/>
            </w:pPr>
            <w:r>
              <w:t>外出招商活动开展次数</w:t>
            </w:r>
          </w:p>
        </w:tc>
        <w:tc>
          <w:tcPr>
            <w:tcW w:w="2551" w:type="dxa"/>
            <w:vAlign w:val="center"/>
          </w:tcPr>
          <w:p>
            <w:pPr>
              <w:pStyle w:val="14"/>
            </w:pPr>
            <w:r>
              <w:t>≥12次</w:t>
            </w:r>
          </w:p>
        </w:tc>
        <w:tc>
          <w:tcPr>
            <w:tcW w:w="2268" w:type="dxa"/>
            <w:vAlign w:val="center"/>
          </w:tcPr>
          <w:p>
            <w:pPr>
              <w:pStyle w:val="14"/>
            </w:pPr>
            <w: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项目合格率</w:t>
            </w:r>
          </w:p>
        </w:tc>
        <w:tc>
          <w:tcPr>
            <w:tcW w:w="2835" w:type="dxa"/>
            <w:vAlign w:val="center"/>
          </w:tcPr>
          <w:p>
            <w:pPr>
              <w:pStyle w:val="14"/>
            </w:pPr>
            <w:r>
              <w:t>招商落地项目占总量的比值</w:t>
            </w:r>
          </w:p>
        </w:tc>
        <w:tc>
          <w:tcPr>
            <w:tcW w:w="2551" w:type="dxa"/>
            <w:vAlign w:val="center"/>
          </w:tcPr>
          <w:p>
            <w:pPr>
              <w:pStyle w:val="14"/>
            </w:pPr>
            <w:r>
              <w:t>≥70%</w:t>
            </w:r>
          </w:p>
        </w:tc>
        <w:tc>
          <w:tcPr>
            <w:tcW w:w="2268" w:type="dxa"/>
            <w:vAlign w:val="center"/>
          </w:tcPr>
          <w:p>
            <w:pPr>
              <w:pStyle w:val="14"/>
            </w:pPr>
            <w: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年度招商工作完成度</w:t>
            </w:r>
          </w:p>
        </w:tc>
        <w:tc>
          <w:tcPr>
            <w:tcW w:w="2835" w:type="dxa"/>
            <w:vAlign w:val="center"/>
          </w:tcPr>
          <w:p>
            <w:pPr>
              <w:pStyle w:val="14"/>
            </w:pPr>
            <w:r>
              <w:t>招商任务是否在规定的时间内按时完成</w:t>
            </w:r>
          </w:p>
        </w:tc>
        <w:tc>
          <w:tcPr>
            <w:tcW w:w="2551" w:type="dxa"/>
            <w:vAlign w:val="center"/>
          </w:tcPr>
          <w:p>
            <w:pPr>
              <w:pStyle w:val="14"/>
            </w:pPr>
            <w:r>
              <w:t>是否及时完成年度目标</w:t>
            </w:r>
          </w:p>
        </w:tc>
        <w:tc>
          <w:tcPr>
            <w:tcW w:w="2268" w:type="dxa"/>
            <w:vAlign w:val="center"/>
          </w:tcPr>
          <w:p>
            <w:pPr>
              <w:pStyle w:val="14"/>
            </w:pPr>
            <w: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严格按照项目预算控制数实施招商等工作</w:t>
            </w:r>
          </w:p>
        </w:tc>
        <w:tc>
          <w:tcPr>
            <w:tcW w:w="2551" w:type="dxa"/>
            <w:vAlign w:val="center"/>
          </w:tcPr>
          <w:p>
            <w:pPr>
              <w:pStyle w:val="14"/>
            </w:pPr>
            <w:r>
              <w:t>≤100%</w:t>
            </w:r>
          </w:p>
        </w:tc>
        <w:tc>
          <w:tcPr>
            <w:tcW w:w="2268" w:type="dxa"/>
            <w:vAlign w:val="center"/>
          </w:tcPr>
          <w:p>
            <w:pPr>
              <w:pStyle w:val="14"/>
            </w:pPr>
            <w:r>
              <w:t>年度决算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招商项目完成率</w:t>
            </w:r>
          </w:p>
        </w:tc>
        <w:tc>
          <w:tcPr>
            <w:tcW w:w="2835" w:type="dxa"/>
            <w:vAlign w:val="center"/>
          </w:tcPr>
          <w:p>
            <w:pPr>
              <w:pStyle w:val="14"/>
            </w:pPr>
            <w:r>
              <w:t>预定招商项目落地情况，完成率（政府任务目标）</w:t>
            </w:r>
          </w:p>
        </w:tc>
        <w:tc>
          <w:tcPr>
            <w:tcW w:w="2551" w:type="dxa"/>
            <w:vAlign w:val="center"/>
          </w:tcPr>
          <w:p>
            <w:pPr>
              <w:pStyle w:val="14"/>
            </w:pPr>
            <w:r>
              <w:t>≥95%</w:t>
            </w:r>
          </w:p>
        </w:tc>
        <w:tc>
          <w:tcPr>
            <w:tcW w:w="2268" w:type="dxa"/>
            <w:vAlign w:val="center"/>
          </w:tcPr>
          <w:p>
            <w:pPr>
              <w:pStyle w:val="14"/>
            </w:pPr>
            <w:r>
              <w:t>政府责任目标和年底考核情况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项目对社会效益提升比</w:t>
            </w:r>
          </w:p>
        </w:tc>
        <w:tc>
          <w:tcPr>
            <w:tcW w:w="2835" w:type="dxa"/>
            <w:vAlign w:val="center"/>
          </w:tcPr>
          <w:p>
            <w:pPr>
              <w:pStyle w:val="14"/>
            </w:pPr>
            <w:r>
              <w:t>招商引资的项目对社会效益（税收）增值率</w:t>
            </w:r>
          </w:p>
        </w:tc>
        <w:tc>
          <w:tcPr>
            <w:tcW w:w="2551" w:type="dxa"/>
            <w:vAlign w:val="center"/>
          </w:tcPr>
          <w:p>
            <w:pPr>
              <w:pStyle w:val="14"/>
            </w:pPr>
            <w:r>
              <w:t>≥11%</w:t>
            </w:r>
          </w:p>
        </w:tc>
        <w:tc>
          <w:tcPr>
            <w:tcW w:w="2268" w:type="dxa"/>
            <w:vAlign w:val="center"/>
          </w:tcPr>
          <w:p>
            <w:pPr>
              <w:pStyle w:val="14"/>
            </w:pPr>
            <w:r>
              <w:t>开发区企业在全县税收所占比重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w:t>
            </w:r>
          </w:p>
        </w:tc>
        <w:tc>
          <w:tcPr>
            <w:tcW w:w="2835" w:type="dxa"/>
            <w:vAlign w:val="center"/>
          </w:tcPr>
          <w:p>
            <w:pPr>
              <w:pStyle w:val="14"/>
            </w:pPr>
            <w:r>
              <w:t>吸引上下游企业、增加周边务工岗位等持续影响</w:t>
            </w:r>
          </w:p>
        </w:tc>
        <w:tc>
          <w:tcPr>
            <w:tcW w:w="2551" w:type="dxa"/>
            <w:vAlign w:val="center"/>
          </w:tcPr>
          <w:p>
            <w:pPr>
              <w:pStyle w:val="14"/>
            </w:pPr>
            <w:r>
              <w:t>持续影响周边务工、吸引项目上下游企业等发展</w:t>
            </w:r>
          </w:p>
        </w:tc>
        <w:tc>
          <w:tcPr>
            <w:tcW w:w="2268" w:type="dxa"/>
            <w:vAlign w:val="center"/>
          </w:tcPr>
          <w:p>
            <w:pPr>
              <w:pStyle w:val="14"/>
            </w:pPr>
            <w:r>
              <w:t>招商引资工作考核结果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年度调查问卷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2022年，河北魏县经济开发区管理委员会安排政府采购预算0.00万元。具体内容见下表。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河北魏县经济开发区管理委员会（含所属单位）上年末固定资产金额为140.10万元（详见下表）。本年度拟购置固定资产总额为0.00万元，已按要求列入政府采购预算，详见政府采购预算表。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976河北魏县经济开发区管理委员会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294</w:t>
            </w:r>
          </w:p>
        </w:tc>
        <w:tc>
          <w:tcPr>
            <w:tcW w:w="2835" w:type="dxa"/>
            <w:vAlign w:val="center"/>
          </w:tcPr>
          <w:p>
            <w:pPr>
              <w:pStyle w:val="13"/>
            </w:pPr>
            <w:r>
              <w:t>140.10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县</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56254"/>
    <w:multiLevelType w:val="singleLevel"/>
    <w:tmpl w:val="715562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jlkNjdmMmUzMGI1NWMyYjkyMjQ2YzZmODFlZjIifQ=="/>
  </w:docVars>
  <w:rsids>
    <w:rsidRoot w:val="00E15320"/>
    <w:rsid w:val="00221D2E"/>
    <w:rsid w:val="00600C92"/>
    <w:rsid w:val="006969BC"/>
    <w:rsid w:val="006A1867"/>
    <w:rsid w:val="00843D70"/>
    <w:rsid w:val="00A238A7"/>
    <w:rsid w:val="00E15320"/>
    <w:rsid w:val="13955933"/>
    <w:rsid w:val="17B041A5"/>
    <w:rsid w:val="2DA61C8C"/>
    <w:rsid w:val="3F7F4634"/>
    <w:rsid w:val="48463F07"/>
    <w:rsid w:val="6F5C4E18"/>
    <w:rsid w:val="FFBD8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www.cftao.com</Company>
  <Pages>47</Pages>
  <Words>14403</Words>
  <Characters>16504</Characters>
  <Lines>152</Lines>
  <Paragraphs>42</Paragraphs>
  <TotalTime>4</TotalTime>
  <ScaleCrop>false</ScaleCrop>
  <LinksUpToDate>false</LinksUpToDate>
  <CharactersWithSpaces>16914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2022-03-15T01:12:00Z</dcterms:created>
  <dc:creator>Administrator</dc:creator>
  <cp:lastModifiedBy>xxhb</cp:lastModifiedBy>
  <dcterms:modified xsi:type="dcterms:W3CDTF">2023-11-07T15:48:49Z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3DB6A9EB6F3B4830A3F413B8901E2451_13</vt:lpwstr>
  </property>
</Properties>
</file>