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fldChar w:fldCharType="end"/>
      </w:r>
      <w:r>
        <w:fldChar w:fldCharType="end"/>
      </w:r>
    </w:p>
    <w:p>
      <w:r>
        <w:fldChar w:fldCharType="end"/>
      </w:r>
    </w:p>
    <w:p>
      <w:pPr>
        <w:sectPr>
          <w:headerReference r:id="rId3" w:type="default"/>
          <w:headerReference r:id="rId4"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318魏县财政局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20649.63</w:t>
            </w:r>
          </w:p>
        </w:tc>
        <w:tc>
          <w:tcPr>
            <w:tcW w:w="4535" w:type="dxa"/>
            <w:vAlign w:val="center"/>
          </w:tcPr>
          <w:p>
            <w:pPr>
              <w:pStyle w:val="12"/>
            </w:pPr>
            <w:r>
              <w:t>一、一般公共服务支出</w:t>
            </w:r>
          </w:p>
        </w:tc>
        <w:tc>
          <w:tcPr>
            <w:tcW w:w="2126" w:type="dxa"/>
            <w:vAlign w:val="center"/>
          </w:tcPr>
          <w:p>
            <w:pPr>
              <w:pStyle w:val="11"/>
            </w:pPr>
            <w:r>
              <w:t>1559.16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26606.00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r>
              <w:t>28218.00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r>
              <w:t>17088.82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r>
              <w:t>156.20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47255.63</w:t>
            </w:r>
          </w:p>
        </w:tc>
        <w:tc>
          <w:tcPr>
            <w:tcW w:w="4535" w:type="dxa"/>
            <w:vAlign w:val="center"/>
          </w:tcPr>
          <w:p>
            <w:pPr>
              <w:pStyle w:val="14"/>
            </w:pPr>
            <w:r>
              <w:t>本年支出合计</w:t>
            </w:r>
          </w:p>
        </w:tc>
        <w:tc>
          <w:tcPr>
            <w:tcW w:w="2126" w:type="dxa"/>
            <w:vAlign w:val="center"/>
          </w:tcPr>
          <w:p>
            <w:pPr>
              <w:pStyle w:val="15"/>
            </w:pPr>
            <w:r>
              <w:t>47255.63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47255.63</w:t>
            </w:r>
          </w:p>
        </w:tc>
        <w:tc>
          <w:tcPr>
            <w:tcW w:w="4535" w:type="dxa"/>
            <w:vAlign w:val="center"/>
          </w:tcPr>
          <w:p>
            <w:pPr>
              <w:pStyle w:val="14"/>
            </w:pPr>
            <w:r>
              <w:t>支出总计</w:t>
            </w:r>
          </w:p>
        </w:tc>
        <w:tc>
          <w:tcPr>
            <w:tcW w:w="2126" w:type="dxa"/>
            <w:vAlign w:val="center"/>
          </w:tcPr>
          <w:p>
            <w:pPr>
              <w:pStyle w:val="15"/>
            </w:pPr>
            <w:r>
              <w:t>47255.63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318魏县财政局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47255.63</w:t>
            </w:r>
          </w:p>
        </w:tc>
        <w:tc>
          <w:tcPr>
            <w:tcW w:w="1134" w:type="dxa"/>
            <w:vAlign w:val="center"/>
          </w:tcPr>
          <w:p>
            <w:pPr>
              <w:pStyle w:val="15"/>
            </w:pPr>
            <w:r>
              <w:t>47255.63</w:t>
            </w:r>
          </w:p>
        </w:tc>
        <w:tc>
          <w:tcPr>
            <w:tcW w:w="1134" w:type="dxa"/>
            <w:vAlign w:val="center"/>
          </w:tcPr>
          <w:p>
            <w:pPr>
              <w:pStyle w:val="15"/>
            </w:pPr>
            <w:r>
              <w:t>47255.63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1559.16</w:t>
            </w:r>
          </w:p>
        </w:tc>
        <w:tc>
          <w:tcPr>
            <w:tcW w:w="1134" w:type="dxa"/>
            <w:vAlign w:val="center"/>
          </w:tcPr>
          <w:p>
            <w:pPr>
              <w:pStyle w:val="11"/>
            </w:pPr>
            <w:r>
              <w:t>1559.16</w:t>
            </w:r>
          </w:p>
        </w:tc>
        <w:tc>
          <w:tcPr>
            <w:tcW w:w="1134" w:type="dxa"/>
            <w:vAlign w:val="center"/>
          </w:tcPr>
          <w:p>
            <w:pPr>
              <w:pStyle w:val="11"/>
            </w:pPr>
            <w:r>
              <w:t>1559.16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1559.16</w:t>
            </w:r>
          </w:p>
        </w:tc>
        <w:tc>
          <w:tcPr>
            <w:tcW w:w="1134" w:type="dxa"/>
            <w:vAlign w:val="center"/>
          </w:tcPr>
          <w:p>
            <w:pPr>
              <w:pStyle w:val="11"/>
            </w:pPr>
            <w:r>
              <w:t>1559.16</w:t>
            </w:r>
          </w:p>
        </w:tc>
        <w:tc>
          <w:tcPr>
            <w:tcW w:w="1134" w:type="dxa"/>
            <w:vAlign w:val="center"/>
          </w:tcPr>
          <w:p>
            <w:pPr>
              <w:pStyle w:val="11"/>
            </w:pPr>
            <w:r>
              <w:t>1559.16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924.01</w:t>
            </w:r>
          </w:p>
        </w:tc>
        <w:tc>
          <w:tcPr>
            <w:tcW w:w="1134" w:type="dxa"/>
            <w:vAlign w:val="center"/>
          </w:tcPr>
          <w:p>
            <w:pPr>
              <w:pStyle w:val="11"/>
            </w:pPr>
            <w:r>
              <w:t>924.01</w:t>
            </w:r>
          </w:p>
        </w:tc>
        <w:tc>
          <w:tcPr>
            <w:tcW w:w="1134" w:type="dxa"/>
            <w:vAlign w:val="center"/>
          </w:tcPr>
          <w:p>
            <w:pPr>
              <w:pStyle w:val="11"/>
            </w:pPr>
            <w:r>
              <w:t>924.01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2010602</w:t>
            </w:r>
          </w:p>
        </w:tc>
        <w:tc>
          <w:tcPr>
            <w:tcW w:w="1559" w:type="dxa"/>
            <w:vAlign w:val="center"/>
          </w:tcPr>
          <w:p>
            <w:pPr>
              <w:pStyle w:val="12"/>
            </w:pPr>
            <w:r>
              <w:t>一般行政管理事务</w:t>
            </w:r>
          </w:p>
        </w:tc>
        <w:tc>
          <w:tcPr>
            <w:tcW w:w="1134" w:type="dxa"/>
            <w:vAlign w:val="center"/>
          </w:tcPr>
          <w:p>
            <w:pPr>
              <w:pStyle w:val="11"/>
            </w:pPr>
            <w:r>
              <w:t>635.15</w:t>
            </w:r>
          </w:p>
        </w:tc>
        <w:tc>
          <w:tcPr>
            <w:tcW w:w="1134" w:type="dxa"/>
            <w:vAlign w:val="center"/>
          </w:tcPr>
          <w:p>
            <w:pPr>
              <w:pStyle w:val="11"/>
            </w:pPr>
            <w:r>
              <w:t>635.15</w:t>
            </w:r>
          </w:p>
        </w:tc>
        <w:tc>
          <w:tcPr>
            <w:tcW w:w="1134" w:type="dxa"/>
            <w:vAlign w:val="center"/>
          </w:tcPr>
          <w:p>
            <w:pPr>
              <w:pStyle w:val="11"/>
            </w:pPr>
            <w:r>
              <w:t>635.15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164.32</w:t>
            </w:r>
          </w:p>
        </w:tc>
        <w:tc>
          <w:tcPr>
            <w:tcW w:w="1134" w:type="dxa"/>
            <w:vAlign w:val="center"/>
          </w:tcPr>
          <w:p>
            <w:pPr>
              <w:pStyle w:val="11"/>
            </w:pPr>
            <w:r>
              <w:t>164.32</w:t>
            </w:r>
          </w:p>
        </w:tc>
        <w:tc>
          <w:tcPr>
            <w:tcW w:w="1134" w:type="dxa"/>
            <w:vAlign w:val="center"/>
          </w:tcPr>
          <w:p>
            <w:pPr>
              <w:pStyle w:val="11"/>
            </w:pPr>
            <w:r>
              <w:t>164.32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164.32</w:t>
            </w:r>
          </w:p>
        </w:tc>
        <w:tc>
          <w:tcPr>
            <w:tcW w:w="1134" w:type="dxa"/>
            <w:vAlign w:val="center"/>
          </w:tcPr>
          <w:p>
            <w:pPr>
              <w:pStyle w:val="11"/>
            </w:pPr>
            <w:r>
              <w:t>164.32</w:t>
            </w:r>
          </w:p>
        </w:tc>
        <w:tc>
          <w:tcPr>
            <w:tcW w:w="1134" w:type="dxa"/>
            <w:vAlign w:val="center"/>
          </w:tcPr>
          <w:p>
            <w:pPr>
              <w:pStyle w:val="11"/>
            </w:pPr>
            <w:r>
              <w:t>164.32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21.18</w:t>
            </w:r>
          </w:p>
        </w:tc>
        <w:tc>
          <w:tcPr>
            <w:tcW w:w="1134" w:type="dxa"/>
            <w:vAlign w:val="center"/>
          </w:tcPr>
          <w:p>
            <w:pPr>
              <w:pStyle w:val="11"/>
            </w:pPr>
            <w:r>
              <w:t>21.18</w:t>
            </w:r>
          </w:p>
        </w:tc>
        <w:tc>
          <w:tcPr>
            <w:tcW w:w="1134" w:type="dxa"/>
            <w:vAlign w:val="center"/>
          </w:tcPr>
          <w:p>
            <w:pPr>
              <w:pStyle w:val="11"/>
            </w:pPr>
            <w:r>
              <w:t>21.18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95.43</w:t>
            </w:r>
          </w:p>
        </w:tc>
        <w:tc>
          <w:tcPr>
            <w:tcW w:w="1134" w:type="dxa"/>
            <w:vAlign w:val="center"/>
          </w:tcPr>
          <w:p>
            <w:pPr>
              <w:pStyle w:val="11"/>
            </w:pPr>
            <w:r>
              <w:t>95.43</w:t>
            </w:r>
          </w:p>
        </w:tc>
        <w:tc>
          <w:tcPr>
            <w:tcW w:w="1134" w:type="dxa"/>
            <w:vAlign w:val="center"/>
          </w:tcPr>
          <w:p>
            <w:pPr>
              <w:pStyle w:val="11"/>
            </w:pPr>
            <w:r>
              <w:t>95.43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47.71</w:t>
            </w:r>
          </w:p>
        </w:tc>
        <w:tc>
          <w:tcPr>
            <w:tcW w:w="1134" w:type="dxa"/>
            <w:vAlign w:val="center"/>
          </w:tcPr>
          <w:p>
            <w:pPr>
              <w:pStyle w:val="11"/>
            </w:pPr>
            <w:r>
              <w:t>47.71</w:t>
            </w:r>
          </w:p>
        </w:tc>
        <w:tc>
          <w:tcPr>
            <w:tcW w:w="1134" w:type="dxa"/>
            <w:vAlign w:val="center"/>
          </w:tcPr>
          <w:p>
            <w:pPr>
              <w:pStyle w:val="11"/>
            </w:pPr>
            <w:r>
              <w:t>47.71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49.13</w:t>
            </w:r>
          </w:p>
        </w:tc>
        <w:tc>
          <w:tcPr>
            <w:tcW w:w="1134" w:type="dxa"/>
            <w:vAlign w:val="center"/>
          </w:tcPr>
          <w:p>
            <w:pPr>
              <w:pStyle w:val="11"/>
            </w:pPr>
            <w:r>
              <w:t>49.13</w:t>
            </w:r>
          </w:p>
        </w:tc>
        <w:tc>
          <w:tcPr>
            <w:tcW w:w="1134" w:type="dxa"/>
            <w:vAlign w:val="center"/>
          </w:tcPr>
          <w:p>
            <w:pPr>
              <w:pStyle w:val="11"/>
            </w:pPr>
            <w:r>
              <w:t>49.13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49.13</w:t>
            </w:r>
          </w:p>
        </w:tc>
        <w:tc>
          <w:tcPr>
            <w:tcW w:w="1134" w:type="dxa"/>
            <w:vAlign w:val="center"/>
          </w:tcPr>
          <w:p>
            <w:pPr>
              <w:pStyle w:val="11"/>
            </w:pPr>
            <w:r>
              <w:t>49.13</w:t>
            </w:r>
          </w:p>
        </w:tc>
        <w:tc>
          <w:tcPr>
            <w:tcW w:w="1134" w:type="dxa"/>
            <w:vAlign w:val="center"/>
          </w:tcPr>
          <w:p>
            <w:pPr>
              <w:pStyle w:val="11"/>
            </w:pPr>
            <w:r>
              <w:t>49.13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49.13</w:t>
            </w:r>
          </w:p>
        </w:tc>
        <w:tc>
          <w:tcPr>
            <w:tcW w:w="1134" w:type="dxa"/>
            <w:vAlign w:val="center"/>
          </w:tcPr>
          <w:p>
            <w:pPr>
              <w:pStyle w:val="11"/>
            </w:pPr>
            <w:r>
              <w:t>49.13</w:t>
            </w:r>
          </w:p>
        </w:tc>
        <w:tc>
          <w:tcPr>
            <w:tcW w:w="1134" w:type="dxa"/>
            <w:vAlign w:val="center"/>
          </w:tcPr>
          <w:p>
            <w:pPr>
              <w:pStyle w:val="11"/>
            </w:pPr>
            <w:r>
              <w:t>49.13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231</w:t>
            </w:r>
          </w:p>
        </w:tc>
        <w:tc>
          <w:tcPr>
            <w:tcW w:w="1559" w:type="dxa"/>
            <w:vAlign w:val="center"/>
          </w:tcPr>
          <w:p>
            <w:pPr>
              <w:pStyle w:val="12"/>
            </w:pPr>
            <w:r>
              <w:t>债务还本支出</w:t>
            </w:r>
          </w:p>
        </w:tc>
        <w:tc>
          <w:tcPr>
            <w:tcW w:w="1134" w:type="dxa"/>
            <w:vAlign w:val="center"/>
          </w:tcPr>
          <w:p>
            <w:pPr>
              <w:pStyle w:val="11"/>
            </w:pPr>
            <w:r>
              <w:t>28218.00</w:t>
            </w:r>
          </w:p>
        </w:tc>
        <w:tc>
          <w:tcPr>
            <w:tcW w:w="1134" w:type="dxa"/>
            <w:vAlign w:val="center"/>
          </w:tcPr>
          <w:p>
            <w:pPr>
              <w:pStyle w:val="11"/>
            </w:pPr>
            <w:r>
              <w:t>28218.00</w:t>
            </w:r>
          </w:p>
        </w:tc>
        <w:tc>
          <w:tcPr>
            <w:tcW w:w="1134" w:type="dxa"/>
            <w:vAlign w:val="center"/>
          </w:tcPr>
          <w:p>
            <w:pPr>
              <w:pStyle w:val="11"/>
            </w:pPr>
            <w:r>
              <w:t>28218.00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23103</w:t>
            </w:r>
          </w:p>
        </w:tc>
        <w:tc>
          <w:tcPr>
            <w:tcW w:w="1559" w:type="dxa"/>
            <w:vAlign w:val="center"/>
          </w:tcPr>
          <w:p>
            <w:pPr>
              <w:pStyle w:val="12"/>
            </w:pPr>
            <w:r>
              <w:t>地方政府一般债务还本支出</w:t>
            </w:r>
          </w:p>
        </w:tc>
        <w:tc>
          <w:tcPr>
            <w:tcW w:w="1134" w:type="dxa"/>
            <w:vAlign w:val="center"/>
          </w:tcPr>
          <w:p>
            <w:pPr>
              <w:pStyle w:val="11"/>
            </w:pPr>
            <w:r>
              <w:t>10318.00</w:t>
            </w:r>
          </w:p>
        </w:tc>
        <w:tc>
          <w:tcPr>
            <w:tcW w:w="1134" w:type="dxa"/>
            <w:vAlign w:val="center"/>
          </w:tcPr>
          <w:p>
            <w:pPr>
              <w:pStyle w:val="11"/>
            </w:pPr>
            <w:r>
              <w:t>10318.00</w:t>
            </w:r>
          </w:p>
        </w:tc>
        <w:tc>
          <w:tcPr>
            <w:tcW w:w="1134" w:type="dxa"/>
            <w:vAlign w:val="center"/>
          </w:tcPr>
          <w:p>
            <w:pPr>
              <w:pStyle w:val="11"/>
            </w:pPr>
            <w:r>
              <w:t>10318.00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2310301</w:t>
            </w:r>
          </w:p>
        </w:tc>
        <w:tc>
          <w:tcPr>
            <w:tcW w:w="1559" w:type="dxa"/>
            <w:vAlign w:val="center"/>
          </w:tcPr>
          <w:p>
            <w:pPr>
              <w:pStyle w:val="12"/>
            </w:pPr>
            <w:r>
              <w:t>地方政府一般债券还本支出</w:t>
            </w:r>
          </w:p>
        </w:tc>
        <w:tc>
          <w:tcPr>
            <w:tcW w:w="1134" w:type="dxa"/>
            <w:vAlign w:val="center"/>
          </w:tcPr>
          <w:p>
            <w:pPr>
              <w:pStyle w:val="11"/>
            </w:pPr>
            <w:r>
              <w:t>10318.00</w:t>
            </w:r>
          </w:p>
        </w:tc>
        <w:tc>
          <w:tcPr>
            <w:tcW w:w="1134" w:type="dxa"/>
            <w:vAlign w:val="center"/>
          </w:tcPr>
          <w:p>
            <w:pPr>
              <w:pStyle w:val="11"/>
            </w:pPr>
            <w:r>
              <w:t>10318.00</w:t>
            </w:r>
          </w:p>
        </w:tc>
        <w:tc>
          <w:tcPr>
            <w:tcW w:w="1134" w:type="dxa"/>
            <w:vAlign w:val="center"/>
          </w:tcPr>
          <w:p>
            <w:pPr>
              <w:pStyle w:val="11"/>
            </w:pPr>
            <w:r>
              <w:t>10318.00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23104</w:t>
            </w:r>
          </w:p>
        </w:tc>
        <w:tc>
          <w:tcPr>
            <w:tcW w:w="1559" w:type="dxa"/>
            <w:vAlign w:val="center"/>
          </w:tcPr>
          <w:p>
            <w:pPr>
              <w:pStyle w:val="12"/>
            </w:pPr>
            <w:r>
              <w:t>地方政府专项债务还本支出</w:t>
            </w:r>
          </w:p>
        </w:tc>
        <w:tc>
          <w:tcPr>
            <w:tcW w:w="1134" w:type="dxa"/>
            <w:vAlign w:val="center"/>
          </w:tcPr>
          <w:p>
            <w:pPr>
              <w:pStyle w:val="11"/>
            </w:pPr>
            <w:r>
              <w:t>17900.00</w:t>
            </w:r>
          </w:p>
        </w:tc>
        <w:tc>
          <w:tcPr>
            <w:tcW w:w="1134" w:type="dxa"/>
            <w:vAlign w:val="center"/>
          </w:tcPr>
          <w:p>
            <w:pPr>
              <w:pStyle w:val="11"/>
            </w:pPr>
            <w:r>
              <w:t>17900.00</w:t>
            </w:r>
          </w:p>
        </w:tc>
        <w:tc>
          <w:tcPr>
            <w:tcW w:w="1134" w:type="dxa"/>
            <w:vAlign w:val="center"/>
          </w:tcPr>
          <w:p>
            <w:pPr>
              <w:pStyle w:val="11"/>
            </w:pPr>
            <w:r>
              <w:t>17900.00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2310411</w:t>
            </w:r>
          </w:p>
        </w:tc>
        <w:tc>
          <w:tcPr>
            <w:tcW w:w="1559" w:type="dxa"/>
            <w:vAlign w:val="center"/>
          </w:tcPr>
          <w:p>
            <w:pPr>
              <w:pStyle w:val="12"/>
            </w:pPr>
            <w:r>
              <w:t>国有土地使用权出让金债务还本支出</w:t>
            </w:r>
          </w:p>
        </w:tc>
        <w:tc>
          <w:tcPr>
            <w:tcW w:w="1134" w:type="dxa"/>
            <w:vAlign w:val="center"/>
          </w:tcPr>
          <w:p>
            <w:pPr>
              <w:pStyle w:val="11"/>
            </w:pPr>
            <w:r>
              <w:t>17900.00</w:t>
            </w:r>
          </w:p>
        </w:tc>
        <w:tc>
          <w:tcPr>
            <w:tcW w:w="1134" w:type="dxa"/>
            <w:vAlign w:val="center"/>
          </w:tcPr>
          <w:p>
            <w:pPr>
              <w:pStyle w:val="11"/>
            </w:pPr>
            <w:r>
              <w:t>17900.00</w:t>
            </w:r>
          </w:p>
        </w:tc>
        <w:tc>
          <w:tcPr>
            <w:tcW w:w="1134" w:type="dxa"/>
            <w:vAlign w:val="center"/>
          </w:tcPr>
          <w:p>
            <w:pPr>
              <w:pStyle w:val="11"/>
            </w:pPr>
            <w:r>
              <w:t>17900.00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232</w:t>
            </w:r>
          </w:p>
        </w:tc>
        <w:tc>
          <w:tcPr>
            <w:tcW w:w="1559" w:type="dxa"/>
            <w:vAlign w:val="center"/>
          </w:tcPr>
          <w:p>
            <w:pPr>
              <w:pStyle w:val="12"/>
            </w:pPr>
            <w:r>
              <w:t>债务付息支出</w:t>
            </w:r>
          </w:p>
        </w:tc>
        <w:tc>
          <w:tcPr>
            <w:tcW w:w="1134" w:type="dxa"/>
            <w:vAlign w:val="center"/>
          </w:tcPr>
          <w:p>
            <w:pPr>
              <w:pStyle w:val="11"/>
            </w:pPr>
            <w:r>
              <w:t>17088.82</w:t>
            </w:r>
          </w:p>
        </w:tc>
        <w:tc>
          <w:tcPr>
            <w:tcW w:w="1134" w:type="dxa"/>
            <w:vAlign w:val="center"/>
          </w:tcPr>
          <w:p>
            <w:pPr>
              <w:pStyle w:val="11"/>
            </w:pPr>
            <w:r>
              <w:t>17088.82</w:t>
            </w:r>
          </w:p>
        </w:tc>
        <w:tc>
          <w:tcPr>
            <w:tcW w:w="1134" w:type="dxa"/>
            <w:vAlign w:val="center"/>
          </w:tcPr>
          <w:p>
            <w:pPr>
              <w:pStyle w:val="11"/>
            </w:pPr>
            <w:r>
              <w:t>17088.82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23203</w:t>
            </w:r>
          </w:p>
        </w:tc>
        <w:tc>
          <w:tcPr>
            <w:tcW w:w="1559" w:type="dxa"/>
            <w:vAlign w:val="center"/>
          </w:tcPr>
          <w:p>
            <w:pPr>
              <w:pStyle w:val="12"/>
            </w:pPr>
            <w:r>
              <w:t>地方政府一般债务付息支出</w:t>
            </w:r>
          </w:p>
        </w:tc>
        <w:tc>
          <w:tcPr>
            <w:tcW w:w="1134" w:type="dxa"/>
            <w:vAlign w:val="center"/>
          </w:tcPr>
          <w:p>
            <w:pPr>
              <w:pStyle w:val="11"/>
            </w:pPr>
            <w:r>
              <w:t>8495.17</w:t>
            </w:r>
          </w:p>
        </w:tc>
        <w:tc>
          <w:tcPr>
            <w:tcW w:w="1134" w:type="dxa"/>
            <w:vAlign w:val="center"/>
          </w:tcPr>
          <w:p>
            <w:pPr>
              <w:pStyle w:val="11"/>
            </w:pPr>
            <w:r>
              <w:t>8495.17</w:t>
            </w:r>
          </w:p>
        </w:tc>
        <w:tc>
          <w:tcPr>
            <w:tcW w:w="1134" w:type="dxa"/>
            <w:vAlign w:val="center"/>
          </w:tcPr>
          <w:p>
            <w:pPr>
              <w:pStyle w:val="11"/>
            </w:pPr>
            <w:r>
              <w:t>8495.17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2320301</w:t>
            </w:r>
          </w:p>
        </w:tc>
        <w:tc>
          <w:tcPr>
            <w:tcW w:w="1559" w:type="dxa"/>
            <w:vAlign w:val="center"/>
          </w:tcPr>
          <w:p>
            <w:pPr>
              <w:pStyle w:val="12"/>
            </w:pPr>
            <w:r>
              <w:t>地方政府一般债券付息支出</w:t>
            </w:r>
          </w:p>
        </w:tc>
        <w:tc>
          <w:tcPr>
            <w:tcW w:w="1134" w:type="dxa"/>
            <w:vAlign w:val="center"/>
          </w:tcPr>
          <w:p>
            <w:pPr>
              <w:pStyle w:val="11"/>
            </w:pPr>
            <w:r>
              <w:t>8495.17</w:t>
            </w:r>
          </w:p>
        </w:tc>
        <w:tc>
          <w:tcPr>
            <w:tcW w:w="1134" w:type="dxa"/>
            <w:vAlign w:val="center"/>
          </w:tcPr>
          <w:p>
            <w:pPr>
              <w:pStyle w:val="11"/>
            </w:pPr>
            <w:r>
              <w:t>8495.17</w:t>
            </w:r>
          </w:p>
        </w:tc>
        <w:tc>
          <w:tcPr>
            <w:tcW w:w="1134" w:type="dxa"/>
            <w:vAlign w:val="center"/>
          </w:tcPr>
          <w:p>
            <w:pPr>
              <w:pStyle w:val="11"/>
            </w:pPr>
            <w:r>
              <w:t>8495.17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23204</w:t>
            </w:r>
          </w:p>
        </w:tc>
        <w:tc>
          <w:tcPr>
            <w:tcW w:w="1559" w:type="dxa"/>
            <w:vAlign w:val="center"/>
          </w:tcPr>
          <w:p>
            <w:pPr>
              <w:pStyle w:val="12"/>
            </w:pPr>
            <w:r>
              <w:t>地方政府专项债务付息支出</w:t>
            </w:r>
          </w:p>
        </w:tc>
        <w:tc>
          <w:tcPr>
            <w:tcW w:w="1134" w:type="dxa"/>
            <w:vAlign w:val="center"/>
          </w:tcPr>
          <w:p>
            <w:pPr>
              <w:pStyle w:val="11"/>
            </w:pPr>
            <w:r>
              <w:t>8593.65</w:t>
            </w:r>
          </w:p>
        </w:tc>
        <w:tc>
          <w:tcPr>
            <w:tcW w:w="1134" w:type="dxa"/>
            <w:vAlign w:val="center"/>
          </w:tcPr>
          <w:p>
            <w:pPr>
              <w:pStyle w:val="11"/>
            </w:pPr>
            <w:r>
              <w:t>8593.65</w:t>
            </w:r>
          </w:p>
        </w:tc>
        <w:tc>
          <w:tcPr>
            <w:tcW w:w="1134" w:type="dxa"/>
            <w:vAlign w:val="center"/>
          </w:tcPr>
          <w:p>
            <w:pPr>
              <w:pStyle w:val="11"/>
            </w:pPr>
            <w:r>
              <w:t>8593.65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2320411</w:t>
            </w:r>
          </w:p>
        </w:tc>
        <w:tc>
          <w:tcPr>
            <w:tcW w:w="1559" w:type="dxa"/>
            <w:vAlign w:val="center"/>
          </w:tcPr>
          <w:p>
            <w:pPr>
              <w:pStyle w:val="12"/>
            </w:pPr>
            <w:r>
              <w:t>国有土地使用权出让金债务付息支出</w:t>
            </w:r>
          </w:p>
        </w:tc>
        <w:tc>
          <w:tcPr>
            <w:tcW w:w="1134" w:type="dxa"/>
            <w:vAlign w:val="center"/>
          </w:tcPr>
          <w:p>
            <w:pPr>
              <w:pStyle w:val="11"/>
            </w:pPr>
            <w:r>
              <w:t>2653.29</w:t>
            </w:r>
          </w:p>
        </w:tc>
        <w:tc>
          <w:tcPr>
            <w:tcW w:w="1134" w:type="dxa"/>
            <w:vAlign w:val="center"/>
          </w:tcPr>
          <w:p>
            <w:pPr>
              <w:pStyle w:val="11"/>
            </w:pPr>
            <w:r>
              <w:t>2653.29</w:t>
            </w:r>
          </w:p>
        </w:tc>
        <w:tc>
          <w:tcPr>
            <w:tcW w:w="1134" w:type="dxa"/>
            <w:vAlign w:val="center"/>
          </w:tcPr>
          <w:p>
            <w:pPr>
              <w:pStyle w:val="11"/>
            </w:pPr>
            <w:r>
              <w:t>2653.29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2320433</w:t>
            </w:r>
          </w:p>
        </w:tc>
        <w:tc>
          <w:tcPr>
            <w:tcW w:w="1559" w:type="dxa"/>
            <w:vAlign w:val="center"/>
          </w:tcPr>
          <w:p>
            <w:pPr>
              <w:pStyle w:val="12"/>
            </w:pPr>
            <w:r>
              <w:t>棚户区改造专项债券付息支出</w:t>
            </w:r>
          </w:p>
        </w:tc>
        <w:tc>
          <w:tcPr>
            <w:tcW w:w="1134" w:type="dxa"/>
            <w:vAlign w:val="center"/>
          </w:tcPr>
          <w:p>
            <w:pPr>
              <w:pStyle w:val="11"/>
            </w:pPr>
            <w:r>
              <w:t>1037.55</w:t>
            </w:r>
          </w:p>
        </w:tc>
        <w:tc>
          <w:tcPr>
            <w:tcW w:w="1134" w:type="dxa"/>
            <w:vAlign w:val="center"/>
          </w:tcPr>
          <w:p>
            <w:pPr>
              <w:pStyle w:val="11"/>
            </w:pPr>
            <w:r>
              <w:t>1037.55</w:t>
            </w:r>
          </w:p>
        </w:tc>
        <w:tc>
          <w:tcPr>
            <w:tcW w:w="1134" w:type="dxa"/>
            <w:vAlign w:val="center"/>
          </w:tcPr>
          <w:p>
            <w:pPr>
              <w:pStyle w:val="11"/>
            </w:pPr>
            <w:r>
              <w:t>1037.55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2320498</w:t>
            </w:r>
          </w:p>
        </w:tc>
        <w:tc>
          <w:tcPr>
            <w:tcW w:w="1559" w:type="dxa"/>
            <w:vAlign w:val="center"/>
          </w:tcPr>
          <w:p>
            <w:pPr>
              <w:pStyle w:val="12"/>
            </w:pPr>
            <w:r>
              <w:t>其他地方自行试点项目收益专项债券付息支出</w:t>
            </w:r>
          </w:p>
        </w:tc>
        <w:tc>
          <w:tcPr>
            <w:tcW w:w="1134" w:type="dxa"/>
            <w:vAlign w:val="center"/>
          </w:tcPr>
          <w:p>
            <w:pPr>
              <w:pStyle w:val="11"/>
            </w:pPr>
            <w:r>
              <w:t>4902.81</w:t>
            </w:r>
          </w:p>
        </w:tc>
        <w:tc>
          <w:tcPr>
            <w:tcW w:w="1134" w:type="dxa"/>
            <w:vAlign w:val="center"/>
          </w:tcPr>
          <w:p>
            <w:pPr>
              <w:pStyle w:val="11"/>
            </w:pPr>
            <w:r>
              <w:t>4902.81</w:t>
            </w:r>
          </w:p>
        </w:tc>
        <w:tc>
          <w:tcPr>
            <w:tcW w:w="1134" w:type="dxa"/>
            <w:vAlign w:val="center"/>
          </w:tcPr>
          <w:p>
            <w:pPr>
              <w:pStyle w:val="11"/>
            </w:pPr>
            <w:r>
              <w:t>4902.81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233</w:t>
            </w:r>
          </w:p>
        </w:tc>
        <w:tc>
          <w:tcPr>
            <w:tcW w:w="1559" w:type="dxa"/>
            <w:vAlign w:val="center"/>
          </w:tcPr>
          <w:p>
            <w:pPr>
              <w:pStyle w:val="12"/>
            </w:pPr>
            <w:r>
              <w:t>债务发行费用支出</w:t>
            </w:r>
          </w:p>
        </w:tc>
        <w:tc>
          <w:tcPr>
            <w:tcW w:w="1134" w:type="dxa"/>
            <w:vAlign w:val="center"/>
          </w:tcPr>
          <w:p>
            <w:pPr>
              <w:pStyle w:val="11"/>
            </w:pPr>
            <w:r>
              <w:t>156.20</w:t>
            </w:r>
          </w:p>
        </w:tc>
        <w:tc>
          <w:tcPr>
            <w:tcW w:w="1134" w:type="dxa"/>
            <w:vAlign w:val="center"/>
          </w:tcPr>
          <w:p>
            <w:pPr>
              <w:pStyle w:val="11"/>
            </w:pPr>
            <w:r>
              <w:t>156.20</w:t>
            </w:r>
          </w:p>
        </w:tc>
        <w:tc>
          <w:tcPr>
            <w:tcW w:w="1134" w:type="dxa"/>
            <w:vAlign w:val="center"/>
          </w:tcPr>
          <w:p>
            <w:pPr>
              <w:pStyle w:val="11"/>
            </w:pPr>
            <w:r>
              <w:t>156.20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23303</w:t>
            </w:r>
          </w:p>
        </w:tc>
        <w:tc>
          <w:tcPr>
            <w:tcW w:w="1559" w:type="dxa"/>
            <w:vAlign w:val="center"/>
          </w:tcPr>
          <w:p>
            <w:pPr>
              <w:pStyle w:val="12"/>
            </w:pPr>
            <w:r>
              <w:t>地方政府一般债务发行费用支出</w:t>
            </w:r>
          </w:p>
        </w:tc>
        <w:tc>
          <w:tcPr>
            <w:tcW w:w="1134" w:type="dxa"/>
            <w:vAlign w:val="center"/>
          </w:tcPr>
          <w:p>
            <w:pPr>
              <w:pStyle w:val="11"/>
            </w:pPr>
            <w:r>
              <w:t>43.85</w:t>
            </w:r>
          </w:p>
        </w:tc>
        <w:tc>
          <w:tcPr>
            <w:tcW w:w="1134" w:type="dxa"/>
            <w:vAlign w:val="center"/>
          </w:tcPr>
          <w:p>
            <w:pPr>
              <w:pStyle w:val="11"/>
            </w:pPr>
            <w:r>
              <w:t>43.85</w:t>
            </w:r>
          </w:p>
        </w:tc>
        <w:tc>
          <w:tcPr>
            <w:tcW w:w="1134" w:type="dxa"/>
            <w:vAlign w:val="center"/>
          </w:tcPr>
          <w:p>
            <w:pPr>
              <w:pStyle w:val="11"/>
            </w:pPr>
            <w:r>
              <w:t>43.85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23304</w:t>
            </w:r>
          </w:p>
        </w:tc>
        <w:tc>
          <w:tcPr>
            <w:tcW w:w="1559" w:type="dxa"/>
            <w:vAlign w:val="center"/>
          </w:tcPr>
          <w:p>
            <w:pPr>
              <w:pStyle w:val="12"/>
            </w:pPr>
            <w:r>
              <w:t>地方政府专项债务发行费用支出</w:t>
            </w:r>
          </w:p>
        </w:tc>
        <w:tc>
          <w:tcPr>
            <w:tcW w:w="1134" w:type="dxa"/>
            <w:vAlign w:val="center"/>
          </w:tcPr>
          <w:p>
            <w:pPr>
              <w:pStyle w:val="11"/>
            </w:pPr>
            <w:r>
              <w:t>112.35</w:t>
            </w:r>
          </w:p>
        </w:tc>
        <w:tc>
          <w:tcPr>
            <w:tcW w:w="1134" w:type="dxa"/>
            <w:vAlign w:val="center"/>
          </w:tcPr>
          <w:p>
            <w:pPr>
              <w:pStyle w:val="11"/>
            </w:pPr>
            <w:r>
              <w:t>112.35</w:t>
            </w:r>
          </w:p>
        </w:tc>
        <w:tc>
          <w:tcPr>
            <w:tcW w:w="1134" w:type="dxa"/>
            <w:vAlign w:val="center"/>
          </w:tcPr>
          <w:p>
            <w:pPr>
              <w:pStyle w:val="11"/>
            </w:pPr>
            <w:r>
              <w:t>112.35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2330411</w:t>
            </w:r>
          </w:p>
        </w:tc>
        <w:tc>
          <w:tcPr>
            <w:tcW w:w="1559" w:type="dxa"/>
            <w:vAlign w:val="center"/>
          </w:tcPr>
          <w:p>
            <w:pPr>
              <w:pStyle w:val="12"/>
            </w:pPr>
            <w:r>
              <w:t>国有土地使用权出让金债务发行费用支出</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2330433</w:t>
            </w:r>
          </w:p>
        </w:tc>
        <w:tc>
          <w:tcPr>
            <w:tcW w:w="1559" w:type="dxa"/>
            <w:vAlign w:val="center"/>
          </w:tcPr>
          <w:p>
            <w:pPr>
              <w:pStyle w:val="12"/>
            </w:pPr>
            <w:r>
              <w:t>棚户区改造专项债券发行费用支出</w:t>
            </w:r>
          </w:p>
        </w:tc>
        <w:tc>
          <w:tcPr>
            <w:tcW w:w="1134" w:type="dxa"/>
            <w:vAlign w:val="center"/>
          </w:tcPr>
          <w:p>
            <w:pPr>
              <w:pStyle w:val="11"/>
            </w:pPr>
            <w:r>
              <w:t>0.06</w:t>
            </w:r>
          </w:p>
        </w:tc>
        <w:tc>
          <w:tcPr>
            <w:tcW w:w="1134" w:type="dxa"/>
            <w:vAlign w:val="center"/>
          </w:tcPr>
          <w:p>
            <w:pPr>
              <w:pStyle w:val="11"/>
            </w:pPr>
            <w:r>
              <w:t>0.06</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2330498</w:t>
            </w:r>
          </w:p>
        </w:tc>
        <w:tc>
          <w:tcPr>
            <w:tcW w:w="1559" w:type="dxa"/>
            <w:vAlign w:val="center"/>
          </w:tcPr>
          <w:p>
            <w:pPr>
              <w:pStyle w:val="12"/>
            </w:pPr>
            <w:r>
              <w:t>其他地方自行试点项目收益专项债券发行费用支出</w:t>
            </w:r>
          </w:p>
        </w:tc>
        <w:tc>
          <w:tcPr>
            <w:tcW w:w="1134" w:type="dxa"/>
            <w:vAlign w:val="center"/>
          </w:tcPr>
          <w:p>
            <w:pPr>
              <w:pStyle w:val="11"/>
            </w:pPr>
            <w:r>
              <w:t>111.25</w:t>
            </w:r>
          </w:p>
        </w:tc>
        <w:tc>
          <w:tcPr>
            <w:tcW w:w="1134" w:type="dxa"/>
            <w:vAlign w:val="center"/>
          </w:tcPr>
          <w:p>
            <w:pPr>
              <w:pStyle w:val="11"/>
            </w:pPr>
            <w:r>
              <w:t>111.25</w:t>
            </w:r>
          </w:p>
        </w:tc>
        <w:tc>
          <w:tcPr>
            <w:tcW w:w="1134" w:type="dxa"/>
            <w:vAlign w:val="center"/>
          </w:tcPr>
          <w:p>
            <w:pPr>
              <w:pStyle w:val="11"/>
            </w:pPr>
            <w:r>
              <w:t>111.25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47255.63</w:t>
            </w:r>
          </w:p>
        </w:tc>
        <w:tc>
          <w:tcPr>
            <w:tcW w:w="1361" w:type="dxa"/>
            <w:vAlign w:val="center"/>
          </w:tcPr>
          <w:p>
            <w:pPr>
              <w:pStyle w:val="15"/>
            </w:pPr>
            <w:r>
              <w:t>1137.46</w:t>
            </w:r>
          </w:p>
        </w:tc>
        <w:tc>
          <w:tcPr>
            <w:tcW w:w="1361" w:type="dxa"/>
            <w:vAlign w:val="center"/>
          </w:tcPr>
          <w:p>
            <w:pPr>
              <w:pStyle w:val="15"/>
            </w:pPr>
            <w:r>
              <w:t>46118.17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1559.16</w:t>
            </w:r>
          </w:p>
        </w:tc>
        <w:tc>
          <w:tcPr>
            <w:tcW w:w="1361" w:type="dxa"/>
            <w:vAlign w:val="center"/>
          </w:tcPr>
          <w:p>
            <w:pPr>
              <w:pStyle w:val="11"/>
            </w:pPr>
            <w:r>
              <w:t>924.01</w:t>
            </w:r>
          </w:p>
        </w:tc>
        <w:tc>
          <w:tcPr>
            <w:tcW w:w="1361" w:type="dxa"/>
            <w:vAlign w:val="center"/>
          </w:tcPr>
          <w:p>
            <w:pPr>
              <w:pStyle w:val="11"/>
            </w:pPr>
            <w:r>
              <w:t>635.15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1559.16</w:t>
            </w:r>
          </w:p>
        </w:tc>
        <w:tc>
          <w:tcPr>
            <w:tcW w:w="1361" w:type="dxa"/>
            <w:vAlign w:val="center"/>
          </w:tcPr>
          <w:p>
            <w:pPr>
              <w:pStyle w:val="11"/>
            </w:pPr>
            <w:r>
              <w:t>924.01</w:t>
            </w:r>
          </w:p>
        </w:tc>
        <w:tc>
          <w:tcPr>
            <w:tcW w:w="1361" w:type="dxa"/>
            <w:vAlign w:val="center"/>
          </w:tcPr>
          <w:p>
            <w:pPr>
              <w:pStyle w:val="11"/>
            </w:pPr>
            <w:r>
              <w:t>635.15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924.01</w:t>
            </w:r>
          </w:p>
        </w:tc>
        <w:tc>
          <w:tcPr>
            <w:tcW w:w="1361" w:type="dxa"/>
            <w:vAlign w:val="center"/>
          </w:tcPr>
          <w:p>
            <w:pPr>
              <w:pStyle w:val="11"/>
            </w:pPr>
            <w:r>
              <w:t>924.01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2010602</w:t>
            </w:r>
          </w:p>
        </w:tc>
        <w:tc>
          <w:tcPr>
            <w:tcW w:w="4535" w:type="dxa"/>
            <w:vAlign w:val="center"/>
          </w:tcPr>
          <w:p>
            <w:pPr>
              <w:pStyle w:val="12"/>
            </w:pPr>
            <w:r>
              <w:t>一般行政管理事务</w:t>
            </w:r>
          </w:p>
        </w:tc>
        <w:tc>
          <w:tcPr>
            <w:tcW w:w="1361" w:type="dxa"/>
            <w:vAlign w:val="center"/>
          </w:tcPr>
          <w:p>
            <w:pPr>
              <w:pStyle w:val="11"/>
            </w:pPr>
            <w:r>
              <w:t>635.15</w:t>
            </w:r>
          </w:p>
        </w:tc>
        <w:tc>
          <w:tcPr>
            <w:tcW w:w="1361" w:type="dxa"/>
            <w:vAlign w:val="center"/>
          </w:tcPr>
          <w:p>
            <w:pPr>
              <w:pStyle w:val="11"/>
            </w:pPr>
          </w:p>
        </w:tc>
        <w:tc>
          <w:tcPr>
            <w:tcW w:w="1361" w:type="dxa"/>
            <w:vAlign w:val="center"/>
          </w:tcPr>
          <w:p>
            <w:pPr>
              <w:pStyle w:val="11"/>
            </w:pPr>
            <w:r>
              <w:t>635.15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164.32</w:t>
            </w:r>
          </w:p>
        </w:tc>
        <w:tc>
          <w:tcPr>
            <w:tcW w:w="1361" w:type="dxa"/>
            <w:vAlign w:val="center"/>
          </w:tcPr>
          <w:p>
            <w:pPr>
              <w:pStyle w:val="11"/>
            </w:pPr>
            <w:r>
              <w:t>164.32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164.32</w:t>
            </w:r>
          </w:p>
        </w:tc>
        <w:tc>
          <w:tcPr>
            <w:tcW w:w="1361" w:type="dxa"/>
            <w:vAlign w:val="center"/>
          </w:tcPr>
          <w:p>
            <w:pPr>
              <w:pStyle w:val="11"/>
            </w:pPr>
            <w:r>
              <w:t>164.32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21.18</w:t>
            </w:r>
          </w:p>
        </w:tc>
        <w:tc>
          <w:tcPr>
            <w:tcW w:w="1361" w:type="dxa"/>
            <w:vAlign w:val="center"/>
          </w:tcPr>
          <w:p>
            <w:pPr>
              <w:pStyle w:val="11"/>
            </w:pPr>
            <w:r>
              <w:t>21.18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95.43</w:t>
            </w:r>
          </w:p>
        </w:tc>
        <w:tc>
          <w:tcPr>
            <w:tcW w:w="1361" w:type="dxa"/>
            <w:vAlign w:val="center"/>
          </w:tcPr>
          <w:p>
            <w:pPr>
              <w:pStyle w:val="11"/>
            </w:pPr>
            <w:r>
              <w:t>95.43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47.71</w:t>
            </w:r>
          </w:p>
        </w:tc>
        <w:tc>
          <w:tcPr>
            <w:tcW w:w="1361" w:type="dxa"/>
            <w:vAlign w:val="center"/>
          </w:tcPr>
          <w:p>
            <w:pPr>
              <w:pStyle w:val="11"/>
            </w:pPr>
            <w:r>
              <w:t>47.71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49.13</w:t>
            </w:r>
          </w:p>
        </w:tc>
        <w:tc>
          <w:tcPr>
            <w:tcW w:w="1361" w:type="dxa"/>
            <w:vAlign w:val="center"/>
          </w:tcPr>
          <w:p>
            <w:pPr>
              <w:pStyle w:val="11"/>
            </w:pPr>
            <w:r>
              <w:t>49.13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49.13</w:t>
            </w:r>
          </w:p>
        </w:tc>
        <w:tc>
          <w:tcPr>
            <w:tcW w:w="1361" w:type="dxa"/>
            <w:vAlign w:val="center"/>
          </w:tcPr>
          <w:p>
            <w:pPr>
              <w:pStyle w:val="11"/>
            </w:pPr>
            <w:r>
              <w:t>49.13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49.13</w:t>
            </w:r>
          </w:p>
        </w:tc>
        <w:tc>
          <w:tcPr>
            <w:tcW w:w="1361" w:type="dxa"/>
            <w:vAlign w:val="center"/>
          </w:tcPr>
          <w:p>
            <w:pPr>
              <w:pStyle w:val="11"/>
            </w:pPr>
            <w:r>
              <w:t>49.13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231</w:t>
            </w:r>
          </w:p>
        </w:tc>
        <w:tc>
          <w:tcPr>
            <w:tcW w:w="4535" w:type="dxa"/>
            <w:vAlign w:val="center"/>
          </w:tcPr>
          <w:p>
            <w:pPr>
              <w:pStyle w:val="12"/>
            </w:pPr>
            <w:r>
              <w:t>债务还本支出</w:t>
            </w:r>
          </w:p>
        </w:tc>
        <w:tc>
          <w:tcPr>
            <w:tcW w:w="1361" w:type="dxa"/>
            <w:vAlign w:val="center"/>
          </w:tcPr>
          <w:p>
            <w:pPr>
              <w:pStyle w:val="11"/>
            </w:pPr>
            <w:r>
              <w:t>28218.00</w:t>
            </w:r>
          </w:p>
        </w:tc>
        <w:tc>
          <w:tcPr>
            <w:tcW w:w="1361" w:type="dxa"/>
            <w:vAlign w:val="center"/>
          </w:tcPr>
          <w:p>
            <w:pPr>
              <w:pStyle w:val="11"/>
            </w:pPr>
          </w:p>
        </w:tc>
        <w:tc>
          <w:tcPr>
            <w:tcW w:w="1361" w:type="dxa"/>
            <w:vAlign w:val="center"/>
          </w:tcPr>
          <w:p>
            <w:pPr>
              <w:pStyle w:val="11"/>
            </w:pPr>
            <w:r>
              <w:t>28218.00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23103</w:t>
            </w:r>
          </w:p>
        </w:tc>
        <w:tc>
          <w:tcPr>
            <w:tcW w:w="4535" w:type="dxa"/>
            <w:vAlign w:val="center"/>
          </w:tcPr>
          <w:p>
            <w:pPr>
              <w:pStyle w:val="12"/>
            </w:pPr>
            <w:r>
              <w:t>地方政府一般债务还本支出</w:t>
            </w:r>
          </w:p>
        </w:tc>
        <w:tc>
          <w:tcPr>
            <w:tcW w:w="1361" w:type="dxa"/>
            <w:vAlign w:val="center"/>
          </w:tcPr>
          <w:p>
            <w:pPr>
              <w:pStyle w:val="11"/>
            </w:pPr>
            <w:r>
              <w:t>10318.00</w:t>
            </w:r>
          </w:p>
        </w:tc>
        <w:tc>
          <w:tcPr>
            <w:tcW w:w="1361" w:type="dxa"/>
            <w:vAlign w:val="center"/>
          </w:tcPr>
          <w:p>
            <w:pPr>
              <w:pStyle w:val="11"/>
            </w:pPr>
          </w:p>
        </w:tc>
        <w:tc>
          <w:tcPr>
            <w:tcW w:w="1361" w:type="dxa"/>
            <w:vAlign w:val="center"/>
          </w:tcPr>
          <w:p>
            <w:pPr>
              <w:pStyle w:val="11"/>
            </w:pPr>
            <w:r>
              <w:t>10318.00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2310301</w:t>
            </w:r>
          </w:p>
        </w:tc>
        <w:tc>
          <w:tcPr>
            <w:tcW w:w="4535" w:type="dxa"/>
            <w:vAlign w:val="center"/>
          </w:tcPr>
          <w:p>
            <w:pPr>
              <w:pStyle w:val="12"/>
            </w:pPr>
            <w:r>
              <w:t>地方政府一般债券还本支出</w:t>
            </w:r>
          </w:p>
        </w:tc>
        <w:tc>
          <w:tcPr>
            <w:tcW w:w="1361" w:type="dxa"/>
            <w:vAlign w:val="center"/>
          </w:tcPr>
          <w:p>
            <w:pPr>
              <w:pStyle w:val="11"/>
            </w:pPr>
            <w:r>
              <w:t>10318.00</w:t>
            </w:r>
          </w:p>
        </w:tc>
        <w:tc>
          <w:tcPr>
            <w:tcW w:w="1361" w:type="dxa"/>
            <w:vAlign w:val="center"/>
          </w:tcPr>
          <w:p>
            <w:pPr>
              <w:pStyle w:val="11"/>
            </w:pPr>
          </w:p>
        </w:tc>
        <w:tc>
          <w:tcPr>
            <w:tcW w:w="1361" w:type="dxa"/>
            <w:vAlign w:val="center"/>
          </w:tcPr>
          <w:p>
            <w:pPr>
              <w:pStyle w:val="11"/>
            </w:pPr>
            <w:r>
              <w:t>10318.00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23104</w:t>
            </w:r>
          </w:p>
        </w:tc>
        <w:tc>
          <w:tcPr>
            <w:tcW w:w="4535" w:type="dxa"/>
            <w:vAlign w:val="center"/>
          </w:tcPr>
          <w:p>
            <w:pPr>
              <w:pStyle w:val="12"/>
            </w:pPr>
            <w:r>
              <w:t>地方政府专项债务还本支出</w:t>
            </w:r>
          </w:p>
        </w:tc>
        <w:tc>
          <w:tcPr>
            <w:tcW w:w="1361" w:type="dxa"/>
            <w:vAlign w:val="center"/>
          </w:tcPr>
          <w:p>
            <w:pPr>
              <w:pStyle w:val="11"/>
            </w:pPr>
            <w:r>
              <w:t>17900.00</w:t>
            </w:r>
          </w:p>
        </w:tc>
        <w:tc>
          <w:tcPr>
            <w:tcW w:w="1361" w:type="dxa"/>
            <w:vAlign w:val="center"/>
          </w:tcPr>
          <w:p>
            <w:pPr>
              <w:pStyle w:val="11"/>
            </w:pPr>
          </w:p>
        </w:tc>
        <w:tc>
          <w:tcPr>
            <w:tcW w:w="1361" w:type="dxa"/>
            <w:vAlign w:val="center"/>
          </w:tcPr>
          <w:p>
            <w:pPr>
              <w:pStyle w:val="11"/>
            </w:pPr>
            <w:r>
              <w:t>17900.00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2310411</w:t>
            </w:r>
          </w:p>
        </w:tc>
        <w:tc>
          <w:tcPr>
            <w:tcW w:w="4535" w:type="dxa"/>
            <w:vAlign w:val="center"/>
          </w:tcPr>
          <w:p>
            <w:pPr>
              <w:pStyle w:val="12"/>
            </w:pPr>
            <w:r>
              <w:t>国有土地使用权出让金债务还本支出</w:t>
            </w:r>
          </w:p>
        </w:tc>
        <w:tc>
          <w:tcPr>
            <w:tcW w:w="1361" w:type="dxa"/>
            <w:vAlign w:val="center"/>
          </w:tcPr>
          <w:p>
            <w:pPr>
              <w:pStyle w:val="11"/>
            </w:pPr>
            <w:r>
              <w:t>17900.00</w:t>
            </w:r>
          </w:p>
        </w:tc>
        <w:tc>
          <w:tcPr>
            <w:tcW w:w="1361" w:type="dxa"/>
            <w:vAlign w:val="center"/>
          </w:tcPr>
          <w:p>
            <w:pPr>
              <w:pStyle w:val="11"/>
            </w:pPr>
          </w:p>
        </w:tc>
        <w:tc>
          <w:tcPr>
            <w:tcW w:w="1361" w:type="dxa"/>
            <w:vAlign w:val="center"/>
          </w:tcPr>
          <w:p>
            <w:pPr>
              <w:pStyle w:val="11"/>
            </w:pPr>
            <w:r>
              <w:t>17900.00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232</w:t>
            </w:r>
          </w:p>
        </w:tc>
        <w:tc>
          <w:tcPr>
            <w:tcW w:w="4535" w:type="dxa"/>
            <w:vAlign w:val="center"/>
          </w:tcPr>
          <w:p>
            <w:pPr>
              <w:pStyle w:val="12"/>
            </w:pPr>
            <w:r>
              <w:t>债务付息支出</w:t>
            </w:r>
          </w:p>
        </w:tc>
        <w:tc>
          <w:tcPr>
            <w:tcW w:w="1361" w:type="dxa"/>
            <w:vAlign w:val="center"/>
          </w:tcPr>
          <w:p>
            <w:pPr>
              <w:pStyle w:val="11"/>
            </w:pPr>
            <w:r>
              <w:t>17088.82</w:t>
            </w:r>
          </w:p>
        </w:tc>
        <w:tc>
          <w:tcPr>
            <w:tcW w:w="1361" w:type="dxa"/>
            <w:vAlign w:val="center"/>
          </w:tcPr>
          <w:p>
            <w:pPr>
              <w:pStyle w:val="11"/>
            </w:pPr>
          </w:p>
        </w:tc>
        <w:tc>
          <w:tcPr>
            <w:tcW w:w="1361" w:type="dxa"/>
            <w:vAlign w:val="center"/>
          </w:tcPr>
          <w:p>
            <w:pPr>
              <w:pStyle w:val="11"/>
            </w:pPr>
            <w:r>
              <w:t>17088.82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23203</w:t>
            </w:r>
          </w:p>
        </w:tc>
        <w:tc>
          <w:tcPr>
            <w:tcW w:w="4535" w:type="dxa"/>
            <w:vAlign w:val="center"/>
          </w:tcPr>
          <w:p>
            <w:pPr>
              <w:pStyle w:val="12"/>
            </w:pPr>
            <w:r>
              <w:t>地方政府一般债务付息支出</w:t>
            </w:r>
          </w:p>
        </w:tc>
        <w:tc>
          <w:tcPr>
            <w:tcW w:w="1361" w:type="dxa"/>
            <w:vAlign w:val="center"/>
          </w:tcPr>
          <w:p>
            <w:pPr>
              <w:pStyle w:val="11"/>
            </w:pPr>
            <w:r>
              <w:t>8495.17</w:t>
            </w:r>
          </w:p>
        </w:tc>
        <w:tc>
          <w:tcPr>
            <w:tcW w:w="1361" w:type="dxa"/>
            <w:vAlign w:val="center"/>
          </w:tcPr>
          <w:p>
            <w:pPr>
              <w:pStyle w:val="11"/>
            </w:pPr>
          </w:p>
        </w:tc>
        <w:tc>
          <w:tcPr>
            <w:tcW w:w="1361" w:type="dxa"/>
            <w:vAlign w:val="center"/>
          </w:tcPr>
          <w:p>
            <w:pPr>
              <w:pStyle w:val="11"/>
            </w:pPr>
            <w:r>
              <w:t>8495.17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2320301</w:t>
            </w:r>
          </w:p>
        </w:tc>
        <w:tc>
          <w:tcPr>
            <w:tcW w:w="4535" w:type="dxa"/>
            <w:vAlign w:val="center"/>
          </w:tcPr>
          <w:p>
            <w:pPr>
              <w:pStyle w:val="12"/>
            </w:pPr>
            <w:r>
              <w:t>地方政府一般债券付息支出</w:t>
            </w:r>
          </w:p>
        </w:tc>
        <w:tc>
          <w:tcPr>
            <w:tcW w:w="1361" w:type="dxa"/>
            <w:vAlign w:val="center"/>
          </w:tcPr>
          <w:p>
            <w:pPr>
              <w:pStyle w:val="11"/>
            </w:pPr>
            <w:r>
              <w:t>8495.17</w:t>
            </w:r>
          </w:p>
        </w:tc>
        <w:tc>
          <w:tcPr>
            <w:tcW w:w="1361" w:type="dxa"/>
            <w:vAlign w:val="center"/>
          </w:tcPr>
          <w:p>
            <w:pPr>
              <w:pStyle w:val="11"/>
            </w:pPr>
          </w:p>
        </w:tc>
        <w:tc>
          <w:tcPr>
            <w:tcW w:w="1361" w:type="dxa"/>
            <w:vAlign w:val="center"/>
          </w:tcPr>
          <w:p>
            <w:pPr>
              <w:pStyle w:val="11"/>
            </w:pPr>
            <w:r>
              <w:t>8495.17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23204</w:t>
            </w:r>
          </w:p>
        </w:tc>
        <w:tc>
          <w:tcPr>
            <w:tcW w:w="4535" w:type="dxa"/>
            <w:vAlign w:val="center"/>
          </w:tcPr>
          <w:p>
            <w:pPr>
              <w:pStyle w:val="12"/>
            </w:pPr>
            <w:r>
              <w:t>地方政府专项债务付息支出</w:t>
            </w:r>
          </w:p>
        </w:tc>
        <w:tc>
          <w:tcPr>
            <w:tcW w:w="1361" w:type="dxa"/>
            <w:vAlign w:val="center"/>
          </w:tcPr>
          <w:p>
            <w:pPr>
              <w:pStyle w:val="11"/>
            </w:pPr>
            <w:r>
              <w:t>8593.65</w:t>
            </w:r>
          </w:p>
        </w:tc>
        <w:tc>
          <w:tcPr>
            <w:tcW w:w="1361" w:type="dxa"/>
            <w:vAlign w:val="center"/>
          </w:tcPr>
          <w:p>
            <w:pPr>
              <w:pStyle w:val="11"/>
            </w:pPr>
          </w:p>
        </w:tc>
        <w:tc>
          <w:tcPr>
            <w:tcW w:w="1361" w:type="dxa"/>
            <w:vAlign w:val="center"/>
          </w:tcPr>
          <w:p>
            <w:pPr>
              <w:pStyle w:val="11"/>
            </w:pPr>
            <w:r>
              <w:t>8593.65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2320411</w:t>
            </w:r>
          </w:p>
        </w:tc>
        <w:tc>
          <w:tcPr>
            <w:tcW w:w="4535" w:type="dxa"/>
            <w:vAlign w:val="center"/>
          </w:tcPr>
          <w:p>
            <w:pPr>
              <w:pStyle w:val="12"/>
            </w:pPr>
            <w:r>
              <w:t>国有土地使用权出让金债务付息支出</w:t>
            </w:r>
          </w:p>
        </w:tc>
        <w:tc>
          <w:tcPr>
            <w:tcW w:w="1361" w:type="dxa"/>
            <w:vAlign w:val="center"/>
          </w:tcPr>
          <w:p>
            <w:pPr>
              <w:pStyle w:val="11"/>
            </w:pPr>
            <w:r>
              <w:t>2653.29</w:t>
            </w:r>
          </w:p>
        </w:tc>
        <w:tc>
          <w:tcPr>
            <w:tcW w:w="1361" w:type="dxa"/>
            <w:vAlign w:val="center"/>
          </w:tcPr>
          <w:p>
            <w:pPr>
              <w:pStyle w:val="11"/>
            </w:pPr>
          </w:p>
        </w:tc>
        <w:tc>
          <w:tcPr>
            <w:tcW w:w="1361" w:type="dxa"/>
            <w:vAlign w:val="center"/>
          </w:tcPr>
          <w:p>
            <w:pPr>
              <w:pStyle w:val="11"/>
            </w:pPr>
            <w:r>
              <w:t>2653.29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2320433</w:t>
            </w:r>
          </w:p>
        </w:tc>
        <w:tc>
          <w:tcPr>
            <w:tcW w:w="4535" w:type="dxa"/>
            <w:vAlign w:val="center"/>
          </w:tcPr>
          <w:p>
            <w:pPr>
              <w:pStyle w:val="12"/>
            </w:pPr>
            <w:r>
              <w:t>棚户区改造专项债券付息支出</w:t>
            </w:r>
          </w:p>
        </w:tc>
        <w:tc>
          <w:tcPr>
            <w:tcW w:w="1361" w:type="dxa"/>
            <w:vAlign w:val="center"/>
          </w:tcPr>
          <w:p>
            <w:pPr>
              <w:pStyle w:val="11"/>
            </w:pPr>
            <w:r>
              <w:t>1037.55</w:t>
            </w:r>
          </w:p>
        </w:tc>
        <w:tc>
          <w:tcPr>
            <w:tcW w:w="1361" w:type="dxa"/>
            <w:vAlign w:val="center"/>
          </w:tcPr>
          <w:p>
            <w:pPr>
              <w:pStyle w:val="11"/>
            </w:pPr>
          </w:p>
        </w:tc>
        <w:tc>
          <w:tcPr>
            <w:tcW w:w="1361" w:type="dxa"/>
            <w:vAlign w:val="center"/>
          </w:tcPr>
          <w:p>
            <w:pPr>
              <w:pStyle w:val="11"/>
            </w:pPr>
            <w:r>
              <w:t>1037.55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2320498</w:t>
            </w:r>
          </w:p>
        </w:tc>
        <w:tc>
          <w:tcPr>
            <w:tcW w:w="4535" w:type="dxa"/>
            <w:vAlign w:val="center"/>
          </w:tcPr>
          <w:p>
            <w:pPr>
              <w:pStyle w:val="12"/>
            </w:pPr>
            <w:r>
              <w:t>其他地方自行试点项目收益专项债券付息支出</w:t>
            </w:r>
          </w:p>
        </w:tc>
        <w:tc>
          <w:tcPr>
            <w:tcW w:w="1361" w:type="dxa"/>
            <w:vAlign w:val="center"/>
          </w:tcPr>
          <w:p>
            <w:pPr>
              <w:pStyle w:val="11"/>
            </w:pPr>
            <w:r>
              <w:t>4902.81</w:t>
            </w:r>
          </w:p>
        </w:tc>
        <w:tc>
          <w:tcPr>
            <w:tcW w:w="1361" w:type="dxa"/>
            <w:vAlign w:val="center"/>
          </w:tcPr>
          <w:p>
            <w:pPr>
              <w:pStyle w:val="11"/>
            </w:pPr>
          </w:p>
        </w:tc>
        <w:tc>
          <w:tcPr>
            <w:tcW w:w="1361" w:type="dxa"/>
            <w:vAlign w:val="center"/>
          </w:tcPr>
          <w:p>
            <w:pPr>
              <w:pStyle w:val="11"/>
            </w:pPr>
            <w:r>
              <w:t>4902.81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233</w:t>
            </w:r>
          </w:p>
        </w:tc>
        <w:tc>
          <w:tcPr>
            <w:tcW w:w="4535" w:type="dxa"/>
            <w:vAlign w:val="center"/>
          </w:tcPr>
          <w:p>
            <w:pPr>
              <w:pStyle w:val="12"/>
            </w:pPr>
            <w:r>
              <w:t>债务发行费用支出</w:t>
            </w:r>
          </w:p>
        </w:tc>
        <w:tc>
          <w:tcPr>
            <w:tcW w:w="1361" w:type="dxa"/>
            <w:vAlign w:val="center"/>
          </w:tcPr>
          <w:p>
            <w:pPr>
              <w:pStyle w:val="11"/>
            </w:pPr>
            <w:r>
              <w:t>156.20</w:t>
            </w:r>
          </w:p>
        </w:tc>
        <w:tc>
          <w:tcPr>
            <w:tcW w:w="1361" w:type="dxa"/>
            <w:vAlign w:val="center"/>
          </w:tcPr>
          <w:p>
            <w:pPr>
              <w:pStyle w:val="11"/>
            </w:pPr>
          </w:p>
        </w:tc>
        <w:tc>
          <w:tcPr>
            <w:tcW w:w="1361" w:type="dxa"/>
            <w:vAlign w:val="center"/>
          </w:tcPr>
          <w:p>
            <w:pPr>
              <w:pStyle w:val="11"/>
            </w:pPr>
            <w:r>
              <w:t>156.20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23303</w:t>
            </w:r>
          </w:p>
        </w:tc>
        <w:tc>
          <w:tcPr>
            <w:tcW w:w="4535" w:type="dxa"/>
            <w:vAlign w:val="center"/>
          </w:tcPr>
          <w:p>
            <w:pPr>
              <w:pStyle w:val="12"/>
            </w:pPr>
            <w:r>
              <w:t>地方政府一般债务发行费用支出</w:t>
            </w:r>
          </w:p>
        </w:tc>
        <w:tc>
          <w:tcPr>
            <w:tcW w:w="1361" w:type="dxa"/>
            <w:vAlign w:val="center"/>
          </w:tcPr>
          <w:p>
            <w:pPr>
              <w:pStyle w:val="11"/>
            </w:pPr>
            <w:r>
              <w:t>43.85</w:t>
            </w:r>
          </w:p>
        </w:tc>
        <w:tc>
          <w:tcPr>
            <w:tcW w:w="1361" w:type="dxa"/>
            <w:vAlign w:val="center"/>
          </w:tcPr>
          <w:p>
            <w:pPr>
              <w:pStyle w:val="11"/>
            </w:pPr>
          </w:p>
        </w:tc>
        <w:tc>
          <w:tcPr>
            <w:tcW w:w="1361" w:type="dxa"/>
            <w:vAlign w:val="center"/>
          </w:tcPr>
          <w:p>
            <w:pPr>
              <w:pStyle w:val="11"/>
            </w:pPr>
            <w:r>
              <w:t>43.85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23304</w:t>
            </w:r>
          </w:p>
        </w:tc>
        <w:tc>
          <w:tcPr>
            <w:tcW w:w="4535" w:type="dxa"/>
            <w:vAlign w:val="center"/>
          </w:tcPr>
          <w:p>
            <w:pPr>
              <w:pStyle w:val="12"/>
            </w:pPr>
            <w:r>
              <w:t>地方政府专项债务发行费用支出</w:t>
            </w:r>
          </w:p>
        </w:tc>
        <w:tc>
          <w:tcPr>
            <w:tcW w:w="1361" w:type="dxa"/>
            <w:vAlign w:val="center"/>
          </w:tcPr>
          <w:p>
            <w:pPr>
              <w:pStyle w:val="11"/>
            </w:pPr>
            <w:r>
              <w:t>112.35</w:t>
            </w:r>
          </w:p>
        </w:tc>
        <w:tc>
          <w:tcPr>
            <w:tcW w:w="1361" w:type="dxa"/>
            <w:vAlign w:val="center"/>
          </w:tcPr>
          <w:p>
            <w:pPr>
              <w:pStyle w:val="11"/>
            </w:pPr>
          </w:p>
        </w:tc>
        <w:tc>
          <w:tcPr>
            <w:tcW w:w="1361" w:type="dxa"/>
            <w:vAlign w:val="center"/>
          </w:tcPr>
          <w:p>
            <w:pPr>
              <w:pStyle w:val="11"/>
            </w:pPr>
            <w:r>
              <w:t>112.35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2330411</w:t>
            </w:r>
          </w:p>
        </w:tc>
        <w:tc>
          <w:tcPr>
            <w:tcW w:w="4535" w:type="dxa"/>
            <w:vAlign w:val="center"/>
          </w:tcPr>
          <w:p>
            <w:pPr>
              <w:pStyle w:val="12"/>
            </w:pPr>
            <w:r>
              <w:t>国有土地使用权出让金债务发行费用支出</w:t>
            </w: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2330433</w:t>
            </w:r>
          </w:p>
        </w:tc>
        <w:tc>
          <w:tcPr>
            <w:tcW w:w="4535" w:type="dxa"/>
            <w:vAlign w:val="center"/>
          </w:tcPr>
          <w:p>
            <w:pPr>
              <w:pStyle w:val="12"/>
            </w:pPr>
            <w:r>
              <w:t>棚户区改造专项债券发行费用支出</w:t>
            </w: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2330498</w:t>
            </w:r>
          </w:p>
        </w:tc>
        <w:tc>
          <w:tcPr>
            <w:tcW w:w="4535" w:type="dxa"/>
            <w:vAlign w:val="center"/>
          </w:tcPr>
          <w:p>
            <w:pPr>
              <w:pStyle w:val="12"/>
            </w:pPr>
            <w:r>
              <w:t>其他地方自行试点项目收益专项债券发行费用支出</w:t>
            </w:r>
          </w:p>
        </w:tc>
        <w:tc>
          <w:tcPr>
            <w:tcW w:w="1361" w:type="dxa"/>
            <w:vAlign w:val="center"/>
          </w:tcPr>
          <w:p>
            <w:pPr>
              <w:pStyle w:val="11"/>
            </w:pPr>
            <w:r>
              <w:t>111.25</w:t>
            </w:r>
          </w:p>
        </w:tc>
        <w:tc>
          <w:tcPr>
            <w:tcW w:w="1361" w:type="dxa"/>
            <w:vAlign w:val="center"/>
          </w:tcPr>
          <w:p>
            <w:pPr>
              <w:pStyle w:val="11"/>
            </w:pPr>
          </w:p>
        </w:tc>
        <w:tc>
          <w:tcPr>
            <w:tcW w:w="1361" w:type="dxa"/>
            <w:vAlign w:val="center"/>
          </w:tcPr>
          <w:p>
            <w:pPr>
              <w:pStyle w:val="11"/>
            </w:pPr>
            <w:r>
              <w:t>111.25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20649.63</w:t>
            </w:r>
          </w:p>
        </w:tc>
        <w:tc>
          <w:tcPr>
            <w:tcW w:w="3402" w:type="dxa"/>
            <w:vAlign w:val="center"/>
          </w:tcPr>
          <w:p>
            <w:pPr>
              <w:pStyle w:val="12"/>
            </w:pPr>
            <w:r>
              <w:t>一、一般公共服务支出</w:t>
            </w:r>
          </w:p>
        </w:tc>
        <w:tc>
          <w:tcPr>
            <w:tcW w:w="1474" w:type="dxa"/>
            <w:vAlign w:val="center"/>
          </w:tcPr>
          <w:p>
            <w:pPr>
              <w:pStyle w:val="11"/>
            </w:pPr>
            <w:r>
              <w:t>1559.16</w:t>
            </w:r>
          </w:p>
        </w:tc>
        <w:tc>
          <w:tcPr>
            <w:tcW w:w="1474" w:type="dxa"/>
            <w:vAlign w:val="center"/>
          </w:tcPr>
          <w:p>
            <w:pPr>
              <w:pStyle w:val="11"/>
            </w:pPr>
            <w:r>
              <w:t>1559.16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26606.00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164.32</w:t>
            </w:r>
          </w:p>
        </w:tc>
        <w:tc>
          <w:tcPr>
            <w:tcW w:w="1474" w:type="dxa"/>
            <w:vAlign w:val="center"/>
          </w:tcPr>
          <w:p>
            <w:pPr>
              <w:pStyle w:val="11"/>
            </w:pPr>
            <w:r>
              <w:t>164.32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49.13</w:t>
            </w:r>
          </w:p>
        </w:tc>
        <w:tc>
          <w:tcPr>
            <w:tcW w:w="1474" w:type="dxa"/>
            <w:vAlign w:val="center"/>
          </w:tcPr>
          <w:p>
            <w:pPr>
              <w:pStyle w:val="11"/>
            </w:pPr>
            <w:r>
              <w:t>49.13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r>
              <w:t>28218.00</w:t>
            </w:r>
          </w:p>
        </w:tc>
        <w:tc>
          <w:tcPr>
            <w:tcW w:w="1474" w:type="dxa"/>
            <w:vAlign w:val="center"/>
          </w:tcPr>
          <w:p>
            <w:pPr>
              <w:pStyle w:val="11"/>
            </w:pPr>
            <w:r>
              <w:t>10318.00</w:t>
            </w:r>
          </w:p>
        </w:tc>
        <w:tc>
          <w:tcPr>
            <w:tcW w:w="1474" w:type="dxa"/>
            <w:vAlign w:val="center"/>
          </w:tcPr>
          <w:p>
            <w:pPr>
              <w:pStyle w:val="11"/>
            </w:pPr>
            <w:r>
              <w:t>17900.00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r>
              <w:t>17088.82</w:t>
            </w:r>
          </w:p>
        </w:tc>
        <w:tc>
          <w:tcPr>
            <w:tcW w:w="1474" w:type="dxa"/>
            <w:vAlign w:val="center"/>
          </w:tcPr>
          <w:p>
            <w:pPr>
              <w:pStyle w:val="11"/>
            </w:pPr>
            <w:r>
              <w:t>8495.17</w:t>
            </w:r>
          </w:p>
        </w:tc>
        <w:tc>
          <w:tcPr>
            <w:tcW w:w="1474" w:type="dxa"/>
            <w:vAlign w:val="center"/>
          </w:tcPr>
          <w:p>
            <w:pPr>
              <w:pStyle w:val="11"/>
            </w:pPr>
            <w:r>
              <w:t>8593.65</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r>
              <w:t>156.20</w:t>
            </w:r>
          </w:p>
        </w:tc>
        <w:tc>
          <w:tcPr>
            <w:tcW w:w="1474" w:type="dxa"/>
            <w:vAlign w:val="center"/>
          </w:tcPr>
          <w:p>
            <w:pPr>
              <w:pStyle w:val="11"/>
            </w:pPr>
            <w:r>
              <w:t>43.85</w:t>
            </w:r>
          </w:p>
        </w:tc>
        <w:tc>
          <w:tcPr>
            <w:tcW w:w="1474" w:type="dxa"/>
            <w:vAlign w:val="center"/>
          </w:tcPr>
          <w:p>
            <w:pPr>
              <w:pStyle w:val="11"/>
            </w:pPr>
            <w:r>
              <w:t>112.35</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47255.63</w:t>
            </w:r>
          </w:p>
        </w:tc>
        <w:tc>
          <w:tcPr>
            <w:tcW w:w="3402" w:type="dxa"/>
            <w:vAlign w:val="center"/>
          </w:tcPr>
          <w:p>
            <w:pPr>
              <w:pStyle w:val="14"/>
            </w:pPr>
            <w:r>
              <w:t>本年支出合计</w:t>
            </w:r>
          </w:p>
        </w:tc>
        <w:tc>
          <w:tcPr>
            <w:tcW w:w="1474" w:type="dxa"/>
            <w:vAlign w:val="center"/>
          </w:tcPr>
          <w:p>
            <w:pPr>
              <w:pStyle w:val="15"/>
            </w:pPr>
            <w:r>
              <w:t>47255.63</w:t>
            </w:r>
          </w:p>
        </w:tc>
        <w:tc>
          <w:tcPr>
            <w:tcW w:w="1474" w:type="dxa"/>
            <w:vAlign w:val="center"/>
          </w:tcPr>
          <w:p>
            <w:pPr>
              <w:pStyle w:val="15"/>
            </w:pPr>
            <w:r>
              <w:t>20649.63</w:t>
            </w:r>
          </w:p>
        </w:tc>
        <w:tc>
          <w:tcPr>
            <w:tcW w:w="1474" w:type="dxa"/>
            <w:vAlign w:val="center"/>
          </w:tcPr>
          <w:p>
            <w:pPr>
              <w:pStyle w:val="15"/>
            </w:pPr>
            <w:r>
              <w:t>26606.00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47255.63</w:t>
            </w:r>
          </w:p>
        </w:tc>
        <w:tc>
          <w:tcPr>
            <w:tcW w:w="3402" w:type="dxa"/>
            <w:vAlign w:val="center"/>
          </w:tcPr>
          <w:p>
            <w:pPr>
              <w:pStyle w:val="14"/>
            </w:pPr>
            <w:r>
              <w:t>支出总计</w:t>
            </w:r>
          </w:p>
        </w:tc>
        <w:tc>
          <w:tcPr>
            <w:tcW w:w="1474" w:type="dxa"/>
            <w:vAlign w:val="center"/>
          </w:tcPr>
          <w:p>
            <w:pPr>
              <w:pStyle w:val="15"/>
            </w:pPr>
            <w:r>
              <w:t>47255.63</w:t>
            </w:r>
          </w:p>
        </w:tc>
        <w:tc>
          <w:tcPr>
            <w:tcW w:w="1474" w:type="dxa"/>
            <w:vAlign w:val="center"/>
          </w:tcPr>
          <w:p>
            <w:pPr>
              <w:pStyle w:val="15"/>
            </w:pPr>
            <w:r>
              <w:t>20649.63</w:t>
            </w:r>
          </w:p>
        </w:tc>
        <w:tc>
          <w:tcPr>
            <w:tcW w:w="1474" w:type="dxa"/>
            <w:vAlign w:val="center"/>
          </w:tcPr>
          <w:p>
            <w:pPr>
              <w:pStyle w:val="15"/>
            </w:pPr>
            <w:r>
              <w:t>26606.00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20649.63</w:t>
            </w:r>
          </w:p>
        </w:tc>
        <w:tc>
          <w:tcPr>
            <w:tcW w:w="2551" w:type="dxa"/>
            <w:vAlign w:val="center"/>
          </w:tcPr>
          <w:p>
            <w:pPr>
              <w:pStyle w:val="15"/>
            </w:pPr>
            <w:r>
              <w:t>1137.46</w:t>
            </w:r>
          </w:p>
        </w:tc>
        <w:tc>
          <w:tcPr>
            <w:tcW w:w="2551" w:type="dxa"/>
            <w:vAlign w:val="center"/>
          </w:tcPr>
          <w:p>
            <w:pPr>
              <w:pStyle w:val="15"/>
            </w:pPr>
            <w:r>
              <w:t>19512.17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1559.16</w:t>
            </w:r>
          </w:p>
        </w:tc>
        <w:tc>
          <w:tcPr>
            <w:tcW w:w="2551" w:type="dxa"/>
            <w:vAlign w:val="center"/>
          </w:tcPr>
          <w:p>
            <w:pPr>
              <w:pStyle w:val="11"/>
            </w:pPr>
            <w:r>
              <w:t>924.01</w:t>
            </w:r>
          </w:p>
        </w:tc>
        <w:tc>
          <w:tcPr>
            <w:tcW w:w="2551" w:type="dxa"/>
            <w:vAlign w:val="center"/>
          </w:tcPr>
          <w:p>
            <w:pPr>
              <w:pStyle w:val="11"/>
            </w:pPr>
            <w:r>
              <w:t>635.15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1559.16</w:t>
            </w:r>
          </w:p>
        </w:tc>
        <w:tc>
          <w:tcPr>
            <w:tcW w:w="2551" w:type="dxa"/>
            <w:vAlign w:val="center"/>
          </w:tcPr>
          <w:p>
            <w:pPr>
              <w:pStyle w:val="11"/>
            </w:pPr>
            <w:r>
              <w:t>924.01</w:t>
            </w:r>
          </w:p>
        </w:tc>
        <w:tc>
          <w:tcPr>
            <w:tcW w:w="2551" w:type="dxa"/>
            <w:vAlign w:val="center"/>
          </w:tcPr>
          <w:p>
            <w:pPr>
              <w:pStyle w:val="11"/>
            </w:pPr>
            <w:r>
              <w:t>635.15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924.01</w:t>
            </w:r>
          </w:p>
        </w:tc>
        <w:tc>
          <w:tcPr>
            <w:tcW w:w="2551" w:type="dxa"/>
            <w:vAlign w:val="center"/>
          </w:tcPr>
          <w:p>
            <w:pPr>
              <w:pStyle w:val="11"/>
            </w:pPr>
            <w:r>
              <w:t>924.01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2010602</w:t>
            </w:r>
          </w:p>
        </w:tc>
        <w:tc>
          <w:tcPr>
            <w:tcW w:w="4535" w:type="dxa"/>
            <w:vAlign w:val="center"/>
          </w:tcPr>
          <w:p>
            <w:pPr>
              <w:pStyle w:val="12"/>
            </w:pPr>
            <w:r>
              <w:t>一般行政管理事务</w:t>
            </w:r>
          </w:p>
        </w:tc>
        <w:tc>
          <w:tcPr>
            <w:tcW w:w="2551" w:type="dxa"/>
            <w:vAlign w:val="center"/>
          </w:tcPr>
          <w:p>
            <w:pPr>
              <w:pStyle w:val="11"/>
            </w:pPr>
            <w:r>
              <w:t>635.15</w:t>
            </w:r>
          </w:p>
        </w:tc>
        <w:tc>
          <w:tcPr>
            <w:tcW w:w="2551" w:type="dxa"/>
            <w:vAlign w:val="center"/>
          </w:tcPr>
          <w:p>
            <w:pPr>
              <w:pStyle w:val="11"/>
            </w:pPr>
          </w:p>
        </w:tc>
        <w:tc>
          <w:tcPr>
            <w:tcW w:w="2551" w:type="dxa"/>
            <w:vAlign w:val="center"/>
          </w:tcPr>
          <w:p>
            <w:pPr>
              <w:pStyle w:val="11"/>
            </w:pPr>
            <w:r>
              <w:t>635.15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164.32</w:t>
            </w:r>
          </w:p>
        </w:tc>
        <w:tc>
          <w:tcPr>
            <w:tcW w:w="2551" w:type="dxa"/>
            <w:vAlign w:val="center"/>
          </w:tcPr>
          <w:p>
            <w:pPr>
              <w:pStyle w:val="11"/>
            </w:pPr>
            <w:r>
              <w:t>164.32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164.32</w:t>
            </w:r>
          </w:p>
        </w:tc>
        <w:tc>
          <w:tcPr>
            <w:tcW w:w="2551" w:type="dxa"/>
            <w:vAlign w:val="center"/>
          </w:tcPr>
          <w:p>
            <w:pPr>
              <w:pStyle w:val="11"/>
            </w:pPr>
            <w:r>
              <w:t>164.32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21.18</w:t>
            </w:r>
          </w:p>
        </w:tc>
        <w:tc>
          <w:tcPr>
            <w:tcW w:w="2551" w:type="dxa"/>
            <w:vAlign w:val="center"/>
          </w:tcPr>
          <w:p>
            <w:pPr>
              <w:pStyle w:val="11"/>
            </w:pPr>
            <w:r>
              <w:t>21.18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95.43</w:t>
            </w:r>
          </w:p>
        </w:tc>
        <w:tc>
          <w:tcPr>
            <w:tcW w:w="2551" w:type="dxa"/>
            <w:vAlign w:val="center"/>
          </w:tcPr>
          <w:p>
            <w:pPr>
              <w:pStyle w:val="11"/>
            </w:pPr>
            <w:r>
              <w:t>95.43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47.71</w:t>
            </w:r>
          </w:p>
        </w:tc>
        <w:tc>
          <w:tcPr>
            <w:tcW w:w="2551" w:type="dxa"/>
            <w:vAlign w:val="center"/>
          </w:tcPr>
          <w:p>
            <w:pPr>
              <w:pStyle w:val="11"/>
            </w:pPr>
            <w:r>
              <w:t>47.71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49.13</w:t>
            </w:r>
          </w:p>
        </w:tc>
        <w:tc>
          <w:tcPr>
            <w:tcW w:w="2551" w:type="dxa"/>
            <w:vAlign w:val="center"/>
          </w:tcPr>
          <w:p>
            <w:pPr>
              <w:pStyle w:val="11"/>
            </w:pPr>
            <w:r>
              <w:t>49.13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49.13</w:t>
            </w:r>
          </w:p>
        </w:tc>
        <w:tc>
          <w:tcPr>
            <w:tcW w:w="2551" w:type="dxa"/>
            <w:vAlign w:val="center"/>
          </w:tcPr>
          <w:p>
            <w:pPr>
              <w:pStyle w:val="11"/>
            </w:pPr>
            <w:r>
              <w:t>49.13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49.13</w:t>
            </w:r>
          </w:p>
        </w:tc>
        <w:tc>
          <w:tcPr>
            <w:tcW w:w="2551" w:type="dxa"/>
            <w:vAlign w:val="center"/>
          </w:tcPr>
          <w:p>
            <w:pPr>
              <w:pStyle w:val="11"/>
            </w:pPr>
            <w:r>
              <w:t>49.13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231</w:t>
            </w:r>
          </w:p>
        </w:tc>
        <w:tc>
          <w:tcPr>
            <w:tcW w:w="4535" w:type="dxa"/>
            <w:vAlign w:val="center"/>
          </w:tcPr>
          <w:p>
            <w:pPr>
              <w:pStyle w:val="12"/>
            </w:pPr>
            <w:r>
              <w:t>债务还本支出</w:t>
            </w:r>
          </w:p>
        </w:tc>
        <w:tc>
          <w:tcPr>
            <w:tcW w:w="2551" w:type="dxa"/>
            <w:vAlign w:val="center"/>
          </w:tcPr>
          <w:p>
            <w:pPr>
              <w:pStyle w:val="11"/>
            </w:pPr>
            <w:r>
              <w:t>10318.00</w:t>
            </w:r>
          </w:p>
        </w:tc>
        <w:tc>
          <w:tcPr>
            <w:tcW w:w="2551" w:type="dxa"/>
            <w:vAlign w:val="center"/>
          </w:tcPr>
          <w:p>
            <w:pPr>
              <w:pStyle w:val="11"/>
            </w:pPr>
          </w:p>
        </w:tc>
        <w:tc>
          <w:tcPr>
            <w:tcW w:w="2551" w:type="dxa"/>
            <w:vAlign w:val="center"/>
          </w:tcPr>
          <w:p>
            <w:pPr>
              <w:pStyle w:val="11"/>
            </w:pPr>
            <w:r>
              <w:t>10318.00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23103</w:t>
            </w:r>
          </w:p>
        </w:tc>
        <w:tc>
          <w:tcPr>
            <w:tcW w:w="4535" w:type="dxa"/>
            <w:vAlign w:val="center"/>
          </w:tcPr>
          <w:p>
            <w:pPr>
              <w:pStyle w:val="12"/>
            </w:pPr>
            <w:r>
              <w:t>地方政府一般债务还本支出</w:t>
            </w:r>
          </w:p>
        </w:tc>
        <w:tc>
          <w:tcPr>
            <w:tcW w:w="2551" w:type="dxa"/>
            <w:vAlign w:val="center"/>
          </w:tcPr>
          <w:p>
            <w:pPr>
              <w:pStyle w:val="11"/>
            </w:pPr>
            <w:r>
              <w:t>10318.00</w:t>
            </w:r>
          </w:p>
        </w:tc>
        <w:tc>
          <w:tcPr>
            <w:tcW w:w="2551" w:type="dxa"/>
            <w:vAlign w:val="center"/>
          </w:tcPr>
          <w:p>
            <w:pPr>
              <w:pStyle w:val="11"/>
            </w:pPr>
          </w:p>
        </w:tc>
        <w:tc>
          <w:tcPr>
            <w:tcW w:w="2551" w:type="dxa"/>
            <w:vAlign w:val="center"/>
          </w:tcPr>
          <w:p>
            <w:pPr>
              <w:pStyle w:val="11"/>
            </w:pPr>
            <w:r>
              <w:t>10318.00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2310301</w:t>
            </w:r>
          </w:p>
        </w:tc>
        <w:tc>
          <w:tcPr>
            <w:tcW w:w="4535" w:type="dxa"/>
            <w:vAlign w:val="center"/>
          </w:tcPr>
          <w:p>
            <w:pPr>
              <w:pStyle w:val="12"/>
            </w:pPr>
            <w:r>
              <w:t>地方政府一般债券还本支出</w:t>
            </w:r>
          </w:p>
        </w:tc>
        <w:tc>
          <w:tcPr>
            <w:tcW w:w="2551" w:type="dxa"/>
            <w:vAlign w:val="center"/>
          </w:tcPr>
          <w:p>
            <w:pPr>
              <w:pStyle w:val="11"/>
            </w:pPr>
            <w:r>
              <w:t>10318.00</w:t>
            </w:r>
          </w:p>
        </w:tc>
        <w:tc>
          <w:tcPr>
            <w:tcW w:w="2551" w:type="dxa"/>
            <w:vAlign w:val="center"/>
          </w:tcPr>
          <w:p>
            <w:pPr>
              <w:pStyle w:val="11"/>
            </w:pPr>
          </w:p>
        </w:tc>
        <w:tc>
          <w:tcPr>
            <w:tcW w:w="2551" w:type="dxa"/>
            <w:vAlign w:val="center"/>
          </w:tcPr>
          <w:p>
            <w:pPr>
              <w:pStyle w:val="11"/>
            </w:pPr>
            <w:r>
              <w:t>10318.00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232</w:t>
            </w:r>
          </w:p>
        </w:tc>
        <w:tc>
          <w:tcPr>
            <w:tcW w:w="4535" w:type="dxa"/>
            <w:vAlign w:val="center"/>
          </w:tcPr>
          <w:p>
            <w:pPr>
              <w:pStyle w:val="12"/>
            </w:pPr>
            <w:r>
              <w:t>债务付息支出</w:t>
            </w:r>
          </w:p>
        </w:tc>
        <w:tc>
          <w:tcPr>
            <w:tcW w:w="2551" w:type="dxa"/>
            <w:vAlign w:val="center"/>
          </w:tcPr>
          <w:p>
            <w:pPr>
              <w:pStyle w:val="11"/>
            </w:pPr>
            <w:r>
              <w:t>8495.17</w:t>
            </w:r>
          </w:p>
        </w:tc>
        <w:tc>
          <w:tcPr>
            <w:tcW w:w="2551" w:type="dxa"/>
            <w:vAlign w:val="center"/>
          </w:tcPr>
          <w:p>
            <w:pPr>
              <w:pStyle w:val="11"/>
            </w:pPr>
          </w:p>
        </w:tc>
        <w:tc>
          <w:tcPr>
            <w:tcW w:w="2551" w:type="dxa"/>
            <w:vAlign w:val="center"/>
          </w:tcPr>
          <w:p>
            <w:pPr>
              <w:pStyle w:val="11"/>
            </w:pPr>
            <w:r>
              <w:t>8495.17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23203</w:t>
            </w:r>
          </w:p>
        </w:tc>
        <w:tc>
          <w:tcPr>
            <w:tcW w:w="4535" w:type="dxa"/>
            <w:vAlign w:val="center"/>
          </w:tcPr>
          <w:p>
            <w:pPr>
              <w:pStyle w:val="12"/>
            </w:pPr>
            <w:r>
              <w:t>地方政府一般债务付息支出</w:t>
            </w:r>
          </w:p>
        </w:tc>
        <w:tc>
          <w:tcPr>
            <w:tcW w:w="2551" w:type="dxa"/>
            <w:vAlign w:val="center"/>
          </w:tcPr>
          <w:p>
            <w:pPr>
              <w:pStyle w:val="11"/>
            </w:pPr>
            <w:r>
              <w:t>8495.17</w:t>
            </w:r>
          </w:p>
        </w:tc>
        <w:tc>
          <w:tcPr>
            <w:tcW w:w="2551" w:type="dxa"/>
            <w:vAlign w:val="center"/>
          </w:tcPr>
          <w:p>
            <w:pPr>
              <w:pStyle w:val="11"/>
            </w:pPr>
          </w:p>
        </w:tc>
        <w:tc>
          <w:tcPr>
            <w:tcW w:w="2551" w:type="dxa"/>
            <w:vAlign w:val="center"/>
          </w:tcPr>
          <w:p>
            <w:pPr>
              <w:pStyle w:val="11"/>
            </w:pPr>
            <w:r>
              <w:t>8495.17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2320301</w:t>
            </w:r>
          </w:p>
        </w:tc>
        <w:tc>
          <w:tcPr>
            <w:tcW w:w="4535" w:type="dxa"/>
            <w:vAlign w:val="center"/>
          </w:tcPr>
          <w:p>
            <w:pPr>
              <w:pStyle w:val="12"/>
            </w:pPr>
            <w:r>
              <w:t>地方政府一般债券付息支出</w:t>
            </w:r>
          </w:p>
        </w:tc>
        <w:tc>
          <w:tcPr>
            <w:tcW w:w="2551" w:type="dxa"/>
            <w:vAlign w:val="center"/>
          </w:tcPr>
          <w:p>
            <w:pPr>
              <w:pStyle w:val="11"/>
            </w:pPr>
            <w:r>
              <w:t>8495.17</w:t>
            </w:r>
          </w:p>
        </w:tc>
        <w:tc>
          <w:tcPr>
            <w:tcW w:w="2551" w:type="dxa"/>
            <w:vAlign w:val="center"/>
          </w:tcPr>
          <w:p>
            <w:pPr>
              <w:pStyle w:val="11"/>
            </w:pPr>
          </w:p>
        </w:tc>
        <w:tc>
          <w:tcPr>
            <w:tcW w:w="2551" w:type="dxa"/>
            <w:vAlign w:val="center"/>
          </w:tcPr>
          <w:p>
            <w:pPr>
              <w:pStyle w:val="11"/>
            </w:pPr>
            <w:r>
              <w:t>8495.17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233</w:t>
            </w:r>
          </w:p>
        </w:tc>
        <w:tc>
          <w:tcPr>
            <w:tcW w:w="4535" w:type="dxa"/>
            <w:vAlign w:val="center"/>
          </w:tcPr>
          <w:p>
            <w:pPr>
              <w:pStyle w:val="12"/>
            </w:pPr>
            <w:r>
              <w:t>债务发行费用支出</w:t>
            </w:r>
          </w:p>
        </w:tc>
        <w:tc>
          <w:tcPr>
            <w:tcW w:w="2551" w:type="dxa"/>
            <w:vAlign w:val="center"/>
          </w:tcPr>
          <w:p>
            <w:pPr>
              <w:pStyle w:val="11"/>
            </w:pPr>
            <w:r>
              <w:t>43.85</w:t>
            </w:r>
          </w:p>
        </w:tc>
        <w:tc>
          <w:tcPr>
            <w:tcW w:w="2551" w:type="dxa"/>
            <w:vAlign w:val="center"/>
          </w:tcPr>
          <w:p>
            <w:pPr>
              <w:pStyle w:val="11"/>
            </w:pPr>
          </w:p>
        </w:tc>
        <w:tc>
          <w:tcPr>
            <w:tcW w:w="2551" w:type="dxa"/>
            <w:vAlign w:val="center"/>
          </w:tcPr>
          <w:p>
            <w:pPr>
              <w:pStyle w:val="11"/>
            </w:pPr>
            <w:r>
              <w:t>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23303</w:t>
            </w:r>
          </w:p>
        </w:tc>
        <w:tc>
          <w:tcPr>
            <w:tcW w:w="4535" w:type="dxa"/>
            <w:vAlign w:val="center"/>
          </w:tcPr>
          <w:p>
            <w:pPr>
              <w:pStyle w:val="12"/>
            </w:pPr>
            <w:r>
              <w:t>地方政府一般债务发行费用支出</w:t>
            </w:r>
          </w:p>
        </w:tc>
        <w:tc>
          <w:tcPr>
            <w:tcW w:w="2551" w:type="dxa"/>
            <w:vAlign w:val="center"/>
          </w:tcPr>
          <w:p>
            <w:pPr>
              <w:pStyle w:val="11"/>
            </w:pPr>
            <w:r>
              <w:t>43.85</w:t>
            </w:r>
          </w:p>
        </w:tc>
        <w:tc>
          <w:tcPr>
            <w:tcW w:w="2551" w:type="dxa"/>
            <w:vAlign w:val="center"/>
          </w:tcPr>
          <w:p>
            <w:pPr>
              <w:pStyle w:val="11"/>
            </w:pPr>
          </w:p>
        </w:tc>
        <w:tc>
          <w:tcPr>
            <w:tcW w:w="2551" w:type="dxa"/>
            <w:vAlign w:val="center"/>
          </w:tcPr>
          <w:p>
            <w:pPr>
              <w:pStyle w:val="11"/>
            </w:pPr>
            <w:r>
              <w:t>43.85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1137.46</w:t>
            </w:r>
          </w:p>
        </w:tc>
        <w:tc>
          <w:tcPr>
            <w:tcW w:w="2551" w:type="dxa"/>
            <w:vAlign w:val="center"/>
          </w:tcPr>
          <w:p>
            <w:pPr>
              <w:pStyle w:val="15"/>
            </w:pPr>
            <w:r>
              <w:t>1025.68</w:t>
            </w:r>
          </w:p>
        </w:tc>
        <w:tc>
          <w:tcPr>
            <w:tcW w:w="2551" w:type="dxa"/>
            <w:vAlign w:val="center"/>
          </w:tcPr>
          <w:p>
            <w:pPr>
              <w:pStyle w:val="15"/>
            </w:pPr>
            <w:r>
              <w:t>111.78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996.97</w:t>
            </w:r>
          </w:p>
        </w:tc>
        <w:tc>
          <w:tcPr>
            <w:tcW w:w="2551" w:type="dxa"/>
            <w:vAlign w:val="center"/>
          </w:tcPr>
          <w:p>
            <w:pPr>
              <w:pStyle w:val="11"/>
            </w:pPr>
            <w:r>
              <w:t>996.97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621.78</w:t>
            </w:r>
          </w:p>
        </w:tc>
        <w:tc>
          <w:tcPr>
            <w:tcW w:w="2551" w:type="dxa"/>
            <w:vAlign w:val="center"/>
          </w:tcPr>
          <w:p>
            <w:pPr>
              <w:pStyle w:val="11"/>
            </w:pPr>
            <w:r>
              <w:t>621.78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6.95</w:t>
            </w:r>
          </w:p>
        </w:tc>
        <w:tc>
          <w:tcPr>
            <w:tcW w:w="2551" w:type="dxa"/>
            <w:vAlign w:val="center"/>
          </w:tcPr>
          <w:p>
            <w:pPr>
              <w:pStyle w:val="11"/>
            </w:pPr>
            <w:r>
              <w:t>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52.84</w:t>
            </w:r>
          </w:p>
        </w:tc>
        <w:tc>
          <w:tcPr>
            <w:tcW w:w="2551" w:type="dxa"/>
            <w:vAlign w:val="center"/>
          </w:tcPr>
          <w:p>
            <w:pPr>
              <w:pStyle w:val="11"/>
            </w:pPr>
            <w:r>
              <w:t>52.84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95.43</w:t>
            </w:r>
          </w:p>
        </w:tc>
        <w:tc>
          <w:tcPr>
            <w:tcW w:w="2551" w:type="dxa"/>
            <w:vAlign w:val="center"/>
          </w:tcPr>
          <w:p>
            <w:pPr>
              <w:pStyle w:val="11"/>
            </w:pPr>
            <w:r>
              <w:t>95.43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47.71</w:t>
            </w:r>
          </w:p>
        </w:tc>
        <w:tc>
          <w:tcPr>
            <w:tcW w:w="2551" w:type="dxa"/>
            <w:vAlign w:val="center"/>
          </w:tcPr>
          <w:p>
            <w:pPr>
              <w:pStyle w:val="11"/>
            </w:pPr>
            <w:r>
              <w:t>47.71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49.13</w:t>
            </w:r>
          </w:p>
        </w:tc>
        <w:tc>
          <w:tcPr>
            <w:tcW w:w="2551" w:type="dxa"/>
            <w:vAlign w:val="center"/>
          </w:tcPr>
          <w:p>
            <w:pPr>
              <w:pStyle w:val="11"/>
            </w:pPr>
            <w:r>
              <w:t>49.13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123.13</w:t>
            </w:r>
          </w:p>
        </w:tc>
        <w:tc>
          <w:tcPr>
            <w:tcW w:w="2551" w:type="dxa"/>
            <w:vAlign w:val="center"/>
          </w:tcPr>
          <w:p>
            <w:pPr>
              <w:pStyle w:val="11"/>
            </w:pPr>
            <w:r>
              <w:t>123.13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111.78</w:t>
            </w:r>
          </w:p>
        </w:tc>
        <w:tc>
          <w:tcPr>
            <w:tcW w:w="2551" w:type="dxa"/>
            <w:vAlign w:val="center"/>
          </w:tcPr>
          <w:p>
            <w:pPr>
              <w:pStyle w:val="11"/>
            </w:pPr>
          </w:p>
        </w:tc>
        <w:tc>
          <w:tcPr>
            <w:tcW w:w="2551" w:type="dxa"/>
            <w:vAlign w:val="center"/>
          </w:tcPr>
          <w:p>
            <w:pPr>
              <w:pStyle w:val="11"/>
            </w:pPr>
            <w:r>
              <w:t>111.78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95.10</w:t>
            </w:r>
          </w:p>
        </w:tc>
        <w:tc>
          <w:tcPr>
            <w:tcW w:w="2551" w:type="dxa"/>
            <w:vAlign w:val="center"/>
          </w:tcPr>
          <w:p>
            <w:pPr>
              <w:pStyle w:val="11"/>
            </w:pPr>
          </w:p>
        </w:tc>
        <w:tc>
          <w:tcPr>
            <w:tcW w:w="2551" w:type="dxa"/>
            <w:vAlign w:val="center"/>
          </w:tcPr>
          <w:p>
            <w:pPr>
              <w:pStyle w:val="11"/>
            </w:pPr>
            <w:r>
              <w:t>95.10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16.68</w:t>
            </w:r>
          </w:p>
        </w:tc>
        <w:tc>
          <w:tcPr>
            <w:tcW w:w="2551" w:type="dxa"/>
            <w:vAlign w:val="center"/>
          </w:tcPr>
          <w:p>
            <w:pPr>
              <w:pStyle w:val="11"/>
            </w:pPr>
          </w:p>
        </w:tc>
        <w:tc>
          <w:tcPr>
            <w:tcW w:w="2551" w:type="dxa"/>
            <w:vAlign w:val="center"/>
          </w:tcPr>
          <w:p>
            <w:pPr>
              <w:pStyle w:val="11"/>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28.71</w:t>
            </w:r>
          </w:p>
        </w:tc>
        <w:tc>
          <w:tcPr>
            <w:tcW w:w="2551" w:type="dxa"/>
            <w:vAlign w:val="center"/>
          </w:tcPr>
          <w:p>
            <w:pPr>
              <w:pStyle w:val="11"/>
            </w:pPr>
            <w:r>
              <w:t>28.71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21.18</w:t>
            </w:r>
          </w:p>
        </w:tc>
        <w:tc>
          <w:tcPr>
            <w:tcW w:w="2551" w:type="dxa"/>
            <w:vAlign w:val="center"/>
          </w:tcPr>
          <w:p>
            <w:pPr>
              <w:pStyle w:val="11"/>
            </w:pPr>
            <w:r>
              <w:t>21.18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7.53</w:t>
            </w:r>
          </w:p>
        </w:tc>
        <w:tc>
          <w:tcPr>
            <w:tcW w:w="2551" w:type="dxa"/>
            <w:vAlign w:val="center"/>
          </w:tcPr>
          <w:p>
            <w:pPr>
              <w:pStyle w:val="11"/>
            </w:pPr>
            <w:r>
              <w:t>7.53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26606.00</w:t>
            </w:r>
          </w:p>
        </w:tc>
        <w:tc>
          <w:tcPr>
            <w:tcW w:w="2551" w:type="dxa"/>
            <w:vAlign w:val="center"/>
          </w:tcPr>
          <w:p>
            <w:pPr>
              <w:pStyle w:val="15"/>
            </w:pPr>
          </w:p>
        </w:tc>
        <w:tc>
          <w:tcPr>
            <w:tcW w:w="2551" w:type="dxa"/>
            <w:vAlign w:val="center"/>
          </w:tcPr>
          <w:p>
            <w:pPr>
              <w:pStyle w:val="15"/>
            </w:pPr>
            <w:r>
              <w:t>26606.00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231</w:t>
            </w:r>
          </w:p>
        </w:tc>
        <w:tc>
          <w:tcPr>
            <w:tcW w:w="4535" w:type="dxa"/>
            <w:vAlign w:val="center"/>
          </w:tcPr>
          <w:p>
            <w:pPr>
              <w:pStyle w:val="12"/>
            </w:pPr>
            <w:r>
              <w:t>债务还本支出</w:t>
            </w:r>
          </w:p>
        </w:tc>
        <w:tc>
          <w:tcPr>
            <w:tcW w:w="2551" w:type="dxa"/>
            <w:vAlign w:val="center"/>
          </w:tcPr>
          <w:p>
            <w:pPr>
              <w:pStyle w:val="11"/>
            </w:pPr>
            <w:r>
              <w:t>17900.00</w:t>
            </w:r>
          </w:p>
        </w:tc>
        <w:tc>
          <w:tcPr>
            <w:tcW w:w="2551" w:type="dxa"/>
            <w:vAlign w:val="center"/>
          </w:tcPr>
          <w:p>
            <w:pPr>
              <w:pStyle w:val="11"/>
            </w:pPr>
          </w:p>
        </w:tc>
        <w:tc>
          <w:tcPr>
            <w:tcW w:w="2551" w:type="dxa"/>
            <w:vAlign w:val="center"/>
          </w:tcPr>
          <w:p>
            <w:pPr>
              <w:pStyle w:val="11"/>
            </w:pPr>
            <w:r>
              <w:t>17900.00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23104</w:t>
            </w:r>
          </w:p>
        </w:tc>
        <w:tc>
          <w:tcPr>
            <w:tcW w:w="4535" w:type="dxa"/>
            <w:vAlign w:val="center"/>
          </w:tcPr>
          <w:p>
            <w:pPr>
              <w:pStyle w:val="12"/>
            </w:pPr>
            <w:r>
              <w:t>地方政府专项债务还本支出</w:t>
            </w:r>
          </w:p>
        </w:tc>
        <w:tc>
          <w:tcPr>
            <w:tcW w:w="2551" w:type="dxa"/>
            <w:vAlign w:val="center"/>
          </w:tcPr>
          <w:p>
            <w:pPr>
              <w:pStyle w:val="11"/>
            </w:pPr>
            <w:r>
              <w:t>17900.00</w:t>
            </w:r>
          </w:p>
        </w:tc>
        <w:tc>
          <w:tcPr>
            <w:tcW w:w="2551" w:type="dxa"/>
            <w:vAlign w:val="center"/>
          </w:tcPr>
          <w:p>
            <w:pPr>
              <w:pStyle w:val="11"/>
            </w:pPr>
          </w:p>
        </w:tc>
        <w:tc>
          <w:tcPr>
            <w:tcW w:w="2551" w:type="dxa"/>
            <w:vAlign w:val="center"/>
          </w:tcPr>
          <w:p>
            <w:pPr>
              <w:pStyle w:val="11"/>
            </w:pPr>
            <w:r>
              <w:t>17900.00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2310411</w:t>
            </w:r>
          </w:p>
        </w:tc>
        <w:tc>
          <w:tcPr>
            <w:tcW w:w="4535" w:type="dxa"/>
            <w:vAlign w:val="center"/>
          </w:tcPr>
          <w:p>
            <w:pPr>
              <w:pStyle w:val="12"/>
            </w:pPr>
            <w:r>
              <w:t>国有土地使用权出让金债务还本支出</w:t>
            </w:r>
          </w:p>
        </w:tc>
        <w:tc>
          <w:tcPr>
            <w:tcW w:w="2551" w:type="dxa"/>
            <w:vAlign w:val="center"/>
          </w:tcPr>
          <w:p>
            <w:pPr>
              <w:pStyle w:val="11"/>
            </w:pPr>
            <w:r>
              <w:t>17900.00</w:t>
            </w:r>
          </w:p>
        </w:tc>
        <w:tc>
          <w:tcPr>
            <w:tcW w:w="2551" w:type="dxa"/>
            <w:vAlign w:val="center"/>
          </w:tcPr>
          <w:p>
            <w:pPr>
              <w:pStyle w:val="11"/>
            </w:pPr>
          </w:p>
        </w:tc>
        <w:tc>
          <w:tcPr>
            <w:tcW w:w="2551" w:type="dxa"/>
            <w:vAlign w:val="center"/>
          </w:tcPr>
          <w:p>
            <w:pPr>
              <w:pStyle w:val="11"/>
            </w:pPr>
            <w:r>
              <w:t>17900.00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232</w:t>
            </w:r>
          </w:p>
        </w:tc>
        <w:tc>
          <w:tcPr>
            <w:tcW w:w="4535" w:type="dxa"/>
            <w:vAlign w:val="center"/>
          </w:tcPr>
          <w:p>
            <w:pPr>
              <w:pStyle w:val="12"/>
            </w:pPr>
            <w:r>
              <w:t>债务付息支出</w:t>
            </w:r>
          </w:p>
        </w:tc>
        <w:tc>
          <w:tcPr>
            <w:tcW w:w="2551" w:type="dxa"/>
            <w:vAlign w:val="center"/>
          </w:tcPr>
          <w:p>
            <w:pPr>
              <w:pStyle w:val="11"/>
            </w:pPr>
            <w:r>
              <w:t>8593.65</w:t>
            </w:r>
          </w:p>
        </w:tc>
        <w:tc>
          <w:tcPr>
            <w:tcW w:w="2551" w:type="dxa"/>
            <w:vAlign w:val="center"/>
          </w:tcPr>
          <w:p>
            <w:pPr>
              <w:pStyle w:val="11"/>
            </w:pPr>
          </w:p>
        </w:tc>
        <w:tc>
          <w:tcPr>
            <w:tcW w:w="2551" w:type="dxa"/>
            <w:vAlign w:val="center"/>
          </w:tcPr>
          <w:p>
            <w:pPr>
              <w:pStyle w:val="11"/>
            </w:pPr>
            <w:r>
              <w:t>8593.65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23204</w:t>
            </w:r>
          </w:p>
        </w:tc>
        <w:tc>
          <w:tcPr>
            <w:tcW w:w="4535" w:type="dxa"/>
            <w:vAlign w:val="center"/>
          </w:tcPr>
          <w:p>
            <w:pPr>
              <w:pStyle w:val="12"/>
            </w:pPr>
            <w:r>
              <w:t>地方政府专项债务付息支出</w:t>
            </w:r>
          </w:p>
        </w:tc>
        <w:tc>
          <w:tcPr>
            <w:tcW w:w="2551" w:type="dxa"/>
            <w:vAlign w:val="center"/>
          </w:tcPr>
          <w:p>
            <w:pPr>
              <w:pStyle w:val="11"/>
            </w:pPr>
            <w:r>
              <w:t>8593.65</w:t>
            </w:r>
          </w:p>
        </w:tc>
        <w:tc>
          <w:tcPr>
            <w:tcW w:w="2551" w:type="dxa"/>
            <w:vAlign w:val="center"/>
          </w:tcPr>
          <w:p>
            <w:pPr>
              <w:pStyle w:val="11"/>
            </w:pPr>
          </w:p>
        </w:tc>
        <w:tc>
          <w:tcPr>
            <w:tcW w:w="2551" w:type="dxa"/>
            <w:vAlign w:val="center"/>
          </w:tcPr>
          <w:p>
            <w:pPr>
              <w:pStyle w:val="11"/>
            </w:pPr>
            <w:r>
              <w:t>8593.65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2320411</w:t>
            </w:r>
          </w:p>
        </w:tc>
        <w:tc>
          <w:tcPr>
            <w:tcW w:w="4535" w:type="dxa"/>
            <w:vAlign w:val="center"/>
          </w:tcPr>
          <w:p>
            <w:pPr>
              <w:pStyle w:val="12"/>
            </w:pPr>
            <w:r>
              <w:t>国有土地使用权出让金债务付息支出</w:t>
            </w:r>
          </w:p>
        </w:tc>
        <w:tc>
          <w:tcPr>
            <w:tcW w:w="2551" w:type="dxa"/>
            <w:vAlign w:val="center"/>
          </w:tcPr>
          <w:p>
            <w:pPr>
              <w:pStyle w:val="11"/>
            </w:pPr>
            <w:r>
              <w:t>2653.29</w:t>
            </w:r>
          </w:p>
        </w:tc>
        <w:tc>
          <w:tcPr>
            <w:tcW w:w="2551" w:type="dxa"/>
            <w:vAlign w:val="center"/>
          </w:tcPr>
          <w:p>
            <w:pPr>
              <w:pStyle w:val="11"/>
            </w:pPr>
          </w:p>
        </w:tc>
        <w:tc>
          <w:tcPr>
            <w:tcW w:w="2551" w:type="dxa"/>
            <w:vAlign w:val="center"/>
          </w:tcPr>
          <w:p>
            <w:pPr>
              <w:pStyle w:val="11"/>
            </w:pPr>
            <w:r>
              <w:t>2653.29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2320433</w:t>
            </w:r>
          </w:p>
        </w:tc>
        <w:tc>
          <w:tcPr>
            <w:tcW w:w="4535" w:type="dxa"/>
            <w:vAlign w:val="center"/>
          </w:tcPr>
          <w:p>
            <w:pPr>
              <w:pStyle w:val="12"/>
            </w:pPr>
            <w:r>
              <w:t>棚户区改造专项债券付息支出</w:t>
            </w:r>
          </w:p>
        </w:tc>
        <w:tc>
          <w:tcPr>
            <w:tcW w:w="2551" w:type="dxa"/>
            <w:vAlign w:val="center"/>
          </w:tcPr>
          <w:p>
            <w:pPr>
              <w:pStyle w:val="11"/>
            </w:pPr>
            <w:r>
              <w:t>1037.55</w:t>
            </w:r>
          </w:p>
        </w:tc>
        <w:tc>
          <w:tcPr>
            <w:tcW w:w="2551" w:type="dxa"/>
            <w:vAlign w:val="center"/>
          </w:tcPr>
          <w:p>
            <w:pPr>
              <w:pStyle w:val="11"/>
            </w:pPr>
          </w:p>
        </w:tc>
        <w:tc>
          <w:tcPr>
            <w:tcW w:w="2551" w:type="dxa"/>
            <w:vAlign w:val="center"/>
          </w:tcPr>
          <w:p>
            <w:pPr>
              <w:pStyle w:val="11"/>
            </w:pPr>
            <w:r>
              <w:t>1037.55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2320498</w:t>
            </w:r>
          </w:p>
        </w:tc>
        <w:tc>
          <w:tcPr>
            <w:tcW w:w="4535" w:type="dxa"/>
            <w:vAlign w:val="center"/>
          </w:tcPr>
          <w:p>
            <w:pPr>
              <w:pStyle w:val="12"/>
            </w:pPr>
            <w:r>
              <w:t>其他地方自行试点项目收益专项债券付息支出</w:t>
            </w:r>
          </w:p>
        </w:tc>
        <w:tc>
          <w:tcPr>
            <w:tcW w:w="2551" w:type="dxa"/>
            <w:vAlign w:val="center"/>
          </w:tcPr>
          <w:p>
            <w:pPr>
              <w:pStyle w:val="11"/>
            </w:pPr>
            <w:r>
              <w:t>4902.81</w:t>
            </w:r>
          </w:p>
        </w:tc>
        <w:tc>
          <w:tcPr>
            <w:tcW w:w="2551" w:type="dxa"/>
            <w:vAlign w:val="center"/>
          </w:tcPr>
          <w:p>
            <w:pPr>
              <w:pStyle w:val="11"/>
            </w:pPr>
          </w:p>
        </w:tc>
        <w:tc>
          <w:tcPr>
            <w:tcW w:w="2551" w:type="dxa"/>
            <w:vAlign w:val="center"/>
          </w:tcPr>
          <w:p>
            <w:pPr>
              <w:pStyle w:val="11"/>
            </w:pPr>
            <w:r>
              <w:t>4902.81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233</w:t>
            </w:r>
          </w:p>
        </w:tc>
        <w:tc>
          <w:tcPr>
            <w:tcW w:w="4535" w:type="dxa"/>
            <w:vAlign w:val="center"/>
          </w:tcPr>
          <w:p>
            <w:pPr>
              <w:pStyle w:val="12"/>
            </w:pPr>
            <w:r>
              <w:t>债务发行费用支出</w:t>
            </w:r>
          </w:p>
        </w:tc>
        <w:tc>
          <w:tcPr>
            <w:tcW w:w="2551" w:type="dxa"/>
            <w:vAlign w:val="center"/>
          </w:tcPr>
          <w:p>
            <w:pPr>
              <w:pStyle w:val="11"/>
            </w:pPr>
            <w:r>
              <w:t>112.35</w:t>
            </w:r>
          </w:p>
        </w:tc>
        <w:tc>
          <w:tcPr>
            <w:tcW w:w="2551" w:type="dxa"/>
            <w:vAlign w:val="center"/>
          </w:tcPr>
          <w:p>
            <w:pPr>
              <w:pStyle w:val="11"/>
            </w:pPr>
          </w:p>
        </w:tc>
        <w:tc>
          <w:tcPr>
            <w:tcW w:w="2551" w:type="dxa"/>
            <w:vAlign w:val="center"/>
          </w:tcPr>
          <w:p>
            <w:pPr>
              <w:pStyle w:val="11"/>
            </w:pPr>
            <w:r>
              <w:t>112.35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23304</w:t>
            </w:r>
          </w:p>
        </w:tc>
        <w:tc>
          <w:tcPr>
            <w:tcW w:w="4535" w:type="dxa"/>
            <w:vAlign w:val="center"/>
          </w:tcPr>
          <w:p>
            <w:pPr>
              <w:pStyle w:val="12"/>
            </w:pPr>
            <w:r>
              <w:t>地方政府专项债务发行费用支出</w:t>
            </w:r>
          </w:p>
        </w:tc>
        <w:tc>
          <w:tcPr>
            <w:tcW w:w="2551" w:type="dxa"/>
            <w:vAlign w:val="center"/>
          </w:tcPr>
          <w:p>
            <w:pPr>
              <w:pStyle w:val="11"/>
            </w:pPr>
            <w:r>
              <w:t>112.35</w:t>
            </w:r>
          </w:p>
        </w:tc>
        <w:tc>
          <w:tcPr>
            <w:tcW w:w="2551" w:type="dxa"/>
            <w:vAlign w:val="center"/>
          </w:tcPr>
          <w:p>
            <w:pPr>
              <w:pStyle w:val="11"/>
            </w:pPr>
          </w:p>
        </w:tc>
        <w:tc>
          <w:tcPr>
            <w:tcW w:w="2551" w:type="dxa"/>
            <w:vAlign w:val="center"/>
          </w:tcPr>
          <w:p>
            <w:pPr>
              <w:pStyle w:val="11"/>
            </w:pPr>
            <w:r>
              <w:t>112.35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2330411</w:t>
            </w:r>
          </w:p>
        </w:tc>
        <w:tc>
          <w:tcPr>
            <w:tcW w:w="4535" w:type="dxa"/>
            <w:vAlign w:val="center"/>
          </w:tcPr>
          <w:p>
            <w:pPr>
              <w:pStyle w:val="12"/>
            </w:pPr>
            <w:r>
              <w:t>国有土地使用权出让金债务发行费用支出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2330433</w:t>
            </w:r>
          </w:p>
        </w:tc>
        <w:tc>
          <w:tcPr>
            <w:tcW w:w="4535" w:type="dxa"/>
            <w:vAlign w:val="center"/>
          </w:tcPr>
          <w:p>
            <w:pPr>
              <w:pStyle w:val="12"/>
            </w:pPr>
            <w:r>
              <w:t>棚户区改造专项债券发行费用支出</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2330498</w:t>
            </w:r>
          </w:p>
        </w:tc>
        <w:tc>
          <w:tcPr>
            <w:tcW w:w="4535" w:type="dxa"/>
            <w:vAlign w:val="center"/>
          </w:tcPr>
          <w:p>
            <w:pPr>
              <w:pStyle w:val="12"/>
            </w:pPr>
            <w:r>
              <w:t>其他地方自行试点项目收益专项债券发行费用支出</w:t>
            </w:r>
          </w:p>
        </w:tc>
        <w:tc>
          <w:tcPr>
            <w:tcW w:w="2551" w:type="dxa"/>
            <w:vAlign w:val="center"/>
          </w:tcPr>
          <w:p>
            <w:pPr>
              <w:pStyle w:val="11"/>
            </w:pPr>
            <w:r>
              <w:t>111.25</w:t>
            </w:r>
          </w:p>
        </w:tc>
        <w:tc>
          <w:tcPr>
            <w:tcW w:w="2551" w:type="dxa"/>
            <w:vAlign w:val="center"/>
          </w:tcPr>
          <w:p>
            <w:pPr>
              <w:pStyle w:val="11"/>
            </w:pPr>
          </w:p>
        </w:tc>
        <w:tc>
          <w:tcPr>
            <w:tcW w:w="2551" w:type="dxa"/>
            <w:vAlign w:val="center"/>
          </w:tcPr>
          <w:p>
            <w:pPr>
              <w:pStyle w:val="11"/>
            </w:pPr>
            <w:r>
              <w:t>111.25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318魏县财政局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eastAsiaTheme="minorEastAsia"/>
                <w:lang w:eastAsia="zh-CN"/>
              </w:rPr>
            </w:pPr>
            <w:r>
              <w:rPr>
                <w:rFonts w:hint="eastAsia" w:eastAsiaTheme="minorEastAsia"/>
                <w:lang w:eastAsia="zh-CN"/>
              </w:rPr>
              <w:t>1</w:t>
            </w:r>
          </w:p>
        </w:tc>
        <w:tc>
          <w:tcPr>
            <w:tcW w:w="3798" w:type="dxa"/>
            <w:vAlign w:val="center"/>
          </w:tcPr>
          <w:p>
            <w:pPr>
              <w:pStyle w:val="12"/>
              <w:jc w:val="center"/>
              <w:rPr>
                <w:rFonts w:eastAsiaTheme="minorEastAsia"/>
                <w:b/>
                <w:lang w:eastAsia="zh-CN"/>
              </w:rPr>
            </w:pPr>
            <w:r>
              <w:rPr>
                <w:rFonts w:hint="eastAsia" w:eastAsiaTheme="minorEastAsia"/>
                <w:b/>
                <w:lang w:eastAsia="zh-CN"/>
              </w:rPr>
              <w:t>合计</w:t>
            </w:r>
          </w:p>
        </w:tc>
        <w:tc>
          <w:tcPr>
            <w:tcW w:w="2381" w:type="dxa"/>
            <w:vAlign w:val="center"/>
          </w:tcPr>
          <w:p>
            <w:pPr>
              <w:pStyle w:val="11"/>
              <w:rPr>
                <w:lang w:eastAsia="zh-CN"/>
              </w:rPr>
            </w:pPr>
            <w:r>
              <w:rPr>
                <w:rFonts w:hint="eastAsia"/>
                <w:lang w:eastAsia="zh-CN"/>
              </w:rPr>
              <w:t>2.2</w:t>
            </w:r>
          </w:p>
        </w:tc>
        <w:tc>
          <w:tcPr>
            <w:tcW w:w="2381" w:type="dxa"/>
            <w:vAlign w:val="center"/>
          </w:tcPr>
          <w:p>
            <w:pPr>
              <w:pStyle w:val="11"/>
              <w:rPr>
                <w:lang w:eastAsia="zh-CN"/>
              </w:rPr>
            </w:pPr>
            <w:r>
              <w:rPr>
                <w:rFonts w:hint="eastAsia"/>
                <w:lang w:eastAsia="zh-CN"/>
              </w:rPr>
              <w:t>2.2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eastAsiaTheme="minorEastAsia"/>
                <w:lang w:eastAsia="zh-CN"/>
              </w:rPr>
            </w:pPr>
            <w:r>
              <w:rPr>
                <w:rFonts w:hint="eastAsia" w:eastAsiaTheme="minorEastAsia"/>
                <w:lang w:eastAsia="zh-CN"/>
              </w:rPr>
              <w:t>2</w:t>
            </w:r>
          </w:p>
        </w:tc>
        <w:tc>
          <w:tcPr>
            <w:tcW w:w="3798" w:type="dxa"/>
            <w:vAlign w:val="center"/>
          </w:tcPr>
          <w:p>
            <w:pPr>
              <w:pStyle w:val="12"/>
              <w:rPr>
                <w:rFonts w:eastAsiaTheme="minorEastAsia"/>
                <w:lang w:eastAsia="zh-CN"/>
              </w:rPr>
            </w:pPr>
            <w:r>
              <w:rPr>
                <w:rFonts w:hint="eastAsia" w:eastAsiaTheme="minorEastAsia"/>
                <w:lang w:eastAsia="zh-CN"/>
              </w:rP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eastAsiaTheme="minorEastAsia"/>
                <w:lang w:eastAsia="zh-CN"/>
              </w:rPr>
            </w:pPr>
            <w:r>
              <w:rPr>
                <w:rFonts w:hint="eastAsia" w:eastAsiaTheme="minorEastAsia"/>
                <w:lang w:eastAsia="zh-CN"/>
              </w:rPr>
              <w:t>3</w:t>
            </w:r>
          </w:p>
        </w:tc>
        <w:tc>
          <w:tcPr>
            <w:tcW w:w="3798" w:type="dxa"/>
            <w:vAlign w:val="center"/>
          </w:tcPr>
          <w:p>
            <w:pPr>
              <w:pStyle w:val="12"/>
              <w:rPr>
                <w:rFonts w:eastAsiaTheme="minorEastAsia"/>
                <w:lang w:eastAsia="zh-CN"/>
              </w:rPr>
            </w:pPr>
            <w:r>
              <w:rPr>
                <w:rFonts w:hint="eastAsia" w:eastAsiaTheme="minorEastAsia"/>
                <w:lang w:eastAsia="zh-CN"/>
              </w:rP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eastAsiaTheme="minorEastAsia"/>
                <w:lang w:eastAsia="zh-CN"/>
              </w:rPr>
            </w:pPr>
            <w:r>
              <w:rPr>
                <w:rFonts w:hint="eastAsia" w:eastAsiaTheme="minorEastAsia"/>
                <w:lang w:eastAsia="zh-CN"/>
              </w:rPr>
              <w:t>4</w:t>
            </w:r>
          </w:p>
        </w:tc>
        <w:tc>
          <w:tcPr>
            <w:tcW w:w="3798" w:type="dxa"/>
            <w:vAlign w:val="center"/>
          </w:tcPr>
          <w:p>
            <w:pPr>
              <w:pStyle w:val="12"/>
              <w:ind w:firstLine="420" w:firstLineChars="200"/>
              <w:rPr>
                <w:rFonts w:eastAsiaTheme="minorEastAsia"/>
                <w:lang w:eastAsia="zh-CN"/>
              </w:rPr>
            </w:pPr>
            <w:r>
              <w:rPr>
                <w:rFonts w:hint="eastAsia" w:eastAsiaTheme="minorEastAsia"/>
                <w:lang w:eastAsia="zh-CN"/>
              </w:rP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eastAsiaTheme="minorEastAsia"/>
                <w:lang w:eastAsia="zh-CN"/>
              </w:rPr>
            </w:pPr>
            <w:r>
              <w:rPr>
                <w:rFonts w:hint="eastAsia" w:eastAsiaTheme="minorEastAsia"/>
                <w:lang w:eastAsia="zh-CN"/>
              </w:rPr>
              <w:t>5</w:t>
            </w:r>
          </w:p>
        </w:tc>
        <w:tc>
          <w:tcPr>
            <w:tcW w:w="3798" w:type="dxa"/>
            <w:vAlign w:val="center"/>
          </w:tcPr>
          <w:p>
            <w:pPr>
              <w:pStyle w:val="12"/>
              <w:ind w:firstLine="630" w:firstLineChars="300"/>
              <w:rPr>
                <w:rFonts w:eastAsiaTheme="minorEastAsia"/>
                <w:lang w:eastAsia="zh-CN"/>
              </w:rPr>
            </w:pPr>
            <w:r>
              <w:rPr>
                <w:rFonts w:hint="eastAsia" w:eastAsiaTheme="minorEastAsia"/>
                <w:lang w:eastAsia="zh-CN"/>
              </w:rPr>
              <w:t>公务用车运行维护费</w:t>
            </w:r>
          </w:p>
        </w:tc>
        <w:tc>
          <w:tcPr>
            <w:tcW w:w="2381" w:type="dxa"/>
            <w:vAlign w:val="center"/>
          </w:tcPr>
          <w:p>
            <w:pPr>
              <w:pStyle w:val="11"/>
              <w:rPr>
                <w:rFonts w:eastAsiaTheme="minorEastAsia"/>
                <w:lang w:eastAsia="zh-CN"/>
              </w:rPr>
            </w:pPr>
            <w:r>
              <w:rPr>
                <w:rFonts w:hint="eastAsia" w:eastAsiaTheme="minorEastAsia"/>
                <w:lang w:eastAsia="zh-CN"/>
              </w:rPr>
              <w:t>1.2</w:t>
            </w:r>
          </w:p>
        </w:tc>
        <w:tc>
          <w:tcPr>
            <w:tcW w:w="2381" w:type="dxa"/>
            <w:vAlign w:val="center"/>
          </w:tcPr>
          <w:p>
            <w:pPr>
              <w:pStyle w:val="11"/>
              <w:rPr>
                <w:rFonts w:eastAsiaTheme="minorEastAsia"/>
                <w:lang w:eastAsia="zh-CN"/>
              </w:rPr>
            </w:pPr>
            <w:r>
              <w:rPr>
                <w:rFonts w:hint="eastAsia" w:eastAsiaTheme="minorEastAsia"/>
                <w:lang w:eastAsia="zh-CN"/>
              </w:rPr>
              <w:t>1.2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eastAsiaTheme="minorEastAsia"/>
                <w:lang w:eastAsia="zh-CN"/>
              </w:rPr>
            </w:pPr>
            <w:r>
              <w:rPr>
                <w:rFonts w:hint="eastAsia" w:eastAsiaTheme="minorEastAsia"/>
                <w:lang w:eastAsia="zh-CN"/>
              </w:rPr>
              <w:t>6</w:t>
            </w:r>
          </w:p>
        </w:tc>
        <w:tc>
          <w:tcPr>
            <w:tcW w:w="3798" w:type="dxa"/>
            <w:vAlign w:val="center"/>
          </w:tcPr>
          <w:p>
            <w:pPr>
              <w:pStyle w:val="12"/>
              <w:rPr>
                <w:rFonts w:eastAsiaTheme="minorEastAsia"/>
                <w:lang w:eastAsia="zh-CN"/>
              </w:rPr>
            </w:pPr>
            <w:r>
              <w:rPr>
                <w:rFonts w:hint="eastAsia" w:eastAsiaTheme="minorEastAsia"/>
                <w:lang w:eastAsia="zh-CN"/>
              </w:rPr>
              <w:t>三、公务接待费</w:t>
            </w:r>
          </w:p>
        </w:tc>
        <w:tc>
          <w:tcPr>
            <w:tcW w:w="2381" w:type="dxa"/>
            <w:vAlign w:val="center"/>
          </w:tcPr>
          <w:p>
            <w:pPr>
              <w:pStyle w:val="11"/>
              <w:rPr>
                <w:rFonts w:eastAsiaTheme="minorEastAsia"/>
                <w:lang w:eastAsia="zh-CN"/>
              </w:rPr>
            </w:pPr>
            <w:r>
              <w:rPr>
                <w:rFonts w:hint="eastAsia" w:eastAsiaTheme="minorEastAsia"/>
                <w:lang w:eastAsia="zh-CN"/>
              </w:rPr>
              <w:t>1</w:t>
            </w:r>
          </w:p>
        </w:tc>
        <w:tc>
          <w:tcPr>
            <w:tcW w:w="2381" w:type="dxa"/>
            <w:vAlign w:val="center"/>
          </w:tcPr>
          <w:p>
            <w:pPr>
              <w:pStyle w:val="11"/>
              <w:rPr>
                <w:rFonts w:eastAsiaTheme="minorEastAsia"/>
                <w:lang w:eastAsia="zh-CN"/>
              </w:rPr>
            </w:pPr>
            <w:r>
              <w:rPr>
                <w:rFonts w:hint="eastAsia" w:eastAsiaTheme="minorEastAsia"/>
                <w:lang w:eastAsia="zh-CN"/>
              </w:rPr>
              <w:t>1</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魏县财政局2022年部门预算信息公开情况说明</w:t>
      </w:r>
    </w:p>
    <w:p>
      <w:pPr>
        <w:jc w:val="center"/>
      </w:pPr>
      <w:r>
        <w:rPr>
          <w:rFonts w:ascii="方正小标宋_GBK" w:hAnsi="方正小标宋_GBK" w:eastAsia="方正小标宋_GBK" w:cs="方正小标宋_GBK"/>
          <w:color w:val="000000"/>
          <w:sz w:val="44"/>
        </w:rPr>
        <w:t>魏县财政局2022年部门预算信息公开情况说明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按照《预算法》、《地方预决算公开操作规程》和《关于进一步推进预算公开工作的实施意见》规定，现将魏县财政局2022年部门预算公开如下：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拟订财税发展战略、规划和改革方案并组织实施。分析预测财政经济形势，参与制定各项财政经济政策，提出运用财税政策实施经济调控和综合平衡社会财力的建议。拟订县与县以下、政府与企业的分配政策，完善鼓励公益事业发展的财税政策。</w:t>
      </w:r>
    </w:p>
    <w:p>
      <w:pPr>
        <w:pStyle w:val="17"/>
      </w:pPr>
      <w:r>
        <w:t>（二）贯彻执行财政、税收、财务、会计管理的法律、行政法规、规章。</w:t>
      </w:r>
    </w:p>
    <w:p>
      <w:pPr>
        <w:pStyle w:val="17"/>
      </w:pPr>
      <w:r>
        <w:t>（三）拟订财政收入分配政策，承担财政预算管理的责任。编制年度县本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组织制定经费开支标准、定额，承担项目库管理工作。实行全口径预算管理。负责审核批复部门（单位）的年度预决算。全面推进绩效预算改革，开展绩效评价工作。</w:t>
      </w:r>
    </w:p>
    <w:p>
      <w:pPr>
        <w:pStyle w:val="17"/>
      </w:pPr>
      <w:r>
        <w:t>（四）配合上级起草税收实施细则和税收政策调整方案。提出中央授权税目税率调整、减免和地方税收政策等重大事项的建议。组织推进税收制度改革。协调税务部门，加强综合治理，促进公平税负，提高收入质量，实现应收尽收。</w:t>
      </w:r>
    </w:p>
    <w:p>
      <w:pPr>
        <w:pStyle w:val="17"/>
      </w:pPr>
      <w:r>
        <w:t>（五）按分工负责政府非税收入管理。负责政府性基金管理，按规定管理行政事业性收费。制定彩票管理政策和有关办法，监管彩票市场，按规定管理彩票资金。拟订政府非税收入管理制度和政策。承担政府性基金、行政事业性收费管理等相关工作。编制非税财政收入预算。落实非税财政收入“收支两条线”征缴管理制度。负责罚没物资的收缴、处置和变价收入上缴国库。管理全县财政票据。指导全县（乡、镇）的非税收入管理工作。</w:t>
      </w:r>
    </w:p>
    <w:p>
      <w:pPr>
        <w:pStyle w:val="17"/>
      </w:pPr>
      <w:r>
        <w:t>（六）研究制定国库管理制度、国库集中收付制度，指导和监督县级国库业务，开展国库现金管理工作。制定政府财务报告编制办法并组织实施。贯彻执行政府采购政策，制定相关制度办法并监督实施。</w:t>
      </w:r>
    </w:p>
    <w:p>
      <w:pPr>
        <w:pStyle w:val="17"/>
      </w:pPr>
      <w:r>
        <w:t>（七）执行政府债务管理制度和政策，拟订具体办法。负责政府债务限额管理、债券发行和还本付息等工作。执行国家外债管理政策，拟订具体办法，管理县政府国外债权、债务。开展对外财经交流。提出全县政府债务政策建议，拟订政府债务管理制度和办法。承担县本级政府债务限额管理。承担政府债券发行、转贷、兑付和还本付息等有关工作。组织开展政府债务统计、风险预警和应急处置工作。</w:t>
      </w:r>
    </w:p>
    <w:p>
      <w:pPr>
        <w:pStyle w:val="17"/>
      </w:pPr>
      <w: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承担行政事业单位公务车辆编制管理职责。拟订行政事业单位国有资产管理制度、企业财务制度及企业财务会计报告编制办法并组织实施。落实国有资产管理情况报告工作。研究提出支持国有企业改革和发展的财政政策。承担县级国有资产、机关事务等方面的部门预算有关工作。承担县级行政事业单位新增资产配置预算的审核。负责全县行政事业单位各类公务用车车辆编制核定和购置审批。承担执法执勤、特种专业技术用车管理。</w:t>
      </w:r>
    </w:p>
    <w:p>
      <w:pPr>
        <w:pStyle w:val="17"/>
      </w:pPr>
      <w: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pStyle w:val="17"/>
      </w:pPr>
      <w:r>
        <w:t>（十）负责审核并汇总编制全县社会保险基金预决算草案,会同有关部门拟订有关资金（基金）财务管理制度并组织实施。承担社会保险基金财政监管工作。承担人力资源和社会保障、民政、卫生健康、退役军人事务、医疗保障等方面的部门预算和相关领域预算支出有关工作，提出相关财政政策建议。会同有关方面拟订有关资金（基金）财务管理制度。审核并汇总编制县级和全县社会保险基金预决算草案，配合有关部门拟订社会保险费征收、社会保险待遇政策，承担社会保险基金财政监管工作</w:t>
      </w:r>
    </w:p>
    <w:p>
      <w:pPr>
        <w:pStyle w:val="17"/>
      </w:pPr>
      <w:r>
        <w:t>（十一）负责办理和监督县级财政的经济发展支出、县级政府性投资项目的财政拨款，参与拟订县级建设投资的有关政策，制定基建财务管理制度。负责财政预算评审管理。</w:t>
      </w:r>
    </w:p>
    <w:p>
      <w:pPr>
        <w:pStyle w:val="17"/>
      </w:pPr>
      <w:r>
        <w:t>（十二）负责管理全县会计工作，监督和规范会计行为，组织实施会计制度，指导和管理社会审计。</w:t>
      </w:r>
    </w:p>
    <w:p>
      <w:pPr>
        <w:pStyle w:val="17"/>
      </w:pPr>
      <w:r>
        <w:t>（十三）承担政府和社会资本合作有关工作，负责政府股权投资引导基金管理。拟订公共服务领域政府和社会资本合作制度并组织实施，承担项目库管理、业务指导、宣传培训、信息统计分析和项目推介工作。提出政府投资基金管理政策建议，组织开展政府投资基金运行情况的统计分析和绩效评价。</w:t>
      </w:r>
    </w:p>
    <w:p>
      <w:pPr>
        <w:pStyle w:val="17"/>
      </w:pPr>
      <w:r>
        <w:t>（十四）监督检查财税法规、政策的执行情况，依法查处违反财经纪律行为；反映财政收支管理中的重大问题，提出加强财政税收及财务会计管理的政策建议。承担财税法规和政策执行情况、预算管理有关监督工作。承担监督检查会计信息质量有关工作。承担预算绩效评价有关工作。组织实施财政内部控制工作。</w:t>
      </w:r>
    </w:p>
    <w:p>
      <w:pPr>
        <w:pStyle w:val="17"/>
      </w:pPr>
      <w:r>
        <w:t>(十五）承担县级宣传、文化旅游、科技、教育、体育等方面的部门预算和相关领域预算支出有关工作，提出相关财政政策建议。拟订事业单位通用的财务管理制度。承担县属文化企业财务管理有关工作。</w:t>
      </w:r>
    </w:p>
    <w:p>
      <w:pPr>
        <w:pStyle w:val="17"/>
      </w:pPr>
      <w:r>
        <w:t>(十六）承担发展改革、工信、交通、能源、商贸、粮食和物资储备、建设、城管、供销、应急、军民融合发展等方面的部门预算和相关领域预算支出有关工作，提出相关财政政策建议。参与拟订县级基建投资财政有关政策，拟订基建财务管理制度。承担有关政策性补贴和专项储备资金财政管理。</w:t>
      </w:r>
    </w:p>
    <w:p>
      <w:pPr>
        <w:pStyle w:val="17"/>
      </w:pPr>
      <w:r>
        <w:t>(十七）拟订全县政府采购政策、制度。受理采购人政府采购计划和采购合同备案审查。承担政府采购方式、政府采购信息管理。负责审核、汇编部门政府采购预算。受理供应商投诉。负责监督检查政府采购活动。</w:t>
      </w:r>
    </w:p>
    <w:p>
      <w:pPr>
        <w:pStyle w:val="17"/>
      </w:pPr>
      <w:r>
        <w:t>（十八）承办县委、县政府交办的其他事项。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魏县财政局（差额）</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魏县非税收入管理局</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魏县乡村财税管理局</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魏县国有资产管理局</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河北省财政厅</w:t>
            </w:r>
          </w:p>
        </w:tc>
        <w:tc>
          <w:tcPr>
            <w:tcW w:w="1843" w:type="dxa"/>
            <w:vAlign w:val="center"/>
          </w:tcPr>
          <w:p>
            <w:pPr>
              <w:pStyle w:val="13"/>
            </w:pPr>
            <w:r>
              <w:t>行政</w:t>
            </w:r>
          </w:p>
        </w:tc>
        <w:tc>
          <w:tcPr>
            <w:tcW w:w="2126" w:type="dxa"/>
            <w:vAlign w:val="center"/>
          </w:tcPr>
          <w:p>
            <w:pPr>
              <w:pStyle w:val="13"/>
            </w:pPr>
            <w:r>
              <w:t>正厅（地）级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部门预算的编制实行综合预算管理，即全部收入和支出都反映在预算中。魏县财政局机关及所属事业单位的收支包含在部门预算中。</w:t>
      </w:r>
    </w:p>
    <w:p>
      <w:pPr>
        <w:pStyle w:val="18"/>
      </w:pPr>
      <w:r>
        <w:t>1.收入说明</w:t>
      </w:r>
    </w:p>
    <w:p>
      <w:pPr>
        <w:pStyle w:val="18"/>
      </w:pPr>
      <w:r>
        <w:t>反映本部门当年全部收入。2022年预算收入47255.63万元，其中：一般公共预算拨款收入20649.63万元，政府性基金预算拨款收入26606万元，国有资本经营预算拨款收入0万元，其他收入为0万元等。</w:t>
      </w:r>
    </w:p>
    <w:p>
      <w:pPr>
        <w:pStyle w:val="18"/>
      </w:pPr>
      <w:r>
        <w:t>2.支出说明</w:t>
      </w:r>
    </w:p>
    <w:p>
      <w:pPr>
        <w:pStyle w:val="18"/>
      </w:pPr>
      <w:r>
        <w:t>收支预算总表支出栏、基本支出表、项目支出表按经济分类和支出功能分类科目编制，反映魏县财政局年度部门预算中支出预算的总体情况。2022年支出预算47255.63万元，其中基本支出1137.46万元，包括人员经费1025.68万元和日常公用经费111.78万元；项目支出46118.17万元，主要为局机关本身财政业务和事务资金、农林水支出和债券支出等。</w:t>
      </w:r>
    </w:p>
    <w:p>
      <w:pPr>
        <w:pStyle w:val="18"/>
      </w:pPr>
      <w:r>
        <w:t>3.比上年增减情况</w:t>
      </w:r>
    </w:p>
    <w:p>
      <w:pPr>
        <w:pStyle w:val="18"/>
      </w:pPr>
      <w:r>
        <w:t>2022年预算收支安排47255.63万元，较2021年预算增加11844.65万元，其中基本支出减少199.81万元，项目支出增加12044.46万元，主要原因是增加了债券相关资金。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机关运行经费共计安排111.78万元，主要用于保证正常办公的基本需要和维持单位日常业务运转，包括：办公费、邮电费、差旅费、维修维护费、水费、公务接待费、工会经费、公务用车运行维护费和印刷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 xml:space="preserve"> 年，我单位安排“三公”经费支出</w:t>
      </w:r>
      <w:r>
        <w:rPr>
          <w:rFonts w:hint="eastAsia" w:eastAsia="方正仿宋_GBK"/>
          <w:sz w:val="28"/>
          <w:lang w:eastAsia="zh-CN"/>
        </w:rPr>
        <w:t>2.2</w:t>
      </w:r>
      <w:r>
        <w:rPr>
          <w:rFonts w:eastAsia="方正仿宋_GBK"/>
          <w:sz w:val="28"/>
        </w:rPr>
        <w:t>万元，同比同口径</w:t>
      </w:r>
      <w:r>
        <w:rPr>
          <w:rFonts w:hint="eastAsia" w:eastAsia="方正仿宋_GBK"/>
          <w:sz w:val="28"/>
          <w:lang w:eastAsia="zh-CN"/>
        </w:rPr>
        <w:t>增加</w:t>
      </w:r>
      <w:r>
        <w:rPr>
          <w:rFonts w:hint="eastAsia" w:eastAsiaTheme="minorEastAsia"/>
          <w:sz w:val="28"/>
          <w:lang w:eastAsia="zh-CN"/>
        </w:rPr>
        <w:t>69.23</w:t>
      </w:r>
      <w:r>
        <w:rPr>
          <w:rFonts w:eastAsia="方正仿宋_GBK"/>
          <w:sz w:val="28"/>
        </w:rPr>
        <w:t>%</w:t>
      </w:r>
      <w:r>
        <w:rPr>
          <w:rFonts w:hint="eastAsia" w:eastAsia="方正仿宋_GBK"/>
          <w:sz w:val="28"/>
        </w:rPr>
        <w:t>。其中：安排因公出国（境）费0万元，同比未增减变动，与去年持平；</w:t>
      </w:r>
      <w:r>
        <w:rPr>
          <w:rFonts w:eastAsia="方正仿宋_GBK"/>
          <w:sz w:val="28"/>
        </w:rPr>
        <w:t>安排了公务用车运行及维护费</w:t>
      </w:r>
      <w:r>
        <w:rPr>
          <w:rFonts w:hint="eastAsia" w:eastAsia="方正仿宋_GBK"/>
          <w:sz w:val="28"/>
          <w:lang w:eastAsia="zh-CN"/>
        </w:rPr>
        <w:t>1</w:t>
      </w:r>
      <w:r>
        <w:rPr>
          <w:rFonts w:hint="eastAsia" w:eastAsiaTheme="minorEastAsia"/>
          <w:sz w:val="28"/>
          <w:lang w:eastAsia="zh-CN"/>
        </w:rPr>
        <w:t>.2</w:t>
      </w:r>
      <w:r>
        <w:rPr>
          <w:rFonts w:eastAsia="方正仿宋_GBK"/>
          <w:sz w:val="28"/>
        </w:rPr>
        <w:t>万元，</w:t>
      </w:r>
      <w:r>
        <w:rPr>
          <w:rFonts w:hint="eastAsia" w:eastAsia="方正仿宋_GBK"/>
          <w:sz w:val="28"/>
        </w:rPr>
        <w:t>同比未增减变动，与去年持平；</w:t>
      </w:r>
      <w:r>
        <w:rPr>
          <w:rFonts w:eastAsia="方正仿宋_GBK"/>
          <w:sz w:val="28"/>
        </w:rPr>
        <w:t>公务接待费</w:t>
      </w:r>
      <w:r>
        <w:rPr>
          <w:rFonts w:hint="eastAsia" w:eastAsiaTheme="minorEastAsia"/>
          <w:sz w:val="28"/>
          <w:lang w:eastAsia="zh-CN"/>
        </w:rPr>
        <w:t>1</w:t>
      </w:r>
      <w:r>
        <w:rPr>
          <w:rFonts w:eastAsia="方正仿宋_GBK"/>
          <w:sz w:val="28"/>
        </w:rPr>
        <w:t>万元，</w:t>
      </w:r>
      <w:r>
        <w:rPr>
          <w:rFonts w:hint="eastAsia" w:eastAsiaTheme="minorEastAsia"/>
          <w:sz w:val="28"/>
          <w:lang w:eastAsia="zh-CN"/>
        </w:rPr>
        <w:t>比2021年增加0.9万元</w:t>
      </w:r>
      <w:r>
        <w:rPr>
          <w:rFonts w:eastAsia="方正仿宋_GBK"/>
          <w:sz w:val="28"/>
        </w:rPr>
        <w:t>。主要原因是</w:t>
      </w:r>
      <w:r>
        <w:rPr>
          <w:rFonts w:hint="eastAsia" w:eastAsiaTheme="minorEastAsia"/>
          <w:sz w:val="28"/>
          <w:lang w:eastAsia="zh-CN"/>
        </w:rPr>
        <w:t>根据公务接待的实际情况增加公务接待费</w:t>
      </w:r>
      <w:r>
        <w:rPr>
          <w:rFonts w:eastAsia="方正仿宋_GBK"/>
          <w:sz w:val="28"/>
        </w:rPr>
        <w:t>。</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坚持以习近平新时代中国特色社会主义思想为指导，深入贯彻党的十九届六中全会和县</w:t>
      </w:r>
      <w:r>
        <w:rPr>
          <w:rFonts w:hint="eastAsia"/>
          <w:lang w:val="en-US" w:eastAsia="zh-CN"/>
        </w:rPr>
        <w:t>第</w:t>
      </w:r>
      <w:r>
        <w:t>十次</w:t>
      </w:r>
      <w:bookmarkStart w:id="18" w:name="_GoBack"/>
      <w:bookmarkEnd w:id="18"/>
      <w:r>
        <w:t>党代会精神，紧紧围绕党中央决策部署，认真落实县委县政府工作要求，凝神聚力，开拓创新，</w:t>
      </w:r>
      <w:r>
        <w:rPr>
          <w:rFonts w:hint="eastAsia"/>
          <w:lang w:eastAsia="zh-CN"/>
        </w:rPr>
        <w:t>攻坚克难</w:t>
      </w:r>
      <w:r>
        <w:t>，砥砺奋进，以更加高昂的激情，更加有力的措施，更加务实的作风，全面开创工作新局面。做好疫情防控和招商引资工作，落实落细各项财政政策，有效发挥财政调控保障作用，进一步提高财政收入水平，确保“保工资、保运转、保基本民生”支出需要，财政资源配置更加科学，财政资金使用更加高效，财政政策体系更加完善，全县财政运行总体平稳，实现全年财政收支平衡，保障全县公教人员工资发放和各项事业发展。</w:t>
      </w:r>
    </w:p>
    <w:p>
      <w:pPr>
        <w:spacing w:line="500" w:lineRule="exact"/>
        <w:ind w:firstLine="560"/>
      </w:pPr>
      <w:r>
        <w:rPr>
          <w:rFonts w:eastAsia="方正仿宋_GBK"/>
          <w:color w:val="000000"/>
          <w:sz w:val="28"/>
        </w:rPr>
        <w:t>（二）分项绩效目标</w:t>
      </w:r>
    </w:p>
    <w:p>
      <w:pPr>
        <w:pStyle w:val="22"/>
      </w:pPr>
      <w:r>
        <w:t>1、财政收入水平进一步提高</w:t>
      </w:r>
    </w:p>
    <w:p>
      <w:pPr>
        <w:pStyle w:val="22"/>
      </w:pPr>
      <w:r>
        <w:t>绩效目标：深化税收制度改革，完善地方税体系。完善和规范地方性税收法规，规范税收优惠政策，监督检查税政政策执行情况。制定非税收入管理政策，加强非税收入征管，加强彩票公益金管理，制定彩票管理政策和有关办法，管理彩票市场及彩票资金，确保资金安全，财政收入及时足额入库，全县财政收入规模进一步提升，收入结构持续优化，可用财力稳步增长。</w:t>
      </w:r>
    </w:p>
    <w:p>
      <w:pPr>
        <w:pStyle w:val="22"/>
      </w:pPr>
      <w:r>
        <w:t>绩效指标：全县财政收入增幅与经济增长相匹配，税收收入和非税收入按月按季实现均衡入库，开展打击非法彩票专项治理工作，确保我县彩票市场健康发展。</w:t>
      </w:r>
    </w:p>
    <w:p>
      <w:pPr>
        <w:pStyle w:val="22"/>
      </w:pPr>
      <w:r>
        <w:t>2、财政资源配置更加科学</w:t>
      </w:r>
    </w:p>
    <w:p>
      <w:pPr>
        <w:pStyle w:val="22"/>
      </w:pPr>
      <w:r>
        <w:t>绩效目标：通过对县级财政收支以及相应的财政税收政策，调整和引导现有社会经济资源的流向和流量，以达到资源的优化配置和充分利用，实现最大的经济效益和社会效益功能。</w:t>
      </w:r>
    </w:p>
    <w:p>
      <w:pPr>
        <w:pStyle w:val="22"/>
      </w:pPr>
      <w:r>
        <w:t>绩效指标：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w:t>
      </w:r>
    </w:p>
    <w:p>
      <w:pPr>
        <w:pStyle w:val="22"/>
      </w:pPr>
      <w:r>
        <w:t>3、保障改善民生力度进一步加大</w:t>
      </w:r>
    </w:p>
    <w:p>
      <w:pPr>
        <w:pStyle w:val="22"/>
      </w:pPr>
      <w:r>
        <w:t>绩效目标：认真践行以人民为中心的发展思想，就业、教育、医疗、养老、低保等普惠性、基础性、兜底性民生保障水平持续提高，推动巩固拓展脱贫攻坚成果与乡村振兴有效衔接，财政支持生态环境治理取得积极成效，支持民心工程保障有力。</w:t>
      </w:r>
    </w:p>
    <w:p>
      <w:pPr>
        <w:pStyle w:val="22"/>
      </w:pPr>
      <w:r>
        <w:t>绩效指标：保障20项民心工程实施，稳定和扩大就业，确保财政教育支出、生均教育支出“两个只增不减”；国家提标政策全面落实，及时出台贯彻国家应对人口老龄化和三孩生育政策配套支持措施，做好困难群众、退役军人等重点人群保障工作；健全推动巩固拓展脱贫攻坚成果和乡村振兴有效衔接机制，集中支持打造一批水平较高、宜居宜业的美丽乡村；继续加大生态环保投入，健全完善清洁取暖可持续机制，支持全县生态环境持续优化。</w:t>
      </w:r>
    </w:p>
    <w:p>
      <w:pPr>
        <w:pStyle w:val="22"/>
      </w:pPr>
      <w:r>
        <w:t>4、各项财政制度进一步健全</w:t>
      </w:r>
    </w:p>
    <w:p>
      <w:pPr>
        <w:pStyle w:val="22"/>
      </w:pPr>
      <w:r>
        <w:t>绩效目标：拟定并组织实施县级各乡镇财政收入和支出责任划分方案，做好县对下转移支付管理工作及县级各乡镇财政运行监控工作；预算绩效管理、政策管理、编制管理及执行管理提质增效；总预算会计核算及政府财务报告制度管理持续深化，及时准确办理库款调度工作；监督和规范全县会计人员行为，组织会计人员继续教育培训，提高会计人员整体素质，及时做好资金检查工作；严格执行好国有资产管理制度、政府采购制度，建立健全农村综合改革工作制度，促进农村综合改革工作顺利进行；进一步做好政府债务管理及全县政府和社会资本合作（PPP）管理工作。</w:t>
      </w:r>
    </w:p>
    <w:p>
      <w:pPr>
        <w:pStyle w:val="22"/>
      </w:pPr>
      <w:r>
        <w:t>绩效指标：县对下转移支付管理进一步完善，科学测算乡镇收支基数，研究乡镇运行情况，对运行中存在的问题，提出合理化建议；预算绩效管理制度体系和绩效指标体系进一步完善；按时完成全县政府财务报告编制，库款调度及时完成；完善制度、健全机制、硬化举措，充分发挥财会监督作用，加强与审计、纪检、巡视、督查等有效衔接，推动各级各部门严管快用，确保财政资金安全；做好绩效评价工作，探索实施部门整体支出绩效评价，强化评价结果公开；每年对行政事业单位资产进行清查，保证国有资产增值增效，对政府采购进行全年跟踪，建立健全农村综合改革工作制度；政府债务不发生违约事件，全年不发生政府债券还本付息风险事件，债券发行在规定时间内完成，PPP项目规范、项目库建设和绩效评估工作进一步完善。</w:t>
      </w:r>
    </w:p>
    <w:p>
      <w:pPr>
        <w:pStyle w:val="22"/>
      </w:pPr>
      <w:r>
        <w:t>5、积极财政政策得到有效落实</w:t>
      </w:r>
    </w:p>
    <w:p>
      <w:pPr>
        <w:pStyle w:val="22"/>
      </w:pPr>
      <w:r>
        <w:t>绩效目标：围绕助推全县经济高质量发展目标，按照“积极的财政政策要提升政策效能”要求，找准切入点，抓准发力点，更好发挥政策效能，坚持用好中央、省、市、县预内基建资金，管好用好政府债券，直达资金实现严管快用，促进县域经济高质量发展及产业发展的财政政策更加完善，减税降费政策全面落实，全县创新能力不断提升，减轻企业负担的成效更加明显。</w:t>
      </w:r>
    </w:p>
    <w:p>
      <w:pPr>
        <w:pStyle w:val="22"/>
      </w:pPr>
      <w:r>
        <w:t>绩效指标：落实好《财政引导金融支持实体经济发展十条措施》，进一步规范政府投资引导基金运作，不断增强县域经济发展内生动力；管好用好政府债券，将专项债监控支出延伸为工作量形成情况，督促尽早形成实物工作量；继续落实好直达机制，进一步扩大监控系统使用范围，督促县加快支出，更好发挥政策效能；支持科技创新、战略性新兴产业等财政专项资金持续增加，优化科研经费管理流程，加大简政放权和激励力度，激发全县创新活力。</w:t>
      </w:r>
    </w:p>
    <w:p>
      <w:pPr>
        <w:spacing w:line="500" w:lineRule="exact"/>
        <w:ind w:firstLine="560"/>
      </w:pPr>
      <w:r>
        <w:rPr>
          <w:rFonts w:eastAsia="方正仿宋_GBK"/>
          <w:color w:val="000000"/>
          <w:sz w:val="28"/>
        </w:rPr>
        <w:t>（三）工作保障措施</w:t>
      </w:r>
    </w:p>
    <w:p>
      <w:pPr>
        <w:pStyle w:val="23"/>
      </w:pPr>
      <w:r>
        <w:t>1.完善制度建设。建立健全部门预算绩效管理路径和制度体系，不断完善工作机制和工作流程。制定完善的预算绩效管理制度，为全年预算绩效目标的实现奠定制度基础；推进财政资金管理制度改革，加大对财务管理工作的监督力度；建立健全行政事业单位国有资产管理制度及政府采购制度，保证国有资产增值增效，采购活动公正规范。</w:t>
      </w:r>
    </w:p>
    <w:p>
      <w:pPr>
        <w:pStyle w:val="23"/>
      </w:pPr>
      <w:r>
        <w:t>2.加强支出管理。通过优化支出结构、编细编实预算、加快履行政府采购程序、尽快启动项目、及时支付资金。进一步提升基层管理水平，规范财政资金使用和管理，做到按照时间节点完成支出任务。</w:t>
      </w:r>
    </w:p>
    <w:p>
      <w:pPr>
        <w:pStyle w:val="23"/>
      </w:pPr>
      <w:r>
        <w:t>3.加强绩效运行监控。按要求开展绩效运行监控，确保绩效目标如期保质实现。做好部门预算绩效自评和重点评价工作，发现问题及时整改，调整优化支出结构，提高财政资金使用效益。</w:t>
      </w:r>
    </w:p>
    <w:p>
      <w:pPr>
        <w:pStyle w:val="23"/>
      </w:pPr>
      <w:r>
        <w:t>4.做好绩效自评。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3"/>
      </w:pPr>
      <w:r>
        <w:t>5.规范财务资产管理。完善财务管理制度，严格审批程序。加强内部监督制度建设，对资产处置及其他重要经济业务事项的决策和执行进行督导，对会计资料进行内部审计。配合做好审计、财政监督检查的外部监督工作，确保财政资金安全有效。促进财政预算管理质量不断提升，促进部门财务管理水平持续改进，促进财政政策和县委县政府重大决策、部署贯彻落实。</w:t>
      </w:r>
    </w:p>
    <w:p>
      <w:pPr>
        <w:pStyle w:val="23"/>
      </w:pPr>
      <w:r>
        <w:t>6.加强宣传培训调研。加强人员专项培训，提高部门人员业务素质和业务水平；通过实地调研，为优化财政资金配置、提高资金使用效益奠定实践基础；加大宣传力度，强化预算绩效管理意识，促进预算绩效管理水平进一步提升。</w:t>
      </w: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w:t>
      </w:r>
    </w:p>
    <w:p>
      <w:pPr>
        <w:ind w:firstLine="640"/>
        <w:rPr>
          <w:rFonts w:ascii="方正楷体_GBK" w:hAnsi="方正楷体_GBK" w:eastAsia="方正楷体_GBK" w:cs="方正楷体_GBK"/>
          <w:b/>
          <w:color w:val="000000"/>
          <w:sz w:val="32"/>
          <w:lang w:eastAsia="zh-CN"/>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、冀财农（2021）160号提前下达2022年省级农村财会人员培训一般转移支付指标绩效目标表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1.完成1次财政支农政策培训工作，通过开展培训活动，使更多的人了解财政支农政策，提高服务群众能力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开展培训的次数</w:t>
            </w:r>
          </w:p>
        </w:tc>
        <w:tc>
          <w:tcPr>
            <w:tcW w:w="2551" w:type="dxa"/>
            <w:vAlign w:val="center"/>
          </w:tcPr>
          <w:p>
            <w:pPr>
              <w:pStyle w:val="12"/>
            </w:pPr>
            <w:r>
              <w:t>1次</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培训通过率</w:t>
            </w:r>
          </w:p>
        </w:tc>
        <w:tc>
          <w:tcPr>
            <w:tcW w:w="2835" w:type="dxa"/>
            <w:vAlign w:val="center"/>
          </w:tcPr>
          <w:p>
            <w:pPr>
              <w:pStyle w:val="12"/>
            </w:pPr>
            <w:r>
              <w:t>培训通过人数占总培训人数的比例</w:t>
            </w:r>
          </w:p>
        </w:tc>
        <w:tc>
          <w:tcPr>
            <w:tcW w:w="2551" w:type="dxa"/>
            <w:vAlign w:val="center"/>
          </w:tcPr>
          <w:p>
            <w:pPr>
              <w:pStyle w:val="12"/>
            </w:pPr>
            <w:r>
              <w:t>≥95%</w:t>
            </w:r>
          </w:p>
        </w:tc>
        <w:tc>
          <w:tcPr>
            <w:tcW w:w="2268"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培训开展时间</w:t>
            </w:r>
          </w:p>
        </w:tc>
        <w:tc>
          <w:tcPr>
            <w:tcW w:w="2835" w:type="dxa"/>
            <w:vAlign w:val="center"/>
          </w:tcPr>
          <w:p>
            <w:pPr>
              <w:pStyle w:val="12"/>
            </w:pPr>
            <w:r>
              <w:t>在规定时间及时完成培训工作</w:t>
            </w:r>
          </w:p>
        </w:tc>
        <w:tc>
          <w:tcPr>
            <w:tcW w:w="2551" w:type="dxa"/>
            <w:vAlign w:val="center"/>
          </w:tcPr>
          <w:p>
            <w:pPr>
              <w:pStyle w:val="12"/>
            </w:pPr>
            <w:r>
              <w:t>在规定时间内及时完成培训工作</w:t>
            </w:r>
          </w:p>
        </w:tc>
        <w:tc>
          <w:tcPr>
            <w:tcW w:w="2268" w:type="dxa"/>
            <w:vAlign w:val="center"/>
          </w:tcPr>
          <w:p>
            <w:pPr>
              <w:pStyle w:val="12"/>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≤20万元</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通过培训，人员办事效率提高，服务群众能力增强</w:t>
            </w:r>
          </w:p>
        </w:tc>
        <w:tc>
          <w:tcPr>
            <w:tcW w:w="2551" w:type="dxa"/>
            <w:vAlign w:val="center"/>
          </w:tcPr>
          <w:p>
            <w:pPr>
              <w:pStyle w:val="12"/>
            </w:pPr>
            <w:r>
              <w:t>办事效率提高，服务群众能力增强</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了解财政支农政策人数增长率</w:t>
            </w:r>
          </w:p>
        </w:tc>
        <w:tc>
          <w:tcPr>
            <w:tcW w:w="2835" w:type="dxa"/>
            <w:vAlign w:val="center"/>
          </w:tcPr>
          <w:p>
            <w:pPr>
              <w:pStyle w:val="12"/>
            </w:pPr>
            <w:r>
              <w:t>熟练掌握财政支农政策的人数较去年大幅增加</w:t>
            </w:r>
          </w:p>
        </w:tc>
        <w:tc>
          <w:tcPr>
            <w:tcW w:w="2551" w:type="dxa"/>
            <w:vAlign w:val="center"/>
          </w:tcPr>
          <w:p>
            <w:pPr>
              <w:pStyle w:val="12"/>
            </w:pPr>
            <w:r>
              <w:t>≥50%</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培训对象满意度</w:t>
            </w:r>
          </w:p>
        </w:tc>
        <w:tc>
          <w:tcPr>
            <w:tcW w:w="2835" w:type="dxa"/>
            <w:vAlign w:val="center"/>
          </w:tcPr>
          <w:p>
            <w:pPr>
              <w:pStyle w:val="12"/>
            </w:pPr>
            <w:r>
              <w:t>培训对象满意的人数占总培训人数的比例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、2022年一般债券付息服务费发行费兑付费（23303）绩效目标表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、2022年一般债券还本（2310301）绩效目标表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、2022年一般债券利息（2320301）绩效目标表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、2022年专项债券付息服务费发行兑付费（2330411）绩效目标表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、2022年专项债券付息服务费发行兑付费（2330433）绩效目标表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、2022年专项债券付息服务费发行兑付费（2330498）绩效目标表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、2022年专项债券还本（2310411）绩效目标表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、2022年专项债券利息（2320411）绩效目标表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、2022年专项债券利息（2320433）绩效目标表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、2022年专项债券利息（2320498）绩效目标表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560" w:firstLineChars="200"/>
      </w:pPr>
      <w:r>
        <w:rPr>
          <w:rFonts w:ascii="方正仿宋_GBK" w:hAnsi="方正仿宋_GBK" w:eastAsia="方正仿宋_GBK" w:cs="方正仿宋_GBK"/>
          <w:b/>
          <w:color w:val="000000"/>
          <w:sz w:val="28"/>
        </w:rPr>
        <w:t>1、2022年财政机关运行经费绩效目标表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1.持续改善局26个科室的日常工作环境质量，保障局机关的正常运转，提高办事效率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2835" w:type="dxa"/>
            <w:vAlign w:val="center"/>
          </w:tcPr>
          <w:p>
            <w:pPr>
              <w:pStyle w:val="12"/>
            </w:pPr>
            <w:r>
              <w:t>全年工作完成的数量占总工作数量的比例</w:t>
            </w:r>
          </w:p>
        </w:tc>
        <w:tc>
          <w:tcPr>
            <w:tcW w:w="2551" w:type="dxa"/>
            <w:vAlign w:val="center"/>
          </w:tcPr>
          <w:p>
            <w:pPr>
              <w:pStyle w:val="12"/>
            </w:pPr>
            <w:r>
              <w:t>≥95%</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工作完成合格率</w:t>
            </w:r>
          </w:p>
        </w:tc>
        <w:tc>
          <w:tcPr>
            <w:tcW w:w="2835" w:type="dxa"/>
            <w:vAlign w:val="center"/>
          </w:tcPr>
          <w:p>
            <w:pPr>
              <w:pStyle w:val="12"/>
            </w:pPr>
            <w:r>
              <w:t>工作合格的数量占完成工作数量的比例</w:t>
            </w:r>
          </w:p>
        </w:tc>
        <w:tc>
          <w:tcPr>
            <w:tcW w:w="2551" w:type="dxa"/>
            <w:vAlign w:val="center"/>
          </w:tcPr>
          <w:p>
            <w:pPr>
              <w:pStyle w:val="12"/>
            </w:pPr>
            <w:r>
              <w:t>100%</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在预定时间内完成工作的数量占总工作数量的比例</w:t>
            </w:r>
          </w:p>
        </w:tc>
        <w:tc>
          <w:tcPr>
            <w:tcW w:w="2551" w:type="dxa"/>
            <w:vAlign w:val="center"/>
          </w:tcPr>
          <w:p>
            <w:pPr>
              <w:pStyle w:val="12"/>
            </w:pPr>
            <w:r>
              <w:t>≥98%</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≤100万元</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机关运转正常</w:t>
            </w:r>
          </w:p>
        </w:tc>
        <w:tc>
          <w:tcPr>
            <w:tcW w:w="2835" w:type="dxa"/>
            <w:vAlign w:val="center"/>
          </w:tcPr>
          <w:p>
            <w:pPr>
              <w:pStyle w:val="12"/>
            </w:pPr>
            <w:r>
              <w:t>机关正常运转，保障工作环境正常</w:t>
            </w:r>
          </w:p>
        </w:tc>
        <w:tc>
          <w:tcPr>
            <w:tcW w:w="2551" w:type="dxa"/>
            <w:vAlign w:val="center"/>
          </w:tcPr>
          <w:p>
            <w:pPr>
              <w:pStyle w:val="12"/>
            </w:pPr>
            <w:r>
              <w:t>局机关可以正常运转，保障了正常的工作环境</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持续影响率</w:t>
            </w:r>
          </w:p>
        </w:tc>
        <w:tc>
          <w:tcPr>
            <w:tcW w:w="2835" w:type="dxa"/>
            <w:vAlign w:val="center"/>
          </w:tcPr>
          <w:p>
            <w:pPr>
              <w:pStyle w:val="12"/>
            </w:pPr>
            <w:r>
              <w:t>持续改善工作环境质量，保障机关正常运转</w:t>
            </w:r>
          </w:p>
        </w:tc>
        <w:tc>
          <w:tcPr>
            <w:tcW w:w="2551" w:type="dxa"/>
            <w:vAlign w:val="center"/>
          </w:tcPr>
          <w:p>
            <w:pPr>
              <w:pStyle w:val="12"/>
            </w:pPr>
            <w:r>
              <w:t>持续改善工作环境质量，保障机关正常运转</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职工满意的人数占总人数的比例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2、2022年财政业务工作经费绩效目标表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1.保障局26个科室的财政业务顺利开展，为各财政信息系统提供必要的技术支持。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2835" w:type="dxa"/>
            <w:vAlign w:val="center"/>
          </w:tcPr>
          <w:p>
            <w:pPr>
              <w:pStyle w:val="12"/>
            </w:pPr>
            <w:r>
              <w:t>完成工作的数量占总工作数量的比例</w:t>
            </w:r>
          </w:p>
        </w:tc>
        <w:tc>
          <w:tcPr>
            <w:tcW w:w="2551" w:type="dxa"/>
            <w:vAlign w:val="center"/>
          </w:tcPr>
          <w:p>
            <w:pPr>
              <w:pStyle w:val="12"/>
            </w:pPr>
            <w:r>
              <w:t>≥95%</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工作完成合格率</w:t>
            </w:r>
          </w:p>
        </w:tc>
        <w:tc>
          <w:tcPr>
            <w:tcW w:w="2835" w:type="dxa"/>
            <w:vAlign w:val="center"/>
          </w:tcPr>
          <w:p>
            <w:pPr>
              <w:pStyle w:val="12"/>
            </w:pPr>
            <w:r>
              <w:t>完成工作合格的数量占完成总工作数量的比例</w:t>
            </w:r>
          </w:p>
        </w:tc>
        <w:tc>
          <w:tcPr>
            <w:tcW w:w="2551" w:type="dxa"/>
            <w:vAlign w:val="center"/>
          </w:tcPr>
          <w:p>
            <w:pPr>
              <w:pStyle w:val="12"/>
            </w:pPr>
            <w:r>
              <w:t>≥95%</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在预定时间内完成工作的数量占总工作数量的比例</w:t>
            </w:r>
          </w:p>
        </w:tc>
        <w:tc>
          <w:tcPr>
            <w:tcW w:w="2551" w:type="dxa"/>
            <w:vAlign w:val="center"/>
          </w:tcPr>
          <w:p>
            <w:pPr>
              <w:pStyle w:val="12"/>
            </w:pPr>
            <w:r>
              <w:t>≥95%</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≤485万元</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全年财政业务顺利完成</w:t>
            </w:r>
          </w:p>
        </w:tc>
        <w:tc>
          <w:tcPr>
            <w:tcW w:w="2551" w:type="dxa"/>
            <w:vAlign w:val="center"/>
          </w:tcPr>
          <w:p>
            <w:pPr>
              <w:pStyle w:val="12"/>
            </w:pPr>
            <w:r>
              <w:t>保障了全年财政业务顺利完成</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持续影响力</w:t>
            </w:r>
          </w:p>
        </w:tc>
        <w:tc>
          <w:tcPr>
            <w:tcW w:w="2835" w:type="dxa"/>
            <w:vAlign w:val="center"/>
          </w:tcPr>
          <w:p>
            <w:pPr>
              <w:pStyle w:val="12"/>
            </w:pPr>
            <w:r>
              <w:t>持续提升我局工作能力</w:t>
            </w:r>
          </w:p>
        </w:tc>
        <w:tc>
          <w:tcPr>
            <w:tcW w:w="2551" w:type="dxa"/>
            <w:vAlign w:val="center"/>
          </w:tcPr>
          <w:p>
            <w:pPr>
              <w:pStyle w:val="12"/>
            </w:pPr>
            <w:r>
              <w:t>持续保障我局业务顺利完成，提升办事效率</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职工满意的人数占总人数的比例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3、2022年财政一体化运行维护服务费绩效目标表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1.保障一体化平台各个模块子系统正常运行，出现故障时能及时排除，保障资金拨付工作顺利完成，提高工作效率，保障全县96个预算单位都能正常使用一体化平台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完成工作率</w:t>
            </w:r>
          </w:p>
        </w:tc>
        <w:tc>
          <w:tcPr>
            <w:tcW w:w="2835" w:type="dxa"/>
            <w:vAlign w:val="center"/>
          </w:tcPr>
          <w:p>
            <w:pPr>
              <w:pStyle w:val="12"/>
            </w:pPr>
            <w:r>
              <w:t>全年资金拨付工作完成数量占总工作数量的比例</w:t>
            </w:r>
          </w:p>
        </w:tc>
        <w:tc>
          <w:tcPr>
            <w:tcW w:w="2551" w:type="dxa"/>
            <w:vAlign w:val="center"/>
          </w:tcPr>
          <w:p>
            <w:pPr>
              <w:pStyle w:val="12"/>
            </w:pPr>
            <w:r>
              <w:t>100%</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故障排除率</w:t>
            </w:r>
          </w:p>
        </w:tc>
        <w:tc>
          <w:tcPr>
            <w:tcW w:w="2835" w:type="dxa"/>
            <w:vAlign w:val="center"/>
          </w:tcPr>
          <w:p>
            <w:pPr>
              <w:pStyle w:val="12"/>
            </w:pPr>
            <w:r>
              <w:t>故障排除的次数占总故障次数的比例</w:t>
            </w:r>
          </w:p>
        </w:tc>
        <w:tc>
          <w:tcPr>
            <w:tcW w:w="2551" w:type="dxa"/>
            <w:vAlign w:val="center"/>
          </w:tcPr>
          <w:p>
            <w:pPr>
              <w:pStyle w:val="12"/>
            </w:pPr>
            <w:r>
              <w:t>100%</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排除故障及时率</w:t>
            </w:r>
          </w:p>
        </w:tc>
        <w:tc>
          <w:tcPr>
            <w:tcW w:w="2835" w:type="dxa"/>
            <w:vAlign w:val="center"/>
          </w:tcPr>
          <w:p>
            <w:pPr>
              <w:pStyle w:val="12"/>
            </w:pPr>
            <w:r>
              <w:t>故障能得到及时排除，不影响工作的进行</w:t>
            </w:r>
          </w:p>
        </w:tc>
        <w:tc>
          <w:tcPr>
            <w:tcW w:w="2551" w:type="dxa"/>
            <w:vAlign w:val="center"/>
          </w:tcPr>
          <w:p>
            <w:pPr>
              <w:pStyle w:val="12"/>
            </w:pPr>
            <w:r>
              <w:t>故障能得到及时排除，不影响工作的进行</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≤15万元</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全年资金拨付工作全部顺利完成</w:t>
            </w:r>
          </w:p>
        </w:tc>
        <w:tc>
          <w:tcPr>
            <w:tcW w:w="2551" w:type="dxa"/>
            <w:vAlign w:val="center"/>
          </w:tcPr>
          <w:p>
            <w:pPr>
              <w:pStyle w:val="12"/>
            </w:pPr>
            <w:r>
              <w:t>全年资金拨付工作全部顺利完成</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一体化平台能够长期运行</w:t>
            </w:r>
          </w:p>
        </w:tc>
        <w:tc>
          <w:tcPr>
            <w:tcW w:w="2551" w:type="dxa"/>
            <w:vAlign w:val="center"/>
          </w:tcPr>
          <w:p>
            <w:pPr>
              <w:pStyle w:val="12"/>
            </w:pPr>
            <w:r>
              <w:t>一体化系统正常稳定运行</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使用对象满意度</w:t>
            </w:r>
          </w:p>
        </w:tc>
        <w:tc>
          <w:tcPr>
            <w:tcW w:w="2835" w:type="dxa"/>
            <w:vAlign w:val="center"/>
          </w:tcPr>
          <w:p>
            <w:pPr>
              <w:pStyle w:val="12"/>
            </w:pPr>
            <w:r>
              <w:t>使用对象满意的人数占总使用人数的比例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4、2022年公共资源高效利用专项经费绩效目标表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1.加强公共资源的管理和高效利用，100%完成公共资源高效利用专项工作。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完成工作率</w:t>
            </w:r>
          </w:p>
        </w:tc>
        <w:tc>
          <w:tcPr>
            <w:tcW w:w="2835" w:type="dxa"/>
            <w:vAlign w:val="center"/>
          </w:tcPr>
          <w:p>
            <w:pPr>
              <w:pStyle w:val="12"/>
            </w:pPr>
            <w:r>
              <w:t>完成工作的数量占全年总工作数量的比例</w:t>
            </w:r>
          </w:p>
        </w:tc>
        <w:tc>
          <w:tcPr>
            <w:tcW w:w="2551" w:type="dxa"/>
            <w:vAlign w:val="center"/>
          </w:tcPr>
          <w:p>
            <w:pPr>
              <w:pStyle w:val="12"/>
            </w:pPr>
            <w:r>
              <w:t>≥95%</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完成工作合格率</w:t>
            </w:r>
          </w:p>
        </w:tc>
        <w:tc>
          <w:tcPr>
            <w:tcW w:w="2835" w:type="dxa"/>
            <w:vAlign w:val="center"/>
          </w:tcPr>
          <w:p>
            <w:pPr>
              <w:pStyle w:val="12"/>
            </w:pPr>
            <w:r>
              <w:t>完成工作合格的数量占总完成工作数量的比例</w:t>
            </w:r>
          </w:p>
        </w:tc>
        <w:tc>
          <w:tcPr>
            <w:tcW w:w="2551" w:type="dxa"/>
            <w:vAlign w:val="center"/>
          </w:tcPr>
          <w:p>
            <w:pPr>
              <w:pStyle w:val="12"/>
            </w:pPr>
            <w:r>
              <w:t>100%</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完成工作及时率</w:t>
            </w:r>
          </w:p>
        </w:tc>
        <w:tc>
          <w:tcPr>
            <w:tcW w:w="2835" w:type="dxa"/>
            <w:vAlign w:val="center"/>
          </w:tcPr>
          <w:p>
            <w:pPr>
              <w:pStyle w:val="12"/>
            </w:pPr>
            <w:r>
              <w:t>在预定时间内完成工作的数量占总工作数量的比例</w:t>
            </w:r>
          </w:p>
        </w:tc>
        <w:tc>
          <w:tcPr>
            <w:tcW w:w="2551" w:type="dxa"/>
            <w:vAlign w:val="center"/>
          </w:tcPr>
          <w:p>
            <w:pPr>
              <w:pStyle w:val="12"/>
            </w:pPr>
            <w:r>
              <w:t>100%</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≤20万元</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各工作均能顺利开展，及时推进</w:t>
            </w:r>
          </w:p>
        </w:tc>
        <w:tc>
          <w:tcPr>
            <w:tcW w:w="2551" w:type="dxa"/>
            <w:vAlign w:val="center"/>
          </w:tcPr>
          <w:p>
            <w:pPr>
              <w:pStyle w:val="12"/>
            </w:pPr>
            <w:r>
              <w:t>各工作均能顺利开展，及时推进</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持续影响时间</w:t>
            </w:r>
          </w:p>
        </w:tc>
        <w:tc>
          <w:tcPr>
            <w:tcW w:w="2835" w:type="dxa"/>
            <w:vAlign w:val="center"/>
          </w:tcPr>
          <w:p>
            <w:pPr>
              <w:pStyle w:val="12"/>
            </w:pPr>
            <w:r>
              <w:t>持续保障各项工作顺利完成，提高工作效率</w:t>
            </w:r>
          </w:p>
        </w:tc>
        <w:tc>
          <w:tcPr>
            <w:tcW w:w="2551" w:type="dxa"/>
            <w:vAlign w:val="center"/>
          </w:tcPr>
          <w:p>
            <w:pPr>
              <w:pStyle w:val="12"/>
            </w:pPr>
            <w:r>
              <w:t>持续保障各项工作顺利完成，提高工作效率</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群众满意的人数占总调查人数的比例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5、2022年预算单位会计核算平台经费绩效目标表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1.保障会计核算平台正常运行，规范会计核算行为，保障全县96个预算单位能够正常使用会计核算平台，进行账务处理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会计核算平台覆盖率</w:t>
            </w:r>
          </w:p>
        </w:tc>
        <w:tc>
          <w:tcPr>
            <w:tcW w:w="2835" w:type="dxa"/>
            <w:vAlign w:val="center"/>
          </w:tcPr>
          <w:p>
            <w:pPr>
              <w:pStyle w:val="12"/>
            </w:pPr>
            <w:r>
              <w:t>全县90余个预算单位使用会计核算平台的数量所占比例</w:t>
            </w:r>
          </w:p>
        </w:tc>
        <w:tc>
          <w:tcPr>
            <w:tcW w:w="2551" w:type="dxa"/>
            <w:vAlign w:val="center"/>
          </w:tcPr>
          <w:p>
            <w:pPr>
              <w:pStyle w:val="12"/>
            </w:pPr>
            <w:r>
              <w:t>100%</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故障排除率</w:t>
            </w:r>
          </w:p>
        </w:tc>
        <w:tc>
          <w:tcPr>
            <w:tcW w:w="2835" w:type="dxa"/>
            <w:vAlign w:val="center"/>
          </w:tcPr>
          <w:p>
            <w:pPr>
              <w:pStyle w:val="12"/>
            </w:pPr>
            <w:r>
              <w:t>故障排除的次数占总次数的比例</w:t>
            </w:r>
          </w:p>
        </w:tc>
        <w:tc>
          <w:tcPr>
            <w:tcW w:w="2551" w:type="dxa"/>
            <w:vAlign w:val="center"/>
          </w:tcPr>
          <w:p>
            <w:pPr>
              <w:pStyle w:val="12"/>
            </w:pPr>
            <w:r>
              <w:t>100%</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故障排除及时率</w:t>
            </w:r>
          </w:p>
        </w:tc>
        <w:tc>
          <w:tcPr>
            <w:tcW w:w="2835" w:type="dxa"/>
            <w:vAlign w:val="center"/>
          </w:tcPr>
          <w:p>
            <w:pPr>
              <w:pStyle w:val="12"/>
            </w:pPr>
            <w:r>
              <w:t>及时对故障进行解决的次数占总次数的比例</w:t>
            </w:r>
          </w:p>
        </w:tc>
        <w:tc>
          <w:tcPr>
            <w:tcW w:w="2551" w:type="dxa"/>
            <w:vAlign w:val="center"/>
          </w:tcPr>
          <w:p>
            <w:pPr>
              <w:pStyle w:val="12"/>
            </w:pPr>
            <w:r>
              <w:t>100%</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≤15.15万元</w:t>
            </w:r>
          </w:p>
        </w:tc>
        <w:tc>
          <w:tcPr>
            <w:tcW w:w="2268"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各预算单位均能在会计核算平台正常进行账务处理</w:t>
            </w:r>
          </w:p>
        </w:tc>
        <w:tc>
          <w:tcPr>
            <w:tcW w:w="2551" w:type="dxa"/>
            <w:vAlign w:val="center"/>
          </w:tcPr>
          <w:p>
            <w:pPr>
              <w:pStyle w:val="12"/>
            </w:pPr>
            <w:r>
              <w:t>各预算单位均能在会计核算平台正常进行账务处理</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预算单位会计核算平台能够正常稳定运行</w:t>
            </w:r>
          </w:p>
        </w:tc>
        <w:tc>
          <w:tcPr>
            <w:tcW w:w="2551" w:type="dxa"/>
            <w:vAlign w:val="center"/>
          </w:tcPr>
          <w:p>
            <w:pPr>
              <w:pStyle w:val="12"/>
            </w:pPr>
            <w:r>
              <w:t>预算单位会计核算平台能够正常稳定运行</w:t>
            </w:r>
          </w:p>
        </w:tc>
        <w:tc>
          <w:tcPr>
            <w:tcW w:w="2268"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使用对象满意度</w:t>
            </w:r>
          </w:p>
        </w:tc>
        <w:tc>
          <w:tcPr>
            <w:tcW w:w="2835" w:type="dxa"/>
            <w:vAlign w:val="center"/>
          </w:tcPr>
          <w:p>
            <w:pPr>
              <w:pStyle w:val="12"/>
            </w:pPr>
            <w:r>
              <w:t>适用对象满意的人数占总使用人数的比例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6、冀财农（2021）160号提前下达2022年省级农村财会人员培训一般转移支付指标绩效目标表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1.完成1次财政支农政策培训工作，通过开展培训活动，使更多的人了解财政支农政策，提高服务群众能力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开展培训的次数</w:t>
            </w:r>
          </w:p>
        </w:tc>
        <w:tc>
          <w:tcPr>
            <w:tcW w:w="2551" w:type="dxa"/>
            <w:vAlign w:val="center"/>
          </w:tcPr>
          <w:p>
            <w:pPr>
              <w:pStyle w:val="12"/>
            </w:pPr>
            <w:r>
              <w:t>1次</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培训通过率</w:t>
            </w:r>
          </w:p>
        </w:tc>
        <w:tc>
          <w:tcPr>
            <w:tcW w:w="2835" w:type="dxa"/>
            <w:vAlign w:val="center"/>
          </w:tcPr>
          <w:p>
            <w:pPr>
              <w:pStyle w:val="12"/>
            </w:pPr>
            <w:r>
              <w:t>培训通过人数占总培训人数的比例</w:t>
            </w:r>
          </w:p>
        </w:tc>
        <w:tc>
          <w:tcPr>
            <w:tcW w:w="2551" w:type="dxa"/>
            <w:vAlign w:val="center"/>
          </w:tcPr>
          <w:p>
            <w:pPr>
              <w:pStyle w:val="12"/>
            </w:pPr>
            <w:r>
              <w:t>≥95%</w:t>
            </w:r>
          </w:p>
        </w:tc>
        <w:tc>
          <w:tcPr>
            <w:tcW w:w="2268"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培训开展时间</w:t>
            </w:r>
          </w:p>
        </w:tc>
        <w:tc>
          <w:tcPr>
            <w:tcW w:w="2835" w:type="dxa"/>
            <w:vAlign w:val="center"/>
          </w:tcPr>
          <w:p>
            <w:pPr>
              <w:pStyle w:val="12"/>
            </w:pPr>
            <w:r>
              <w:t>在规定时间及时完成培训工作</w:t>
            </w:r>
          </w:p>
        </w:tc>
        <w:tc>
          <w:tcPr>
            <w:tcW w:w="2551" w:type="dxa"/>
            <w:vAlign w:val="center"/>
          </w:tcPr>
          <w:p>
            <w:pPr>
              <w:pStyle w:val="12"/>
            </w:pPr>
            <w:r>
              <w:t>在规定时间内及时完成培训工作</w:t>
            </w:r>
          </w:p>
        </w:tc>
        <w:tc>
          <w:tcPr>
            <w:tcW w:w="2268" w:type="dxa"/>
            <w:vAlign w:val="center"/>
          </w:tcPr>
          <w:p>
            <w:pPr>
              <w:pStyle w:val="12"/>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节约资金，严格控制成本</w:t>
            </w:r>
          </w:p>
        </w:tc>
        <w:tc>
          <w:tcPr>
            <w:tcW w:w="2551" w:type="dxa"/>
            <w:vAlign w:val="center"/>
          </w:tcPr>
          <w:p>
            <w:pPr>
              <w:pStyle w:val="12"/>
            </w:pPr>
            <w:r>
              <w:t>≤20万元</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通过培训，人员办事效率提高，服务群众能力增强</w:t>
            </w:r>
          </w:p>
        </w:tc>
        <w:tc>
          <w:tcPr>
            <w:tcW w:w="2551" w:type="dxa"/>
            <w:vAlign w:val="center"/>
          </w:tcPr>
          <w:p>
            <w:pPr>
              <w:pStyle w:val="12"/>
            </w:pPr>
            <w:r>
              <w:t>办事效率提高，服务群众能力增强</w:t>
            </w:r>
          </w:p>
        </w:tc>
        <w:tc>
          <w:tcPr>
            <w:tcW w:w="2268"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了解财政支农政策人数增长率</w:t>
            </w:r>
          </w:p>
        </w:tc>
        <w:tc>
          <w:tcPr>
            <w:tcW w:w="2835" w:type="dxa"/>
            <w:vAlign w:val="center"/>
          </w:tcPr>
          <w:p>
            <w:pPr>
              <w:pStyle w:val="12"/>
            </w:pPr>
            <w:r>
              <w:t>熟练掌握财政支农政策的人数较去年大幅增加</w:t>
            </w:r>
          </w:p>
        </w:tc>
        <w:tc>
          <w:tcPr>
            <w:tcW w:w="2551" w:type="dxa"/>
            <w:vAlign w:val="center"/>
          </w:tcPr>
          <w:p>
            <w:pPr>
              <w:pStyle w:val="12"/>
            </w:pPr>
            <w:r>
              <w:t>≥50%</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培训对象满意度</w:t>
            </w:r>
          </w:p>
        </w:tc>
        <w:tc>
          <w:tcPr>
            <w:tcW w:w="2835" w:type="dxa"/>
            <w:vAlign w:val="center"/>
          </w:tcPr>
          <w:p>
            <w:pPr>
              <w:pStyle w:val="12"/>
            </w:pPr>
            <w:r>
              <w:t>培训对象满意的人数占总培训人数的比例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7、2022年一般债券付息服务费发行费兑付费（23303）绩效目标表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8、2022年一般债券还本（2310301）绩效目标表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9、2022年一般债券利息（2320301）绩效目标表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10、2022年专项债券付息服务费发行兑付费（2330411）绩效目标表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11、2022年专项债券付息服务费发行兑付费（2330433）绩效目标表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12、2022年专项债券付息服务费发行兑付费（2330498）绩效目标表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13、2022年专项债券还本（2310411）绩效目标表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14、2022年专项债券利息（2320411）绩效目标表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15、2022年专项债券利息（2320433）绩效目标表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16、2022年专项债券利息（2320498）绩效目标表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按照省财政厅通知要求,年度还本付息资金需列入年初财政预算,按时按要求支付</w:t>
            </w:r>
          </w:p>
        </w:tc>
        <w:tc>
          <w:tcPr>
            <w:tcW w:w="2835" w:type="dxa"/>
            <w:vAlign w:val="center"/>
          </w:tcPr>
          <w:p>
            <w:pPr>
              <w:pStyle w:val="12"/>
            </w:pPr>
            <w:r>
              <w:t>按照省财政厅通知要求,年度还本付息资金需列入年初财政预算,按时按要求支付</w:t>
            </w:r>
          </w:p>
        </w:tc>
        <w:tc>
          <w:tcPr>
            <w:tcW w:w="2551" w:type="dxa"/>
            <w:vAlign w:val="center"/>
          </w:tcPr>
          <w:p>
            <w:pPr>
              <w:pStyle w:val="12"/>
            </w:pPr>
            <w:r>
              <w:t>按照省财政厅通知要求,年度还本付息资金需列入年初财政预算,按时按要求支付</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按照省财政厅通知要求,足额付款至省厅</w:t>
            </w:r>
          </w:p>
        </w:tc>
        <w:tc>
          <w:tcPr>
            <w:tcW w:w="2835" w:type="dxa"/>
            <w:vAlign w:val="center"/>
          </w:tcPr>
          <w:p>
            <w:pPr>
              <w:pStyle w:val="12"/>
            </w:pPr>
            <w:r>
              <w:t>按照省财政厅通知要求,足额付款至省厅</w:t>
            </w:r>
          </w:p>
        </w:tc>
        <w:tc>
          <w:tcPr>
            <w:tcW w:w="2551" w:type="dxa"/>
            <w:vAlign w:val="center"/>
          </w:tcPr>
          <w:p>
            <w:pPr>
              <w:pStyle w:val="12"/>
            </w:pPr>
            <w:r>
              <w:t>按照省财政厅通知要求,足额付款至省厅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按照省财政厅通知要求,按时付款至省厅</w:t>
            </w:r>
          </w:p>
        </w:tc>
        <w:tc>
          <w:tcPr>
            <w:tcW w:w="2835" w:type="dxa"/>
            <w:vAlign w:val="center"/>
          </w:tcPr>
          <w:p>
            <w:pPr>
              <w:pStyle w:val="12"/>
            </w:pPr>
            <w:r>
              <w:t>按照省财政厅通知要求,按时付款至省厅</w:t>
            </w:r>
          </w:p>
        </w:tc>
        <w:tc>
          <w:tcPr>
            <w:tcW w:w="2551" w:type="dxa"/>
            <w:vAlign w:val="center"/>
          </w:tcPr>
          <w:p>
            <w:pPr>
              <w:pStyle w:val="12"/>
            </w:pPr>
            <w:r>
              <w:t>按照省财政厅通知要求,按时付款至省厅</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按照省财政厅通知要求,按时足额付款,不得逾期</w:t>
            </w:r>
          </w:p>
        </w:tc>
        <w:tc>
          <w:tcPr>
            <w:tcW w:w="2835" w:type="dxa"/>
            <w:vAlign w:val="center"/>
          </w:tcPr>
          <w:p>
            <w:pPr>
              <w:pStyle w:val="12"/>
            </w:pPr>
            <w:r>
              <w:t>按照省财政厅通知要求,按时足额付款,不得逾期</w:t>
            </w:r>
          </w:p>
        </w:tc>
        <w:tc>
          <w:tcPr>
            <w:tcW w:w="2551" w:type="dxa"/>
            <w:vAlign w:val="center"/>
          </w:tcPr>
          <w:p>
            <w:pPr>
              <w:pStyle w:val="12"/>
            </w:pPr>
            <w:r>
              <w:t>按照省财政厅通知要求,按时足额付款,不得逾期</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按照省财政厅通知要求,及时足额付款至省厅,避免逾期产生罚息和影响下年度新增限额分配</w:t>
            </w:r>
          </w:p>
        </w:tc>
        <w:tc>
          <w:tcPr>
            <w:tcW w:w="2835" w:type="dxa"/>
            <w:vAlign w:val="center"/>
          </w:tcPr>
          <w:p>
            <w:pPr>
              <w:pStyle w:val="12"/>
            </w:pPr>
            <w:r>
              <w:t>按照省财政厅通知要求,及时足额付款至省厅,避免逾期产生罚息和影响下年度新增限额分配</w:t>
            </w:r>
          </w:p>
        </w:tc>
        <w:tc>
          <w:tcPr>
            <w:tcW w:w="2551" w:type="dxa"/>
            <w:vAlign w:val="center"/>
          </w:tcPr>
          <w:p>
            <w:pPr>
              <w:pStyle w:val="12"/>
            </w:pPr>
            <w:r>
              <w:t>按照省财政厅通知要求,及时足额付款至省厅,避免逾期产生罚息和影响下年度新增限额分配</w:t>
            </w:r>
          </w:p>
        </w:tc>
        <w:tc>
          <w:tcPr>
            <w:tcW w:w="2268" w:type="dxa"/>
            <w:vAlign w:val="center"/>
          </w:tcPr>
          <w:p>
            <w:pPr>
              <w:pStyle w:val="12"/>
            </w:pPr>
            <w:r>
              <w:t>省财政厅文件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得到省财政厅审核通过和下年度新增限额分配对我县的支持</w:t>
            </w:r>
          </w:p>
        </w:tc>
        <w:tc>
          <w:tcPr>
            <w:tcW w:w="2835" w:type="dxa"/>
            <w:vAlign w:val="center"/>
          </w:tcPr>
          <w:p>
            <w:pPr>
              <w:pStyle w:val="12"/>
            </w:pPr>
            <w:r>
              <w:t>得到省财政厅审核通过和下年度新增限额分配对我县的支持.</w:t>
            </w:r>
          </w:p>
        </w:tc>
        <w:tc>
          <w:tcPr>
            <w:tcW w:w="2551" w:type="dxa"/>
            <w:vAlign w:val="center"/>
          </w:tcPr>
          <w:p>
            <w:pPr>
              <w:pStyle w:val="12"/>
            </w:pPr>
            <w:r>
              <w:t>得到省财政厅审核通过和下年度新增限额分配对我县的支持</w:t>
            </w:r>
          </w:p>
        </w:tc>
        <w:tc>
          <w:tcPr>
            <w:tcW w:w="2268" w:type="dxa"/>
            <w:vAlign w:val="center"/>
          </w:tcPr>
          <w:p>
            <w:pPr>
              <w:pStyle w:val="12"/>
            </w:pPr>
            <w:r>
              <w:t>得到省财政厅审核通过和下年度新增限额分配对我县的支持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本部门</w:t>
      </w:r>
      <w:r>
        <w:rPr>
          <w:rFonts w:eastAsia="方正仿宋_GBK"/>
          <w:color w:val="000000"/>
          <w:sz w:val="28"/>
        </w:rPr>
        <w:t>2022年</w:t>
      </w:r>
      <w:r>
        <w:rPr>
          <w:rFonts w:hint="eastAsia" w:eastAsia="方正仿宋_GBK"/>
          <w:color w:val="000000"/>
          <w:sz w:val="28"/>
          <w:lang w:eastAsia="zh-CN"/>
        </w:rPr>
        <w:t>度无政府采购安排</w:t>
      </w:r>
      <w:r>
        <w:rPr>
          <w:rFonts w:eastAsia="方正仿宋_GBK"/>
          <w:color w:val="000000"/>
          <w:sz w:val="28"/>
        </w:rPr>
        <w:t>。</w:t>
      </w:r>
    </w:p>
    <w:p>
      <w:pPr>
        <w:jc w:val="center"/>
      </w:pPr>
      <w:r>
        <w:rPr>
          <w:rFonts w:ascii="方正小标宋_GBK" w:hAnsi="方正小标宋_GBK" w:eastAsia="方正小标宋_GBK" w:cs="方正小标宋_GBK"/>
          <w:color w:val="000000"/>
          <w:sz w:val="36"/>
        </w:rPr>
        <w:t>部门政府采购预算</w:t>
      </w:r>
    </w:p>
    <w:tbl>
      <w:tblPr>
        <w:tblStyle w:val="4"/>
        <w:tblW w:w="156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4"/>
        <w:gridCol w:w="964"/>
        <w:gridCol w:w="1134"/>
        <w:gridCol w:w="1134"/>
        <w:gridCol w:w="709"/>
        <w:gridCol w:w="850"/>
        <w:gridCol w:w="850"/>
        <w:gridCol w:w="964"/>
        <w:gridCol w:w="964"/>
        <w:gridCol w:w="964"/>
        <w:gridCol w:w="964"/>
        <w:gridCol w:w="964"/>
        <w:gridCol w:w="964"/>
        <w:gridCol w:w="964"/>
        <w:gridCol w:w="995"/>
        <w:gridCol w:w="1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 w:hRule="atLeast"/>
          <w:tblHeader/>
          <w:jc w:val="center"/>
        </w:trPr>
        <w:tc>
          <w:tcPr>
            <w:tcW w:w="6875" w:type="dxa"/>
            <w:gridSpan w:val="7"/>
            <w:tcBorders>
              <w:top w:val="single" w:color="FFFFFF" w:sz="6" w:space="0"/>
              <w:left w:val="single" w:color="FFFFFF" w:sz="6" w:space="0"/>
              <w:right w:val="single" w:color="FFFFFF" w:sz="6" w:space="0"/>
            </w:tcBorders>
            <w:vAlign w:val="center"/>
          </w:tcPr>
          <w:p>
            <w:pPr>
              <w:pStyle w:val="9"/>
            </w:pPr>
            <w:r>
              <w:t>318魏县财政局</w:t>
            </w:r>
          </w:p>
        </w:tc>
        <w:tc>
          <w:tcPr>
            <w:tcW w:w="8810"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98"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43" w:type="dxa"/>
            <w:gridSpan w:val="8"/>
            <w:vAlign w:val="center"/>
          </w:tcPr>
          <w:p>
            <w:pPr>
              <w:pStyle w:val="10"/>
            </w:pPr>
            <w:r>
              <w:t>政府采购金额（当年部门预算安排资金）</w:t>
            </w:r>
          </w:p>
        </w:tc>
        <w:tc>
          <w:tcPr>
            <w:tcW w:w="1067"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34"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95" w:type="dxa"/>
            <w:vAlign w:val="center"/>
          </w:tcPr>
          <w:p>
            <w:pPr>
              <w:pStyle w:val="10"/>
            </w:pPr>
            <w:r>
              <w:t>非财政    拨款结    转结余</w:t>
            </w:r>
          </w:p>
        </w:tc>
        <w:tc>
          <w:tcPr>
            <w:tcW w:w="10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8" w:hRule="atLeast"/>
          <w:jc w:val="center"/>
        </w:trPr>
        <w:tc>
          <w:tcPr>
            <w:tcW w:w="1234" w:type="dxa"/>
            <w:vAlign w:val="center"/>
          </w:tcPr>
          <w:p>
            <w:pPr>
              <w:pStyle w:val="12"/>
              <w:rPr>
                <w:rFonts w:eastAsiaTheme="minorEastAsia"/>
                <w:lang w:eastAsia="zh-CN"/>
              </w:rPr>
            </w:pPr>
          </w:p>
        </w:tc>
        <w:tc>
          <w:tcPr>
            <w:tcW w:w="964" w:type="dxa"/>
            <w:vAlign w:val="center"/>
          </w:tcPr>
          <w:p>
            <w:pPr>
              <w:pStyle w:val="11"/>
              <w:rPr>
                <w:rFonts w:eastAsiaTheme="minorEastAsia"/>
                <w:lang w:eastAsia="zh-CN"/>
              </w:rPr>
            </w:pPr>
          </w:p>
        </w:tc>
        <w:tc>
          <w:tcPr>
            <w:tcW w:w="1134" w:type="dxa"/>
            <w:vAlign w:val="center"/>
          </w:tcPr>
          <w:p>
            <w:pPr>
              <w:pStyle w:val="12"/>
              <w:rPr>
                <w:rFonts w:eastAsiaTheme="minorEastAsia"/>
                <w:lang w:eastAsia="zh-CN"/>
              </w:rPr>
            </w:pPr>
          </w:p>
        </w:tc>
        <w:tc>
          <w:tcPr>
            <w:tcW w:w="1134" w:type="dxa"/>
            <w:vAlign w:val="center"/>
          </w:tcPr>
          <w:p>
            <w:pPr>
              <w:pStyle w:val="12"/>
              <w:rPr>
                <w:rFonts w:eastAsiaTheme="minorEastAsia"/>
                <w:lang w:eastAsia="zh-CN"/>
              </w:rPr>
            </w:pPr>
          </w:p>
        </w:tc>
        <w:tc>
          <w:tcPr>
            <w:tcW w:w="709" w:type="dxa"/>
            <w:vAlign w:val="center"/>
          </w:tcPr>
          <w:p>
            <w:pPr>
              <w:pStyle w:val="13"/>
              <w:rPr>
                <w:rFonts w:eastAsiaTheme="minorEastAsia"/>
                <w:lang w:eastAsia="zh-CN"/>
              </w:rPr>
            </w:pPr>
          </w:p>
        </w:tc>
        <w:tc>
          <w:tcPr>
            <w:tcW w:w="850" w:type="dxa"/>
            <w:vAlign w:val="center"/>
          </w:tcPr>
          <w:p>
            <w:pPr>
              <w:pStyle w:val="11"/>
              <w:rPr>
                <w:rFonts w:eastAsiaTheme="minorEastAsia"/>
                <w:lang w:eastAsia="zh-CN"/>
              </w:rPr>
            </w:pPr>
          </w:p>
        </w:tc>
        <w:tc>
          <w:tcPr>
            <w:tcW w:w="850"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rPr>
                <w:rFonts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95" w:type="dxa"/>
            <w:vAlign w:val="center"/>
          </w:tcPr>
          <w:p>
            <w:pPr>
              <w:pStyle w:val="11"/>
            </w:pPr>
          </w:p>
        </w:tc>
        <w:tc>
          <w:tcPr>
            <w:tcW w:w="1067" w:type="dxa"/>
            <w:vAlign w:val="center"/>
          </w:tcPr>
          <w:p>
            <w:pPr>
              <w:pStyle w:val="11"/>
              <w:rPr>
                <w:rFonts w:eastAsiaTheme="minorEastAsia"/>
                <w:lang w:eastAsia="zh-CN"/>
              </w:rPr>
            </w:pPr>
          </w:p>
        </w:tc>
      </w:tr>
    </w:tbl>
    <w:p>
      <w:pPr>
        <w:spacing w:line="500" w:lineRule="exact"/>
        <w:ind w:firstLine="420" w:firstLineChars="20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lang w:eastAsia="zh-CN"/>
        </w:rPr>
      </w:pPr>
      <w:bookmarkStart w:id="15" w:name="_Toc_3_3_0000000016"/>
    </w:p>
    <w:p>
      <w:pPr>
        <w:spacing w:before="10" w:after="10"/>
        <w:ind w:firstLine="640"/>
        <w:outlineLvl w:val="2"/>
        <w:rPr>
          <w:rFonts w:ascii="黑体" w:hAnsi="黑体" w:eastAsia="黑体" w:cs="黑体"/>
          <w:color w:val="000000"/>
          <w:sz w:val="32"/>
          <w:lang w:eastAsia="zh-CN"/>
        </w:rPr>
      </w:pPr>
    </w:p>
    <w:p>
      <w:pPr>
        <w:spacing w:before="10" w:after="10"/>
        <w:outlineLvl w:val="2"/>
        <w:rPr>
          <w:rFonts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魏县财政局（含所属单位）上年末固定资产金额为1179.83万元（详见下表）。本年度拟购置固定资产总额为29.30万元，已按要求列入政府采购预算，详见政府采购预算表。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318魏县财政局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1179.83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3645.60</w:t>
            </w:r>
          </w:p>
        </w:tc>
        <w:tc>
          <w:tcPr>
            <w:tcW w:w="2835" w:type="dxa"/>
            <w:vAlign w:val="center"/>
          </w:tcPr>
          <w:p>
            <w:pPr>
              <w:pStyle w:val="11"/>
            </w:pPr>
            <w:r>
              <w:t>616.31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970.79</w:t>
            </w:r>
          </w:p>
        </w:tc>
        <w:tc>
          <w:tcPr>
            <w:tcW w:w="2835" w:type="dxa"/>
            <w:vAlign w:val="center"/>
          </w:tcPr>
          <w:p>
            <w:pPr>
              <w:pStyle w:val="11"/>
            </w:pPr>
            <w:r>
              <w:t>589.15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144.67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401.87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lang w:eastAsia="zh-CN"/>
        </w:rPr>
      </w:pPr>
      <w:r>
        <w:rPr>
          <w:rFonts w:eastAsia="方正仿宋_GBK"/>
          <w:color w:val="000000"/>
          <w:sz w:val="28"/>
        </w:rPr>
        <w:t>我部门无其他需要说明的事项。</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jc w:val="center"/>
      </w:pP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微软雅黑"/>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86"/>
    <w:family w:val="roman"/>
    <w:pitch w:val="default"/>
    <w:sig w:usb0="00000000" w:usb1="00000000" w:usb2="0000000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F67C9E"/>
    <w:rsid w:val="000064A0"/>
    <w:rsid w:val="00086C6A"/>
    <w:rsid w:val="000C016C"/>
    <w:rsid w:val="00104072"/>
    <w:rsid w:val="00156576"/>
    <w:rsid w:val="00190E0D"/>
    <w:rsid w:val="001B7FD1"/>
    <w:rsid w:val="00221DD5"/>
    <w:rsid w:val="002B5A1B"/>
    <w:rsid w:val="002F78CF"/>
    <w:rsid w:val="003715BF"/>
    <w:rsid w:val="00375D3D"/>
    <w:rsid w:val="00460F07"/>
    <w:rsid w:val="004C2042"/>
    <w:rsid w:val="005A1560"/>
    <w:rsid w:val="0060527C"/>
    <w:rsid w:val="006C0137"/>
    <w:rsid w:val="006C1963"/>
    <w:rsid w:val="006D2F02"/>
    <w:rsid w:val="00835AB5"/>
    <w:rsid w:val="0085775B"/>
    <w:rsid w:val="008605A9"/>
    <w:rsid w:val="008854E4"/>
    <w:rsid w:val="00A446BB"/>
    <w:rsid w:val="00BA7BF6"/>
    <w:rsid w:val="00BB0BCC"/>
    <w:rsid w:val="00C57A29"/>
    <w:rsid w:val="00C81C2E"/>
    <w:rsid w:val="00D253B8"/>
    <w:rsid w:val="00D30F1B"/>
    <w:rsid w:val="00DE4728"/>
    <w:rsid w:val="00F67C9E"/>
    <w:rsid w:val="03A0459F"/>
    <w:rsid w:val="2FF7D8FE"/>
    <w:rsid w:val="AEFE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6054</Words>
  <Characters>34511</Characters>
  <Lines>287</Lines>
  <Paragraphs>80</Paragraphs>
  <TotalTime>113</TotalTime>
  <ScaleCrop>false</ScaleCrop>
  <LinksUpToDate>false</LinksUpToDate>
  <CharactersWithSpaces>40485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2022-03-09T23:26:00Z</dcterms:created>
  <dc:creator>Administrator</dc:creator>
  <cp:lastModifiedBy>信息化办</cp:lastModifiedBy>
  <cp:lastPrinted>2023-04-21T18:02:00Z</cp:lastPrinted>
  <dcterms:modified xsi:type="dcterms:W3CDTF">2023-09-19T06:02:45Z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39EF1C584B8943AC81FD6E5D95C39043_12</vt:lpwstr>
  </property>
</Properties>
</file>