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Pr>
        <w:pStyle w:val="17"/>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18</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rPr>
        <w:t>魏县</w:t>
      </w:r>
      <w:r>
        <w:rPr>
          <w:rFonts w:hint="eastAsia" w:ascii="Times New Roman" w:hAnsi="Times New Roman" w:eastAsia="宋体" w:cs="Times New Roman"/>
          <w:b/>
          <w:w w:val="92"/>
          <w:sz w:val="44"/>
          <w:szCs w:val="44"/>
          <w:lang w:val="en-US" w:eastAsia="zh-CN"/>
        </w:rPr>
        <w:t>辉腾</w:t>
      </w:r>
      <w:r>
        <w:rPr>
          <w:rFonts w:hint="eastAsia" w:ascii="Times New Roman" w:hAnsi="Times New Roman" w:eastAsia="宋体" w:cs="Times New Roman"/>
          <w:b/>
          <w:w w:val="92"/>
          <w:sz w:val="44"/>
          <w:szCs w:val="44"/>
          <w:lang w:val="en-US"/>
        </w:rPr>
        <w:t>建筑材料有限公司</w:t>
      </w:r>
      <w:r>
        <w:rPr>
          <w:rFonts w:hint="eastAsia" w:ascii="Times New Roman" w:hAnsi="Times New Roman" w:eastAsia="宋体" w:cs="Times New Roman"/>
          <w:b/>
          <w:w w:val="92"/>
          <w:sz w:val="44"/>
          <w:szCs w:val="44"/>
          <w:lang w:val="en-US" w:eastAsia="zh-CN"/>
        </w:rPr>
        <w:t>建筑垃圾回收处理制砖</w:t>
      </w:r>
      <w:r>
        <w:rPr>
          <w:rFonts w:hint="eastAsia" w:ascii="Times New Roman" w:hAnsi="Times New Roman" w:eastAsia="宋体" w:cs="Times New Roman"/>
          <w:b/>
          <w:w w:val="92"/>
          <w:sz w:val="44"/>
          <w:szCs w:val="44"/>
          <w:lang w:val="en-US"/>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val="en-US"/>
        </w:rPr>
        <w:t>魏县</w:t>
      </w:r>
      <w:r>
        <w:rPr>
          <w:rFonts w:hint="eastAsia" w:ascii="仿宋" w:hAnsi="仿宋" w:eastAsia="仿宋" w:cs="仿宋"/>
          <w:sz w:val="32"/>
          <w:szCs w:val="32"/>
          <w:lang w:val="en-US" w:eastAsia="zh-CN"/>
        </w:rPr>
        <w:t>辉腾</w:t>
      </w:r>
      <w:r>
        <w:rPr>
          <w:rFonts w:hint="eastAsia" w:ascii="仿宋" w:hAnsi="仿宋" w:eastAsia="仿宋" w:cs="仿宋"/>
          <w:sz w:val="32"/>
          <w:szCs w:val="32"/>
          <w:lang w:val="en-US"/>
        </w:rPr>
        <w:t>建筑材料有限公司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rPr>
        <w:t>魏县</w:t>
      </w:r>
      <w:r>
        <w:rPr>
          <w:rFonts w:hint="eastAsia" w:ascii="仿宋" w:hAnsi="仿宋" w:eastAsia="仿宋" w:cs="仿宋"/>
          <w:sz w:val="32"/>
          <w:szCs w:val="32"/>
          <w:lang w:val="en-US" w:eastAsia="zh-CN"/>
        </w:rPr>
        <w:t>辉腾</w:t>
      </w:r>
      <w:r>
        <w:rPr>
          <w:rFonts w:hint="eastAsia" w:ascii="仿宋" w:hAnsi="仿宋" w:eastAsia="仿宋" w:cs="仿宋"/>
          <w:sz w:val="32"/>
          <w:szCs w:val="32"/>
          <w:lang w:val="en-US"/>
        </w:rPr>
        <w:t>建筑材料有限公司</w:t>
      </w:r>
      <w:r>
        <w:rPr>
          <w:rFonts w:hint="eastAsia" w:ascii="仿宋" w:hAnsi="仿宋" w:eastAsia="仿宋" w:cs="仿宋"/>
          <w:sz w:val="32"/>
          <w:szCs w:val="32"/>
          <w:lang w:val="en-US" w:eastAsia="zh-CN"/>
        </w:rPr>
        <w:t>建筑垃圾回收处理制砖</w:t>
      </w:r>
      <w:r>
        <w:rPr>
          <w:rFonts w:hint="eastAsia" w:ascii="仿宋" w:hAnsi="仿宋" w:eastAsia="仿宋" w:cs="仿宋"/>
          <w:sz w:val="32"/>
          <w:szCs w:val="32"/>
          <w:lang w:val="en-US"/>
        </w:rPr>
        <w:t>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val="en-US"/>
        </w:rPr>
        <w:t>北皋镇魏后村北地大牙线688号</w:t>
      </w:r>
      <w:r>
        <w:rPr>
          <w:rFonts w:hint="eastAsia" w:ascii="仿宋" w:hAnsi="仿宋" w:eastAsia="仿宋" w:cs="仿宋"/>
          <w:sz w:val="32"/>
          <w:szCs w:val="32"/>
        </w:rPr>
        <w:t>，厂址中心地理坐标为北3</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753</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48</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val="en-US" w:eastAsia="zh-CN"/>
        </w:rPr>
        <w:t>846</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z w:val="32"/>
          <w:szCs w:val="32"/>
          <w:lang w:eastAsia="zh-CN"/>
        </w:rPr>
        <w:t>占地</w:t>
      </w:r>
      <w:r>
        <w:rPr>
          <w:rFonts w:hint="eastAsia" w:ascii="仿宋" w:hAnsi="仿宋" w:eastAsia="仿宋" w:cs="仿宋"/>
          <w:sz w:val="32"/>
          <w:szCs w:val="32"/>
          <w:lang w:val="en-US" w:eastAsia="zh-CN"/>
        </w:rPr>
        <w:t>3959.96㎡（约5.94亩），总建筑面积2460㎡，主要建设建筑垃圾破碎车间、建筑垃圾制砖车间、办公用房及其他配套附属用房，购置及安装48台（套）设备。年回收处理8000吨建筑垃圾，主要产品为建筑垃圾制砖1600万块。</w:t>
      </w:r>
      <w:r>
        <w:rPr>
          <w:rFonts w:hint="default" w:ascii="仿宋" w:hAnsi="仿宋" w:eastAsia="仿宋" w:cs="仿宋"/>
          <w:sz w:val="32"/>
          <w:szCs w:val="32"/>
        </w:rPr>
        <w:t>总投资</w:t>
      </w:r>
      <w:r>
        <w:rPr>
          <w:rFonts w:hint="eastAsia" w:ascii="仿宋" w:hAnsi="仿宋" w:eastAsia="仿宋" w:cs="仿宋"/>
          <w:sz w:val="32"/>
          <w:szCs w:val="32"/>
          <w:lang w:val="en-US" w:eastAsia="zh-CN"/>
        </w:rPr>
        <w:t>1200万元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35</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2.9</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河北铭理环保工程有限公司</w:t>
      </w:r>
      <w:r>
        <w:rPr>
          <w:rFonts w:hint="eastAsia" w:ascii="仿宋" w:hAnsi="仿宋" w:eastAsia="仿宋" w:cs="仿宋"/>
          <w:sz w:val="32"/>
          <w:szCs w:val="32"/>
        </w:rPr>
        <w:t>编制的《</w:t>
      </w:r>
      <w:r>
        <w:rPr>
          <w:rFonts w:hint="eastAsia" w:ascii="仿宋" w:hAnsi="仿宋" w:eastAsia="仿宋" w:cs="仿宋"/>
          <w:sz w:val="32"/>
          <w:szCs w:val="32"/>
          <w:lang w:val="en-US"/>
        </w:rPr>
        <w:t>魏县</w:t>
      </w:r>
      <w:r>
        <w:rPr>
          <w:rFonts w:hint="eastAsia" w:ascii="仿宋" w:hAnsi="仿宋" w:eastAsia="仿宋" w:cs="仿宋"/>
          <w:sz w:val="32"/>
          <w:szCs w:val="32"/>
          <w:lang w:val="en-US" w:eastAsia="zh-CN"/>
        </w:rPr>
        <w:t>辉腾</w:t>
      </w:r>
      <w:r>
        <w:rPr>
          <w:rFonts w:hint="eastAsia" w:ascii="仿宋" w:hAnsi="仿宋" w:eastAsia="仿宋" w:cs="仿宋"/>
          <w:sz w:val="32"/>
          <w:szCs w:val="32"/>
          <w:lang w:val="en-US"/>
        </w:rPr>
        <w:t>建筑材料有限公司</w:t>
      </w:r>
      <w:r>
        <w:rPr>
          <w:rFonts w:hint="eastAsia" w:ascii="仿宋" w:hAnsi="仿宋" w:eastAsia="仿宋" w:cs="仿宋"/>
          <w:sz w:val="32"/>
          <w:szCs w:val="32"/>
          <w:lang w:val="en-US" w:eastAsia="zh-CN"/>
        </w:rPr>
        <w:t>建筑垃圾回收处理制砖</w:t>
      </w:r>
      <w:r>
        <w:rPr>
          <w:rFonts w:hint="eastAsia" w:ascii="仿宋" w:hAnsi="仿宋" w:eastAsia="仿宋" w:cs="仿宋"/>
          <w:sz w:val="32"/>
          <w:szCs w:val="32"/>
          <w:lang w:val="en-US"/>
        </w:rPr>
        <w:t>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有组织</w:t>
      </w:r>
      <w:r>
        <w:rPr>
          <w:rFonts w:hint="eastAsia" w:ascii="仿宋" w:hAnsi="仿宋" w:eastAsia="仿宋" w:cs="仿宋"/>
          <w:sz w:val="32"/>
          <w:szCs w:val="32"/>
          <w:lang w:eastAsia="zh-CN"/>
        </w:rPr>
        <w:t>废气</w:t>
      </w:r>
      <w:r>
        <w:rPr>
          <w:rFonts w:hint="default" w:ascii="仿宋" w:hAnsi="仿宋" w:eastAsia="仿宋" w:cs="仿宋"/>
          <w:sz w:val="32"/>
          <w:szCs w:val="32"/>
          <w:lang w:eastAsia="zh-CN"/>
        </w:rPr>
        <w:t>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上料、破碎、磁选、筛分粉尘、粉料入罐废气、骨料上料废气、计量、搅拌等废气。建筑垃圾处理</w:t>
      </w:r>
      <w:r>
        <w:rPr>
          <w:rFonts w:hint="default" w:ascii="仿宋" w:hAnsi="仿宋" w:eastAsia="仿宋" w:cs="仿宋"/>
          <w:sz w:val="32"/>
          <w:szCs w:val="32"/>
          <w:lang w:val="en-US" w:eastAsia="zh-CN"/>
        </w:rPr>
        <w:t>生产</w:t>
      </w:r>
      <w:r>
        <w:rPr>
          <w:rFonts w:hint="eastAsia" w:ascii="仿宋" w:hAnsi="仿宋" w:eastAsia="仿宋" w:cs="仿宋"/>
          <w:sz w:val="32"/>
          <w:szCs w:val="32"/>
          <w:lang w:val="en-US" w:eastAsia="zh-CN"/>
        </w:rPr>
        <w:t>单元</w:t>
      </w:r>
      <w:r>
        <w:rPr>
          <w:rFonts w:hint="eastAsia" w:ascii="仿宋" w:hAnsi="仿宋" w:eastAsia="仿宋" w:cs="仿宋"/>
          <w:sz w:val="32"/>
          <w:szCs w:val="32"/>
          <w:lang w:val="en-US"/>
        </w:rPr>
        <w:t>经集气</w:t>
      </w:r>
      <w:r>
        <w:rPr>
          <w:rFonts w:hint="eastAsia" w:ascii="仿宋" w:hAnsi="仿宋" w:eastAsia="仿宋" w:cs="仿宋"/>
          <w:sz w:val="32"/>
          <w:szCs w:val="32"/>
          <w:lang w:val="en-US" w:eastAsia="zh-CN"/>
        </w:rPr>
        <w:t>罩</w:t>
      </w:r>
      <w:r>
        <w:rPr>
          <w:rFonts w:hint="eastAsia" w:ascii="仿宋" w:hAnsi="仿宋" w:eastAsia="仿宋" w:cs="仿宋"/>
          <w:sz w:val="32"/>
          <w:szCs w:val="32"/>
          <w:lang w:val="en-US"/>
        </w:rPr>
        <w:t>收集后，由1套布袋除尘器处理，后经排气筒外排</w:t>
      </w:r>
      <w:r>
        <w:rPr>
          <w:rFonts w:hint="eastAsia" w:ascii="仿宋" w:hAnsi="仿宋" w:eastAsia="仿宋" w:cs="仿宋"/>
          <w:sz w:val="32"/>
          <w:szCs w:val="32"/>
          <w:lang w:val="en-US" w:eastAsia="zh-CN"/>
        </w:rPr>
        <w:t>；水泥、粉料均采用储料罐储存，每个罐顶部自带1套布袋除尘器，处理后由罐顶排放；</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骨料卸料斗</w:t>
      </w:r>
      <w:r>
        <w:rPr>
          <w:rFonts w:hint="default" w:ascii="仿宋" w:hAnsi="仿宋" w:eastAsia="仿宋" w:cs="仿宋"/>
          <w:sz w:val="32"/>
          <w:szCs w:val="32"/>
          <w:lang w:val="en-US" w:eastAsia="zh-CN"/>
        </w:rPr>
        <w:t>上方设置集气罩，产生的废气经集气罩收集至布袋除尘器处理后，通过排气筒排放</w:t>
      </w:r>
      <w:r>
        <w:rPr>
          <w:rFonts w:hint="eastAsia" w:ascii="仿宋" w:hAnsi="仿宋" w:eastAsia="仿宋" w:cs="仿宋"/>
          <w:sz w:val="32"/>
          <w:szCs w:val="32"/>
          <w:lang w:val="en-US" w:eastAsia="zh-CN"/>
        </w:rPr>
        <w:t>；各搅拌机呼吸口上方自带一套布袋除尘器，用于收集搅拌、计量废气，通过密闭通风管道直接连接仓体，计量配料、搅拌产生的废气均经布袋除尘器处理后，通过排气筒排放，满足《大气污染物综合排放标准》（GB16297-1996）表2中颗粒物二级排放标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无组织废气为</w:t>
      </w:r>
      <w:r>
        <w:rPr>
          <w:rFonts w:hint="default" w:ascii="仿宋" w:hAnsi="仿宋" w:eastAsia="仿宋" w:cs="仿宋"/>
          <w:sz w:val="32"/>
          <w:szCs w:val="32"/>
          <w:lang w:val="en-US" w:eastAsia="zh-CN"/>
        </w:rPr>
        <w:t>未被集气罩收集的颗粒物。采取厂房密闭、泼洒抑尘的措施后，</w:t>
      </w:r>
      <w:r>
        <w:rPr>
          <w:rFonts w:hint="eastAsia" w:ascii="仿宋" w:hAnsi="仿宋" w:eastAsia="仿宋" w:cs="仿宋"/>
          <w:sz w:val="32"/>
          <w:szCs w:val="32"/>
          <w:lang w:val="en-US" w:eastAsia="zh-CN"/>
        </w:rPr>
        <w:t>满足</w:t>
      </w:r>
      <w:r>
        <w:rPr>
          <w:rFonts w:hint="eastAsia" w:ascii="仿宋" w:hAnsi="仿宋" w:eastAsia="仿宋" w:cs="仿宋"/>
          <w:sz w:val="32"/>
          <w:szCs w:val="32"/>
          <w:lang w:val="en-US"/>
        </w:rPr>
        <w:t>河北省地方标准《水泥工业大气污染物超低排放标准》（DB13/2167-2020）表2无组织排放限值标准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w:t>
      </w:r>
      <w:r>
        <w:rPr>
          <w:rFonts w:hint="eastAsia" w:ascii="仿宋" w:hAnsi="仿宋" w:eastAsia="仿宋" w:cs="仿宋"/>
          <w:sz w:val="32"/>
          <w:szCs w:val="32"/>
          <w:lang w:val="en-US"/>
        </w:rPr>
        <w:t>为</w:t>
      </w:r>
      <w:r>
        <w:rPr>
          <w:rFonts w:hint="eastAsia" w:ascii="仿宋" w:hAnsi="仿宋" w:eastAsia="仿宋" w:cs="仿宋"/>
          <w:sz w:val="32"/>
          <w:szCs w:val="32"/>
          <w:lang w:val="en-US" w:eastAsia="zh-CN"/>
        </w:rPr>
        <w:t>生活污水及清洗废水。</w:t>
      </w:r>
      <w:r>
        <w:rPr>
          <w:rFonts w:hint="default" w:ascii="仿宋" w:hAnsi="仿宋" w:eastAsia="仿宋" w:cs="仿宋"/>
          <w:sz w:val="32"/>
          <w:szCs w:val="32"/>
          <w:lang w:val="en-US" w:eastAsia="zh-CN"/>
        </w:rPr>
        <w:t>职工生活污水用于厂区泼洒抑尘，厂区设防渗旱厕，定期清掏</w:t>
      </w:r>
      <w:r>
        <w:rPr>
          <w:rFonts w:hint="eastAsia" w:ascii="仿宋" w:hAnsi="仿宋" w:eastAsia="仿宋" w:cs="仿宋"/>
          <w:sz w:val="32"/>
          <w:szCs w:val="32"/>
          <w:lang w:val="en-US" w:eastAsia="zh-CN"/>
        </w:rPr>
        <w:t>；车辆冲洗废水经车辆冲洗沉淀池沉淀后，回用于车辆冲洗，设备清洗废水经泥沙分离后排入设备清洗沉淀池沉淀处理，回用于建筑材料拌合用水</w:t>
      </w:r>
      <w:r>
        <w:rPr>
          <w:rFonts w:hint="default" w:ascii="仿宋" w:hAnsi="仿宋" w:eastAsia="仿宋" w:cs="仿宋"/>
          <w:sz w:val="32"/>
          <w:szCs w:val="32"/>
          <w:lang w:val="en-US" w:eastAsia="zh-CN"/>
        </w:rPr>
        <w:t>，不外排。</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（3）噪声：该项目噪声污染主要为</w:t>
      </w:r>
      <w:r>
        <w:rPr>
          <w:rFonts w:hint="default" w:ascii="仿宋" w:hAnsi="仿宋" w:eastAsia="仿宋" w:cs="仿宋"/>
          <w:sz w:val="32"/>
          <w:szCs w:val="32"/>
          <w:lang w:val="en-US" w:eastAsia="zh-CN"/>
        </w:rPr>
        <w:t>各生产工序设备运行时产生的噪声</w:t>
      </w:r>
      <w:r>
        <w:rPr>
          <w:rFonts w:hint="eastAsia" w:ascii="仿宋" w:hAnsi="仿宋" w:eastAsia="仿宋" w:cs="仿宋"/>
          <w:sz w:val="32"/>
          <w:szCs w:val="32"/>
          <w:lang w:eastAsia="zh-CN"/>
        </w:rPr>
        <w:t>。通过选用加装基础减振、设备置于厂房内等措施，并经距离衰减，</w:t>
      </w:r>
      <w:r>
        <w:rPr>
          <w:rFonts w:hint="default" w:ascii="仿宋" w:hAnsi="仿宋" w:eastAsia="仿宋" w:cs="仿宋"/>
          <w:sz w:val="32"/>
          <w:szCs w:val="32"/>
          <w:lang w:val="en-US" w:eastAsia="zh-CN"/>
        </w:rPr>
        <w:t>满足《工业企业厂界环境噪声排放标准》（GB 12348-2008）</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类标准。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（4）固体废物：该项目固体废物主要</w:t>
      </w:r>
      <w:r>
        <w:rPr>
          <w:rFonts w:hint="eastAsia" w:ascii="仿宋" w:hAnsi="仿宋" w:eastAsia="仿宋" w:cs="仿宋"/>
          <w:sz w:val="32"/>
          <w:szCs w:val="32"/>
        </w:rPr>
        <w:t>为</w:t>
      </w:r>
      <w:r>
        <w:rPr>
          <w:rFonts w:hint="eastAsia" w:ascii="仿宋" w:hAnsi="仿宋" w:eastAsia="仿宋" w:cs="仿宋"/>
          <w:sz w:val="32"/>
          <w:szCs w:val="32"/>
          <w:lang w:val="en-US" w:eastAsia="zh-CN"/>
        </w:rPr>
        <w:t>生活垃圾、废钢铁、泥饼、除尘灰、废砖坯、砼渣、废包装桶、废机油、废油桶</w:t>
      </w:r>
      <w:r>
        <w:rPr>
          <w:rFonts w:hint="eastAsia" w:ascii="仿宋" w:hAnsi="仿宋" w:eastAsia="仿宋" w:cs="仿宋"/>
          <w:sz w:val="32"/>
          <w:szCs w:val="32"/>
        </w:rPr>
        <w:t>。</w:t>
      </w:r>
      <w:r>
        <w:rPr>
          <w:rFonts w:hint="eastAsia" w:ascii="仿宋" w:hAnsi="仿宋" w:eastAsia="仿宋" w:cs="仿宋"/>
          <w:sz w:val="32"/>
          <w:szCs w:val="32"/>
          <w:lang w:val="en-US"/>
        </w:rPr>
        <w:t>生活垃圾集中收集后交由环卫部门清运</w:t>
      </w:r>
      <w:r>
        <w:rPr>
          <w:rFonts w:hint="eastAsia" w:ascii="仿宋" w:hAnsi="仿宋" w:eastAsia="仿宋" w:cs="仿宋"/>
          <w:sz w:val="32"/>
          <w:szCs w:val="32"/>
          <w:lang w:val="en-US" w:eastAsia="zh-CN"/>
        </w:rPr>
        <w:t>；废钢铁、泥饼、废包装桶集中收集后外售处理；</w:t>
      </w:r>
      <w:r>
        <w:rPr>
          <w:rFonts w:hint="eastAsia" w:ascii="仿宋" w:hAnsi="仿宋" w:eastAsia="仿宋" w:cs="仿宋"/>
          <w:sz w:val="32"/>
          <w:szCs w:val="32"/>
          <w:lang w:val="en-US"/>
        </w:rPr>
        <w:t>废</w:t>
      </w:r>
      <w:r>
        <w:rPr>
          <w:rFonts w:hint="eastAsia" w:ascii="仿宋" w:hAnsi="仿宋" w:eastAsia="仿宋" w:cs="仿宋"/>
          <w:sz w:val="32"/>
          <w:szCs w:val="32"/>
          <w:lang w:val="en-US" w:eastAsia="zh-CN"/>
        </w:rPr>
        <w:t>砖坯、除尘灰、砼渣集中收集后回用于生产；废机油、废油桶</w:t>
      </w:r>
      <w:r>
        <w:rPr>
          <w:rFonts w:hint="default" w:ascii="仿宋" w:hAnsi="仿宋" w:eastAsia="仿宋" w:cs="仿宋"/>
          <w:sz w:val="32"/>
          <w:szCs w:val="32"/>
          <w:lang w:val="en-US" w:eastAsia="zh-CN"/>
        </w:rPr>
        <w:t>暂存于危废间，定期由资质单位处置。</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20" w:lineRule="exact"/>
        <w:ind w:firstLine="6080" w:firstLineChars="19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ilvl w:val="3"/>
          <w:numId w:val="0"/>
        </w:numPr>
        <w:ind w:leftChars="0"/>
      </w:pPr>
    </w:p>
    <w:p/>
    <w:p>
      <w:pPr>
        <w:pStyle w:val="3"/>
        <w:numPr>
          <w:numId w:val="0"/>
        </w:numPr>
        <w:ind w:leftChars="0"/>
      </w:pPr>
      <w:bookmarkStart w:id="0" w:name="_GoBack"/>
      <w:bookmarkEnd w:id="0"/>
    </w:p>
    <w:p>
      <w:pPr>
        <w:pStyle w:val="3"/>
        <w:numPr>
          <w:ilvl w:val="3"/>
          <w:numId w:val="0"/>
        </w:numPr>
        <w:ind w:leftChars="0"/>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6A52C3"/>
    <w:rsid w:val="01F52905"/>
    <w:rsid w:val="0221640D"/>
    <w:rsid w:val="026779BA"/>
    <w:rsid w:val="03577A2F"/>
    <w:rsid w:val="03A73B31"/>
    <w:rsid w:val="03A95C09"/>
    <w:rsid w:val="0408709E"/>
    <w:rsid w:val="06341C63"/>
    <w:rsid w:val="071C536B"/>
    <w:rsid w:val="073F684F"/>
    <w:rsid w:val="07490707"/>
    <w:rsid w:val="081B54CF"/>
    <w:rsid w:val="08250323"/>
    <w:rsid w:val="082E31FF"/>
    <w:rsid w:val="08514A4D"/>
    <w:rsid w:val="088705E1"/>
    <w:rsid w:val="09F73A01"/>
    <w:rsid w:val="0A9D106A"/>
    <w:rsid w:val="0BE5207C"/>
    <w:rsid w:val="0BEF4CA9"/>
    <w:rsid w:val="0C1E3C7C"/>
    <w:rsid w:val="0C68597E"/>
    <w:rsid w:val="0F1C2311"/>
    <w:rsid w:val="0F342781"/>
    <w:rsid w:val="0F5B2655"/>
    <w:rsid w:val="0FA77015"/>
    <w:rsid w:val="10344A2F"/>
    <w:rsid w:val="104E5D16"/>
    <w:rsid w:val="11DD1A47"/>
    <w:rsid w:val="12172001"/>
    <w:rsid w:val="12A62C58"/>
    <w:rsid w:val="12AB7149"/>
    <w:rsid w:val="14491426"/>
    <w:rsid w:val="14863CD0"/>
    <w:rsid w:val="14B93139"/>
    <w:rsid w:val="14D017C6"/>
    <w:rsid w:val="157E222F"/>
    <w:rsid w:val="15D920DD"/>
    <w:rsid w:val="15E47D74"/>
    <w:rsid w:val="16234A1C"/>
    <w:rsid w:val="16F01DBA"/>
    <w:rsid w:val="171D7411"/>
    <w:rsid w:val="17510115"/>
    <w:rsid w:val="189D783A"/>
    <w:rsid w:val="18D5309D"/>
    <w:rsid w:val="18DC4807"/>
    <w:rsid w:val="19415BB3"/>
    <w:rsid w:val="196F567B"/>
    <w:rsid w:val="19895A0E"/>
    <w:rsid w:val="1B5D7D38"/>
    <w:rsid w:val="1CB8213D"/>
    <w:rsid w:val="1D4806BC"/>
    <w:rsid w:val="1D97314A"/>
    <w:rsid w:val="1D9E4570"/>
    <w:rsid w:val="1DC91F08"/>
    <w:rsid w:val="1E14059F"/>
    <w:rsid w:val="1E4F7829"/>
    <w:rsid w:val="1EDB7AB9"/>
    <w:rsid w:val="1F5350F7"/>
    <w:rsid w:val="1FF468DA"/>
    <w:rsid w:val="20C91B14"/>
    <w:rsid w:val="20E03FCA"/>
    <w:rsid w:val="20F90A4D"/>
    <w:rsid w:val="210508C0"/>
    <w:rsid w:val="21AF7885"/>
    <w:rsid w:val="22456F79"/>
    <w:rsid w:val="23CF475F"/>
    <w:rsid w:val="23EF1892"/>
    <w:rsid w:val="252F5CBE"/>
    <w:rsid w:val="25645A32"/>
    <w:rsid w:val="266A0264"/>
    <w:rsid w:val="267B565F"/>
    <w:rsid w:val="268A2C2C"/>
    <w:rsid w:val="271D64A4"/>
    <w:rsid w:val="27EB05C2"/>
    <w:rsid w:val="28EC3676"/>
    <w:rsid w:val="2902261B"/>
    <w:rsid w:val="2A24600D"/>
    <w:rsid w:val="2B944ACD"/>
    <w:rsid w:val="2C761C34"/>
    <w:rsid w:val="2C9C632F"/>
    <w:rsid w:val="2D1D3C71"/>
    <w:rsid w:val="2D7D5B52"/>
    <w:rsid w:val="2D946C24"/>
    <w:rsid w:val="2E2D6C30"/>
    <w:rsid w:val="2E434E08"/>
    <w:rsid w:val="2EA80FBB"/>
    <w:rsid w:val="2EF56638"/>
    <w:rsid w:val="2F7C7165"/>
    <w:rsid w:val="302D7D87"/>
    <w:rsid w:val="30CE6CD3"/>
    <w:rsid w:val="315342D5"/>
    <w:rsid w:val="31736B48"/>
    <w:rsid w:val="31E3230A"/>
    <w:rsid w:val="31ED4F37"/>
    <w:rsid w:val="33233306"/>
    <w:rsid w:val="334F68F9"/>
    <w:rsid w:val="34A30F22"/>
    <w:rsid w:val="353A0493"/>
    <w:rsid w:val="35AE5EF3"/>
    <w:rsid w:val="35B53FBD"/>
    <w:rsid w:val="35B62865"/>
    <w:rsid w:val="36BC2C7D"/>
    <w:rsid w:val="372633C5"/>
    <w:rsid w:val="379E634E"/>
    <w:rsid w:val="37AD4EFB"/>
    <w:rsid w:val="37FF6C2C"/>
    <w:rsid w:val="38B24769"/>
    <w:rsid w:val="3932390E"/>
    <w:rsid w:val="39B20F40"/>
    <w:rsid w:val="3A921C8B"/>
    <w:rsid w:val="3B0E71CE"/>
    <w:rsid w:val="3B6E30B9"/>
    <w:rsid w:val="3BD62901"/>
    <w:rsid w:val="3C1D3DCC"/>
    <w:rsid w:val="3C326368"/>
    <w:rsid w:val="3C8E4303"/>
    <w:rsid w:val="3C94492D"/>
    <w:rsid w:val="3CFC0C01"/>
    <w:rsid w:val="3D0C0B50"/>
    <w:rsid w:val="3DDF4B52"/>
    <w:rsid w:val="3E0A2CD6"/>
    <w:rsid w:val="3E1302DE"/>
    <w:rsid w:val="3E7120FF"/>
    <w:rsid w:val="3E973002"/>
    <w:rsid w:val="3ED41958"/>
    <w:rsid w:val="401F6C03"/>
    <w:rsid w:val="41127513"/>
    <w:rsid w:val="420B5DF7"/>
    <w:rsid w:val="4311484D"/>
    <w:rsid w:val="4383232B"/>
    <w:rsid w:val="43942C39"/>
    <w:rsid w:val="43A7763B"/>
    <w:rsid w:val="43B104BA"/>
    <w:rsid w:val="44980645"/>
    <w:rsid w:val="44B329FD"/>
    <w:rsid w:val="45835E86"/>
    <w:rsid w:val="45943BEF"/>
    <w:rsid w:val="459B4F7E"/>
    <w:rsid w:val="45A85219"/>
    <w:rsid w:val="45E306D3"/>
    <w:rsid w:val="4694586B"/>
    <w:rsid w:val="46BB51AC"/>
    <w:rsid w:val="47746782"/>
    <w:rsid w:val="47BF2A01"/>
    <w:rsid w:val="4808354F"/>
    <w:rsid w:val="482A5495"/>
    <w:rsid w:val="48E15D3D"/>
    <w:rsid w:val="48FD2A6B"/>
    <w:rsid w:val="49380D36"/>
    <w:rsid w:val="493A5F72"/>
    <w:rsid w:val="4940719A"/>
    <w:rsid w:val="4A8F5C2D"/>
    <w:rsid w:val="4AB132DC"/>
    <w:rsid w:val="4AF55130"/>
    <w:rsid w:val="4B1D4687"/>
    <w:rsid w:val="4B323DF0"/>
    <w:rsid w:val="4C4646E8"/>
    <w:rsid w:val="4C473D74"/>
    <w:rsid w:val="4CB701C3"/>
    <w:rsid w:val="4CD45776"/>
    <w:rsid w:val="4CDD4C2C"/>
    <w:rsid w:val="4E231FB4"/>
    <w:rsid w:val="4E50267E"/>
    <w:rsid w:val="4E5A52AA"/>
    <w:rsid w:val="4E610056"/>
    <w:rsid w:val="4EF77B4F"/>
    <w:rsid w:val="4F9405D8"/>
    <w:rsid w:val="508F3EE3"/>
    <w:rsid w:val="50B92BBB"/>
    <w:rsid w:val="522B3DE7"/>
    <w:rsid w:val="52675F4B"/>
    <w:rsid w:val="527A0EDB"/>
    <w:rsid w:val="52C443BD"/>
    <w:rsid w:val="53E73FF6"/>
    <w:rsid w:val="53F72BDF"/>
    <w:rsid w:val="55313209"/>
    <w:rsid w:val="553C3160"/>
    <w:rsid w:val="55ED402C"/>
    <w:rsid w:val="56197C92"/>
    <w:rsid w:val="56951575"/>
    <w:rsid w:val="56ED558D"/>
    <w:rsid w:val="56FB3ACE"/>
    <w:rsid w:val="57636D42"/>
    <w:rsid w:val="57A52ED3"/>
    <w:rsid w:val="58102F39"/>
    <w:rsid w:val="581771D9"/>
    <w:rsid w:val="586B41A9"/>
    <w:rsid w:val="58BE1257"/>
    <w:rsid w:val="593E4146"/>
    <w:rsid w:val="59590F80"/>
    <w:rsid w:val="599D5C82"/>
    <w:rsid w:val="59C74CE3"/>
    <w:rsid w:val="5AB521E6"/>
    <w:rsid w:val="5ACC6324"/>
    <w:rsid w:val="5AF0321E"/>
    <w:rsid w:val="5B5B0FE0"/>
    <w:rsid w:val="5BBC6D3C"/>
    <w:rsid w:val="5D041EC4"/>
    <w:rsid w:val="5D7C523D"/>
    <w:rsid w:val="5F6E3C7C"/>
    <w:rsid w:val="5FB21779"/>
    <w:rsid w:val="6029733F"/>
    <w:rsid w:val="60B701F1"/>
    <w:rsid w:val="60D93792"/>
    <w:rsid w:val="611C590E"/>
    <w:rsid w:val="620852F1"/>
    <w:rsid w:val="623460E6"/>
    <w:rsid w:val="632A1297"/>
    <w:rsid w:val="636020F8"/>
    <w:rsid w:val="63655EDA"/>
    <w:rsid w:val="636F67E9"/>
    <w:rsid w:val="63CA359B"/>
    <w:rsid w:val="63E43B3C"/>
    <w:rsid w:val="64095351"/>
    <w:rsid w:val="643D1829"/>
    <w:rsid w:val="64550596"/>
    <w:rsid w:val="65222343"/>
    <w:rsid w:val="65811B40"/>
    <w:rsid w:val="658D21DE"/>
    <w:rsid w:val="661B486E"/>
    <w:rsid w:val="663C37BC"/>
    <w:rsid w:val="665D4A77"/>
    <w:rsid w:val="66692B11"/>
    <w:rsid w:val="66A7176F"/>
    <w:rsid w:val="66E4190D"/>
    <w:rsid w:val="678D2B87"/>
    <w:rsid w:val="67F02AB0"/>
    <w:rsid w:val="68464DC5"/>
    <w:rsid w:val="68A45648"/>
    <w:rsid w:val="68F410D0"/>
    <w:rsid w:val="68FD3A45"/>
    <w:rsid w:val="6914700F"/>
    <w:rsid w:val="69362744"/>
    <w:rsid w:val="6AD519BD"/>
    <w:rsid w:val="6CB5251A"/>
    <w:rsid w:val="6DDB5FB0"/>
    <w:rsid w:val="6E7903C8"/>
    <w:rsid w:val="6E8548FA"/>
    <w:rsid w:val="6E9E39D6"/>
    <w:rsid w:val="706109EE"/>
    <w:rsid w:val="70817FDC"/>
    <w:rsid w:val="70A40A18"/>
    <w:rsid w:val="70C525FF"/>
    <w:rsid w:val="70E5575F"/>
    <w:rsid w:val="718928E9"/>
    <w:rsid w:val="7231799F"/>
    <w:rsid w:val="7312139A"/>
    <w:rsid w:val="73234838"/>
    <w:rsid w:val="742F2BB2"/>
    <w:rsid w:val="74DD0860"/>
    <w:rsid w:val="74EE481B"/>
    <w:rsid w:val="75292FF9"/>
    <w:rsid w:val="766D79C1"/>
    <w:rsid w:val="77387F1B"/>
    <w:rsid w:val="77DA1086"/>
    <w:rsid w:val="784939F7"/>
    <w:rsid w:val="79531210"/>
    <w:rsid w:val="79F20909"/>
    <w:rsid w:val="7A295A6E"/>
    <w:rsid w:val="7A6D77BE"/>
    <w:rsid w:val="7AB57A3E"/>
    <w:rsid w:val="7AE665D2"/>
    <w:rsid w:val="7C273A6C"/>
    <w:rsid w:val="7D24527D"/>
    <w:rsid w:val="7D290CA7"/>
    <w:rsid w:val="7D403AF7"/>
    <w:rsid w:val="7D722603"/>
    <w:rsid w:val="7DA755D6"/>
    <w:rsid w:val="7DCB56F9"/>
    <w:rsid w:val="7DCE6E56"/>
    <w:rsid w:val="7E7F1C99"/>
    <w:rsid w:val="7E9F3091"/>
    <w:rsid w:val="7F0A587D"/>
    <w:rsid w:val="7F5F024F"/>
    <w:rsid w:val="7F9922F7"/>
    <w:rsid w:val="7F9E4FC7"/>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next w:val="12"/>
    <w:qFormat/>
    <w:uiPriority w:val="0"/>
    <w:pPr>
      <w:spacing w:line="480" w:lineRule="exact"/>
      <w:ind w:firstLine="570"/>
    </w:pPr>
    <w:rPr>
      <w:sz w:val="28"/>
    </w:rPr>
  </w:style>
  <w:style w:type="paragraph" w:customStyle="1" w:styleId="12">
    <w:name w:val="reader-word-layer reader-word-s46-2"/>
    <w:basedOn w:val="1"/>
    <w:next w:val="13"/>
    <w:qFormat/>
    <w:uiPriority w:val="0"/>
    <w:pPr>
      <w:widowControl/>
      <w:spacing w:before="280" w:after="280" w:line="240" w:lineRule="auto"/>
    </w:pPr>
    <w:rPr>
      <w:rFonts w:ascii="宋体"/>
    </w:rPr>
  </w:style>
  <w:style w:type="paragraph" w:customStyle="1" w:styleId="13">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2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toc 2"/>
    <w:basedOn w:val="1"/>
    <w:next w:val="1"/>
    <w:qFormat/>
    <w:uiPriority w:val="0"/>
    <w:pPr>
      <w:ind w:left="420" w:leftChars="200"/>
    </w:pPr>
  </w:style>
  <w:style w:type="paragraph" w:styleId="17">
    <w:name w:val="Body Text First Indent 2"/>
    <w:basedOn w:val="5"/>
    <w:next w:val="1"/>
    <w:qFormat/>
    <w:uiPriority w:val="0"/>
    <w:pPr>
      <w:spacing w:line="240" w:lineRule="auto"/>
      <w:ind w:left="420" w:leftChars="200" w:firstLine="420" w:firstLineChars="200"/>
    </w:pPr>
    <w:rPr>
      <w:sz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20"/>
    <w:link w:val="14"/>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0">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1689</Words>
  <Characters>1773</Characters>
  <Lines>9</Lines>
  <Paragraphs>2</Paragraphs>
  <TotalTime>1</TotalTime>
  <ScaleCrop>false</ScaleCrop>
  <LinksUpToDate>false</LinksUpToDate>
  <CharactersWithSpaces>1774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2023-07-27T08:33:00Z</cp:lastPrinted>
  <dcterms:modified xsi:type="dcterms:W3CDTF">2023-09-06T06:12:42Z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1D70FFC281D348D185C8BBCFCED65523</vt:lpwstr>
  </property>
</Properties>
</file>