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rPr>
          <w:sz w:val="28"/>
          <w:szCs w:val="28"/>
        </w:rPr>
      </w:pPr>
      <w:r>
        <w:rPr>
          <w:rFonts w:ascii="方正楷体_GBK" w:hAnsi="方正楷体_GBK" w:eastAsia="方正楷体_GBK" w:cs="方正楷体_GBK"/>
          <w:b/>
          <w:color w:val="000000"/>
          <w:sz w:val="32"/>
          <w:szCs w:val="28"/>
        </w:rPr>
        <w:t>部门预算公开表</w:t>
      </w:r>
    </w:p>
    <w:p>
      <w:pPr>
        <w:pStyle w:val="5"/>
        <w:tabs>
          <w:tab w:val="right" w:leader="dot" w:pos="14572"/>
        </w:tabs>
        <w:rPr>
          <w:sz w:val="28"/>
          <w:szCs w:val="28"/>
        </w:rPr>
      </w:pPr>
      <w:r>
        <w:rPr>
          <w:sz w:val="28"/>
          <w:szCs w:val="28"/>
        </w:rPr>
        <w:fldChar w:fldCharType="begin"/>
      </w:r>
      <w:r>
        <w:rPr>
          <w:sz w:val="28"/>
          <w:szCs w:val="28"/>
        </w:rPr>
        <w:instrText xml:space="preserve">TOC \o "2-2" \h \z \u</w:instrText>
      </w:r>
      <w:r>
        <w:rPr>
          <w:sz w:val="28"/>
          <w:szCs w:val="28"/>
        </w:rPr>
        <w:fldChar w:fldCharType="separate"/>
      </w:r>
      <w:r>
        <w:rPr>
          <w:sz w:val="28"/>
          <w:szCs w:val="28"/>
        </w:rPr>
        <w:fldChar w:fldCharType="begin"/>
      </w:r>
      <w:r>
        <w:rPr>
          <w:sz w:val="28"/>
          <w:szCs w:val="28"/>
        </w:rPr>
        <w:instrText xml:space="preserve"> HYPERLINK \l _Toc31833 </w:instrText>
      </w:r>
      <w:r>
        <w:rPr>
          <w:sz w:val="28"/>
          <w:szCs w:val="28"/>
        </w:rPr>
        <w:fldChar w:fldCharType="separate"/>
      </w:r>
      <w:r>
        <w:rPr>
          <w:rFonts w:ascii="方正小标宋_GBK" w:hAnsi="方正小标宋_GBK" w:eastAsia="方正小标宋_GBK" w:cs="方正小标宋_GBK"/>
          <w:sz w:val="28"/>
          <w:szCs w:val="28"/>
        </w:rPr>
        <w:t>部门预算收支总表</w:t>
      </w:r>
      <w:r>
        <w:rPr>
          <w:sz w:val="28"/>
          <w:szCs w:val="28"/>
        </w:rPr>
        <w:tab/>
      </w:r>
      <w:r>
        <w:rPr>
          <w:sz w:val="28"/>
          <w:szCs w:val="28"/>
        </w:rPr>
        <w:fldChar w:fldCharType="begin"/>
      </w:r>
      <w:r>
        <w:rPr>
          <w:sz w:val="28"/>
          <w:szCs w:val="28"/>
        </w:rPr>
        <w:instrText xml:space="preserve"> PAGEREF _Toc31833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5"/>
        <w:tabs>
          <w:tab w:val="right" w:leader="dot" w:pos="14572"/>
        </w:tabs>
        <w:rPr>
          <w:sz w:val="28"/>
          <w:szCs w:val="28"/>
        </w:rPr>
      </w:pPr>
      <w:r>
        <w:rPr>
          <w:sz w:val="28"/>
          <w:szCs w:val="28"/>
        </w:rPr>
        <w:fldChar w:fldCharType="begin"/>
      </w:r>
      <w:r>
        <w:rPr>
          <w:sz w:val="28"/>
          <w:szCs w:val="28"/>
        </w:rPr>
        <w:instrText xml:space="preserve"> HYPERLINK \l _Toc25059 </w:instrText>
      </w:r>
      <w:r>
        <w:rPr>
          <w:sz w:val="28"/>
          <w:szCs w:val="28"/>
        </w:rPr>
        <w:fldChar w:fldCharType="separate"/>
      </w:r>
      <w:r>
        <w:rPr>
          <w:rFonts w:ascii="方正小标宋_GBK" w:hAnsi="方正小标宋_GBK" w:eastAsia="方正小标宋_GBK" w:cs="方正小标宋_GBK"/>
          <w:sz w:val="28"/>
          <w:szCs w:val="28"/>
        </w:rPr>
        <w:t>部门预算收入总表</w:t>
      </w:r>
      <w:r>
        <w:rPr>
          <w:sz w:val="28"/>
          <w:szCs w:val="28"/>
        </w:rPr>
        <w:tab/>
      </w:r>
      <w:r>
        <w:rPr>
          <w:sz w:val="28"/>
          <w:szCs w:val="28"/>
        </w:rPr>
        <w:fldChar w:fldCharType="begin"/>
      </w:r>
      <w:r>
        <w:rPr>
          <w:sz w:val="28"/>
          <w:szCs w:val="28"/>
        </w:rPr>
        <w:instrText xml:space="preserve"> PAGEREF _Toc25059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5"/>
        <w:tabs>
          <w:tab w:val="right" w:leader="dot" w:pos="14572"/>
        </w:tabs>
        <w:rPr>
          <w:sz w:val="28"/>
          <w:szCs w:val="28"/>
        </w:rPr>
      </w:pPr>
      <w:r>
        <w:rPr>
          <w:sz w:val="28"/>
          <w:szCs w:val="28"/>
        </w:rPr>
        <w:fldChar w:fldCharType="begin"/>
      </w:r>
      <w:r>
        <w:rPr>
          <w:sz w:val="28"/>
          <w:szCs w:val="28"/>
        </w:rPr>
        <w:instrText xml:space="preserve"> HYPERLINK \l _Toc20033 </w:instrText>
      </w:r>
      <w:r>
        <w:rPr>
          <w:sz w:val="28"/>
          <w:szCs w:val="28"/>
        </w:rPr>
        <w:fldChar w:fldCharType="separate"/>
      </w:r>
      <w:r>
        <w:rPr>
          <w:rFonts w:ascii="方正小标宋_GBK" w:hAnsi="方正小标宋_GBK" w:eastAsia="方正小标宋_GBK" w:cs="方正小标宋_GBK"/>
          <w:sz w:val="28"/>
          <w:szCs w:val="28"/>
        </w:rPr>
        <w:t>部门预算支出总表</w:t>
      </w:r>
      <w:r>
        <w:rPr>
          <w:sz w:val="28"/>
          <w:szCs w:val="28"/>
        </w:rPr>
        <w:tab/>
      </w:r>
      <w:r>
        <w:rPr>
          <w:sz w:val="28"/>
          <w:szCs w:val="28"/>
        </w:rPr>
        <w:fldChar w:fldCharType="begin"/>
      </w:r>
      <w:r>
        <w:rPr>
          <w:sz w:val="28"/>
          <w:szCs w:val="28"/>
        </w:rPr>
        <w:instrText xml:space="preserve"> PAGEREF _Toc20033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5"/>
        <w:tabs>
          <w:tab w:val="right" w:leader="dot" w:pos="14572"/>
        </w:tabs>
        <w:rPr>
          <w:sz w:val="28"/>
          <w:szCs w:val="28"/>
        </w:rPr>
      </w:pPr>
      <w:r>
        <w:rPr>
          <w:sz w:val="28"/>
          <w:szCs w:val="28"/>
        </w:rPr>
        <w:fldChar w:fldCharType="begin"/>
      </w:r>
      <w:r>
        <w:rPr>
          <w:sz w:val="28"/>
          <w:szCs w:val="28"/>
        </w:rPr>
        <w:instrText xml:space="preserve"> HYPERLINK \l _Toc30121 </w:instrText>
      </w:r>
      <w:r>
        <w:rPr>
          <w:sz w:val="28"/>
          <w:szCs w:val="28"/>
        </w:rPr>
        <w:fldChar w:fldCharType="separate"/>
      </w:r>
      <w:r>
        <w:rPr>
          <w:rFonts w:ascii="方正小标宋_GBK" w:hAnsi="方正小标宋_GBK" w:eastAsia="方正小标宋_GBK" w:cs="方正小标宋_GBK"/>
          <w:sz w:val="28"/>
          <w:szCs w:val="28"/>
        </w:rPr>
        <w:t>部门预算财政拨款收支总表</w:t>
      </w:r>
      <w:r>
        <w:rPr>
          <w:sz w:val="28"/>
          <w:szCs w:val="28"/>
        </w:rPr>
        <w:tab/>
      </w:r>
      <w:r>
        <w:rPr>
          <w:sz w:val="28"/>
          <w:szCs w:val="28"/>
        </w:rPr>
        <w:fldChar w:fldCharType="begin"/>
      </w:r>
      <w:r>
        <w:rPr>
          <w:sz w:val="28"/>
          <w:szCs w:val="28"/>
        </w:rPr>
        <w:instrText xml:space="preserve"> PAGEREF _Toc30121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5"/>
        <w:tabs>
          <w:tab w:val="right" w:leader="dot" w:pos="14572"/>
        </w:tabs>
        <w:rPr>
          <w:sz w:val="28"/>
          <w:szCs w:val="28"/>
        </w:rPr>
      </w:pPr>
      <w:r>
        <w:rPr>
          <w:sz w:val="28"/>
          <w:szCs w:val="28"/>
        </w:rPr>
        <w:fldChar w:fldCharType="begin"/>
      </w:r>
      <w:r>
        <w:rPr>
          <w:sz w:val="28"/>
          <w:szCs w:val="28"/>
        </w:rPr>
        <w:instrText xml:space="preserve"> HYPERLINK \l _Toc12188 </w:instrText>
      </w:r>
      <w:r>
        <w:rPr>
          <w:sz w:val="28"/>
          <w:szCs w:val="28"/>
        </w:rPr>
        <w:fldChar w:fldCharType="separate"/>
      </w:r>
      <w:r>
        <w:rPr>
          <w:rFonts w:ascii="方正小标宋_GBK" w:hAnsi="方正小标宋_GBK" w:eastAsia="方正小标宋_GBK" w:cs="方正小标宋_GBK"/>
          <w:sz w:val="28"/>
          <w:szCs w:val="28"/>
        </w:rPr>
        <w:t>部门预算一般公共预算财政拨款支出表</w:t>
      </w:r>
      <w:r>
        <w:rPr>
          <w:sz w:val="28"/>
          <w:szCs w:val="28"/>
        </w:rPr>
        <w:tab/>
      </w:r>
      <w:r>
        <w:rPr>
          <w:sz w:val="28"/>
          <w:szCs w:val="28"/>
        </w:rPr>
        <w:fldChar w:fldCharType="begin"/>
      </w:r>
      <w:r>
        <w:rPr>
          <w:sz w:val="28"/>
          <w:szCs w:val="28"/>
        </w:rPr>
        <w:instrText xml:space="preserve"> PAGEREF _Toc12188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14572"/>
        </w:tabs>
        <w:rPr>
          <w:sz w:val="28"/>
          <w:szCs w:val="28"/>
        </w:rPr>
      </w:pPr>
      <w:r>
        <w:rPr>
          <w:sz w:val="28"/>
          <w:szCs w:val="28"/>
        </w:rPr>
        <w:fldChar w:fldCharType="begin"/>
      </w:r>
      <w:r>
        <w:rPr>
          <w:sz w:val="28"/>
          <w:szCs w:val="28"/>
        </w:rPr>
        <w:instrText xml:space="preserve"> HYPERLINK \l _Toc20528 </w:instrText>
      </w:r>
      <w:r>
        <w:rPr>
          <w:sz w:val="28"/>
          <w:szCs w:val="28"/>
        </w:rPr>
        <w:fldChar w:fldCharType="separate"/>
      </w:r>
      <w:r>
        <w:rPr>
          <w:rFonts w:ascii="方正小标宋_GBK" w:hAnsi="方正小标宋_GBK" w:eastAsia="方正小标宋_GBK" w:cs="方正小标宋_GBK"/>
          <w:sz w:val="28"/>
          <w:szCs w:val="28"/>
        </w:rPr>
        <w:t>部门预算一般公共预算财政拨款基本支出表</w:t>
      </w:r>
      <w:r>
        <w:rPr>
          <w:sz w:val="28"/>
          <w:szCs w:val="28"/>
        </w:rPr>
        <w:tab/>
      </w:r>
      <w:r>
        <w:rPr>
          <w:sz w:val="28"/>
          <w:szCs w:val="28"/>
        </w:rPr>
        <w:fldChar w:fldCharType="begin"/>
      </w:r>
      <w:r>
        <w:rPr>
          <w:sz w:val="28"/>
          <w:szCs w:val="28"/>
        </w:rPr>
        <w:instrText xml:space="preserve"> PAGEREF _Toc20528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5"/>
        <w:tabs>
          <w:tab w:val="right" w:leader="dot" w:pos="14572"/>
        </w:tabs>
        <w:rPr>
          <w:sz w:val="28"/>
          <w:szCs w:val="28"/>
        </w:rPr>
      </w:pPr>
      <w:r>
        <w:rPr>
          <w:sz w:val="28"/>
          <w:szCs w:val="28"/>
        </w:rPr>
        <w:fldChar w:fldCharType="begin"/>
      </w:r>
      <w:r>
        <w:rPr>
          <w:sz w:val="28"/>
          <w:szCs w:val="28"/>
        </w:rPr>
        <w:instrText xml:space="preserve"> HYPERLINK \l _Toc9816 </w:instrText>
      </w:r>
      <w:r>
        <w:rPr>
          <w:sz w:val="28"/>
          <w:szCs w:val="28"/>
        </w:rPr>
        <w:fldChar w:fldCharType="separate"/>
      </w:r>
      <w:r>
        <w:rPr>
          <w:rFonts w:ascii="方正小标宋_GBK" w:hAnsi="方正小标宋_GBK" w:eastAsia="方正小标宋_GBK" w:cs="方正小标宋_GBK"/>
          <w:sz w:val="28"/>
          <w:szCs w:val="28"/>
        </w:rPr>
        <w:t>部门预算政府基金预算财政拨款支出表</w:t>
      </w:r>
      <w:r>
        <w:rPr>
          <w:sz w:val="28"/>
          <w:szCs w:val="28"/>
        </w:rPr>
        <w:tab/>
      </w:r>
      <w:r>
        <w:rPr>
          <w:sz w:val="28"/>
          <w:szCs w:val="28"/>
        </w:rPr>
        <w:fldChar w:fldCharType="begin"/>
      </w:r>
      <w:r>
        <w:rPr>
          <w:sz w:val="28"/>
          <w:szCs w:val="28"/>
        </w:rPr>
        <w:instrText xml:space="preserve"> PAGEREF _Toc9816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5"/>
        <w:tabs>
          <w:tab w:val="right" w:leader="dot" w:pos="14572"/>
        </w:tabs>
        <w:rPr>
          <w:sz w:val="28"/>
          <w:szCs w:val="28"/>
        </w:rPr>
      </w:pPr>
      <w:r>
        <w:rPr>
          <w:sz w:val="28"/>
          <w:szCs w:val="28"/>
        </w:rPr>
        <w:fldChar w:fldCharType="begin"/>
      </w:r>
      <w:r>
        <w:rPr>
          <w:sz w:val="28"/>
          <w:szCs w:val="28"/>
        </w:rPr>
        <w:instrText xml:space="preserve"> HYPERLINK \l _Toc21159 </w:instrText>
      </w:r>
      <w:r>
        <w:rPr>
          <w:sz w:val="28"/>
          <w:szCs w:val="28"/>
        </w:rPr>
        <w:fldChar w:fldCharType="separate"/>
      </w:r>
      <w:r>
        <w:rPr>
          <w:rFonts w:ascii="方正小标宋_GBK" w:hAnsi="方正小标宋_GBK" w:eastAsia="方正小标宋_GBK" w:cs="方正小标宋_GBK"/>
          <w:sz w:val="28"/>
          <w:szCs w:val="28"/>
        </w:rPr>
        <w:t>部门预算国有资本经营预算财政拨款支出表</w:t>
      </w:r>
      <w:r>
        <w:rPr>
          <w:sz w:val="28"/>
          <w:szCs w:val="28"/>
        </w:rPr>
        <w:tab/>
      </w:r>
      <w:r>
        <w:rPr>
          <w:sz w:val="28"/>
          <w:szCs w:val="28"/>
        </w:rPr>
        <w:fldChar w:fldCharType="begin"/>
      </w:r>
      <w:r>
        <w:rPr>
          <w:sz w:val="28"/>
          <w:szCs w:val="28"/>
        </w:rPr>
        <w:instrText xml:space="preserve"> PAGEREF _Toc21159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5"/>
        <w:tabs>
          <w:tab w:val="right" w:leader="dot" w:pos="14572"/>
        </w:tabs>
        <w:rPr>
          <w:sz w:val="28"/>
          <w:szCs w:val="28"/>
        </w:rPr>
      </w:pPr>
      <w:r>
        <w:rPr>
          <w:sz w:val="28"/>
          <w:szCs w:val="28"/>
        </w:rPr>
        <w:fldChar w:fldCharType="begin"/>
      </w:r>
      <w:r>
        <w:rPr>
          <w:sz w:val="28"/>
          <w:szCs w:val="28"/>
        </w:rPr>
        <w:instrText xml:space="preserve"> HYPERLINK \l _Toc32277 </w:instrText>
      </w:r>
      <w:r>
        <w:rPr>
          <w:sz w:val="28"/>
          <w:szCs w:val="28"/>
        </w:rPr>
        <w:fldChar w:fldCharType="separate"/>
      </w:r>
      <w:r>
        <w:rPr>
          <w:rFonts w:ascii="方正小标宋_GBK" w:hAnsi="方正小标宋_GBK" w:eastAsia="方正小标宋_GBK" w:cs="方正小标宋_GBK"/>
          <w:sz w:val="28"/>
          <w:szCs w:val="28"/>
        </w:rPr>
        <w:t>部门预算财政拨款“三公”经费支出表</w:t>
      </w:r>
      <w:r>
        <w:rPr>
          <w:sz w:val="28"/>
          <w:szCs w:val="28"/>
        </w:rPr>
        <w:tab/>
      </w:r>
      <w:r>
        <w:rPr>
          <w:sz w:val="28"/>
          <w:szCs w:val="28"/>
        </w:rPr>
        <w:fldChar w:fldCharType="begin"/>
      </w:r>
      <w:r>
        <w:rPr>
          <w:sz w:val="28"/>
          <w:szCs w:val="28"/>
        </w:rPr>
        <w:instrText xml:space="preserve"> PAGEREF _Toc32277 \h </w:instrText>
      </w:r>
      <w:r>
        <w:rPr>
          <w:sz w:val="28"/>
          <w:szCs w:val="28"/>
        </w:rPr>
        <w:fldChar w:fldCharType="separate"/>
      </w:r>
      <w:r>
        <w:rPr>
          <w:sz w:val="28"/>
          <w:szCs w:val="28"/>
        </w:rPr>
        <w:t>14</w:t>
      </w:r>
      <w:r>
        <w:rPr>
          <w:sz w:val="28"/>
          <w:szCs w:val="28"/>
        </w:rPr>
        <w:fldChar w:fldCharType="end"/>
      </w:r>
      <w:r>
        <w:rPr>
          <w:sz w:val="28"/>
          <w:szCs w:val="28"/>
        </w:rPr>
        <w:fldChar w:fldCharType="end"/>
      </w:r>
    </w:p>
    <w:p>
      <w:pPr>
        <w:rPr>
          <w:sz w:val="28"/>
          <w:szCs w:val="28"/>
        </w:rPr>
      </w:pPr>
      <w:r>
        <w:rPr>
          <w:sz w:val="28"/>
          <w:szCs w:val="28"/>
        </w:rPr>
        <w:fldChar w:fldCharType="end"/>
      </w:r>
    </w:p>
    <w:p>
      <w:pPr>
        <w:spacing w:before="0" w:after="0" w:line="240" w:lineRule="auto"/>
        <w:ind w:firstLine="0"/>
        <w:jc w:val="left"/>
        <w:outlineLvl w:val="9"/>
        <w:rPr>
          <w:sz w:val="28"/>
          <w:szCs w:val="28"/>
        </w:rPr>
      </w:pPr>
      <w:r>
        <w:rPr>
          <w:rFonts w:ascii="方正楷体_GBK" w:hAnsi="方正楷体_GBK" w:eastAsia="方正楷体_GBK" w:cs="方正楷体_GBK"/>
          <w:b/>
          <w:color w:val="000000"/>
          <w:sz w:val="32"/>
          <w:szCs w:val="28"/>
        </w:rPr>
        <w:t>部门预算信息公开情况说明</w:t>
      </w:r>
    </w:p>
    <w:p>
      <w:pPr>
        <w:pStyle w:val="2"/>
        <w:tabs>
          <w:tab w:val="right" w:leader="dot" w:pos="14572"/>
        </w:tabs>
        <w:rPr>
          <w:sz w:val="28"/>
          <w:szCs w:val="28"/>
        </w:rPr>
      </w:pPr>
      <w:r>
        <w:rPr>
          <w:sz w:val="28"/>
          <w:szCs w:val="28"/>
        </w:rPr>
        <w:fldChar w:fldCharType="begin"/>
      </w:r>
      <w:r>
        <w:rPr>
          <w:sz w:val="28"/>
          <w:szCs w:val="28"/>
        </w:rPr>
        <w:instrText xml:space="preserve">TOC \o "3-3" \h \z \u</w:instrText>
      </w:r>
      <w:r>
        <w:rPr>
          <w:sz w:val="28"/>
          <w:szCs w:val="28"/>
        </w:rPr>
        <w:fldChar w:fldCharType="separate"/>
      </w:r>
      <w:r>
        <w:rPr>
          <w:sz w:val="28"/>
          <w:szCs w:val="28"/>
        </w:rPr>
        <w:fldChar w:fldCharType="begin"/>
      </w:r>
      <w:r>
        <w:rPr>
          <w:sz w:val="28"/>
          <w:szCs w:val="28"/>
        </w:rPr>
        <w:instrText xml:space="preserve"> HYPERLINK \l _Toc31759 </w:instrText>
      </w:r>
      <w:r>
        <w:rPr>
          <w:sz w:val="28"/>
          <w:szCs w:val="28"/>
        </w:rPr>
        <w:fldChar w:fldCharType="separate"/>
      </w:r>
      <w:r>
        <w:rPr>
          <w:rFonts w:ascii="黑体" w:hAnsi="黑体" w:eastAsia="黑体" w:cs="黑体"/>
          <w:sz w:val="28"/>
          <w:szCs w:val="28"/>
        </w:rPr>
        <w:t>一、部门职责及机构设置情况</w:t>
      </w:r>
      <w:r>
        <w:rPr>
          <w:sz w:val="28"/>
          <w:szCs w:val="28"/>
        </w:rPr>
        <w:tab/>
      </w:r>
      <w:r>
        <w:rPr>
          <w:sz w:val="28"/>
          <w:szCs w:val="28"/>
        </w:rPr>
        <w:fldChar w:fldCharType="begin"/>
      </w:r>
      <w:r>
        <w:rPr>
          <w:sz w:val="28"/>
          <w:szCs w:val="28"/>
        </w:rPr>
        <w:instrText xml:space="preserve"> PAGEREF _Toc31759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_Toc1292 </w:instrText>
      </w:r>
      <w:r>
        <w:rPr>
          <w:sz w:val="28"/>
          <w:szCs w:val="28"/>
        </w:rPr>
        <w:fldChar w:fldCharType="separate"/>
      </w:r>
      <w:r>
        <w:rPr>
          <w:rFonts w:ascii="黑体" w:hAnsi="黑体" w:eastAsia="黑体" w:cs="黑体"/>
          <w:sz w:val="28"/>
          <w:szCs w:val="28"/>
        </w:rPr>
        <w:t>二、部门预算安排的总体情况</w:t>
      </w:r>
      <w:r>
        <w:rPr>
          <w:sz w:val="28"/>
          <w:szCs w:val="28"/>
        </w:rPr>
        <w:tab/>
      </w:r>
      <w:r>
        <w:rPr>
          <w:sz w:val="28"/>
          <w:szCs w:val="28"/>
        </w:rPr>
        <w:fldChar w:fldCharType="begin"/>
      </w:r>
      <w:r>
        <w:rPr>
          <w:sz w:val="28"/>
          <w:szCs w:val="28"/>
        </w:rPr>
        <w:instrText xml:space="preserve"> PAGEREF _Toc1292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_Toc11019 </w:instrText>
      </w:r>
      <w:r>
        <w:rPr>
          <w:sz w:val="28"/>
          <w:szCs w:val="28"/>
        </w:rPr>
        <w:fldChar w:fldCharType="separate"/>
      </w:r>
      <w:r>
        <w:rPr>
          <w:rFonts w:ascii="黑体" w:hAnsi="黑体" w:eastAsia="黑体" w:cs="黑体"/>
          <w:sz w:val="28"/>
          <w:szCs w:val="28"/>
        </w:rPr>
        <w:t>三、机关运行经费安排情况</w:t>
      </w:r>
      <w:r>
        <w:rPr>
          <w:sz w:val="28"/>
          <w:szCs w:val="28"/>
        </w:rPr>
        <w:tab/>
      </w:r>
      <w:r>
        <w:rPr>
          <w:sz w:val="28"/>
          <w:szCs w:val="28"/>
        </w:rPr>
        <w:fldChar w:fldCharType="begin"/>
      </w:r>
      <w:r>
        <w:rPr>
          <w:sz w:val="28"/>
          <w:szCs w:val="28"/>
        </w:rPr>
        <w:instrText xml:space="preserve"> PAGEREF _Toc11019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_Toc1306 </w:instrText>
      </w:r>
      <w:r>
        <w:rPr>
          <w:sz w:val="28"/>
          <w:szCs w:val="28"/>
        </w:rPr>
        <w:fldChar w:fldCharType="separate"/>
      </w:r>
      <w:r>
        <w:rPr>
          <w:rFonts w:ascii="黑体" w:hAnsi="黑体" w:eastAsia="黑体" w:cs="黑体"/>
          <w:sz w:val="28"/>
          <w:szCs w:val="28"/>
        </w:rPr>
        <w:t>四、财政拨款“三公”经费预算情况及增减变化原因</w:t>
      </w:r>
      <w:r>
        <w:rPr>
          <w:sz w:val="28"/>
          <w:szCs w:val="28"/>
        </w:rPr>
        <w:tab/>
      </w:r>
      <w:r>
        <w:rPr>
          <w:sz w:val="28"/>
          <w:szCs w:val="28"/>
        </w:rPr>
        <w:fldChar w:fldCharType="begin"/>
      </w:r>
      <w:r>
        <w:rPr>
          <w:sz w:val="28"/>
          <w:szCs w:val="28"/>
        </w:rPr>
        <w:instrText xml:space="preserve"> PAGEREF _Toc1306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_Toc9723 </w:instrText>
      </w:r>
      <w:r>
        <w:rPr>
          <w:sz w:val="28"/>
          <w:szCs w:val="28"/>
        </w:rPr>
        <w:fldChar w:fldCharType="separate"/>
      </w:r>
      <w:r>
        <w:rPr>
          <w:rFonts w:ascii="黑体" w:hAnsi="黑体" w:eastAsia="黑体" w:cs="黑体"/>
          <w:sz w:val="28"/>
          <w:szCs w:val="28"/>
        </w:rPr>
        <w:t>五、预算绩效信息</w:t>
      </w:r>
      <w:r>
        <w:rPr>
          <w:sz w:val="28"/>
          <w:szCs w:val="28"/>
        </w:rPr>
        <w:tab/>
      </w:r>
      <w:r>
        <w:rPr>
          <w:sz w:val="28"/>
          <w:szCs w:val="28"/>
        </w:rPr>
        <w:fldChar w:fldCharType="begin"/>
      </w:r>
      <w:r>
        <w:rPr>
          <w:sz w:val="28"/>
          <w:szCs w:val="28"/>
        </w:rPr>
        <w:instrText xml:space="preserve"> PAGEREF _Toc9723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_Toc15516 </w:instrText>
      </w:r>
      <w:r>
        <w:rPr>
          <w:sz w:val="28"/>
          <w:szCs w:val="28"/>
        </w:rPr>
        <w:fldChar w:fldCharType="separate"/>
      </w:r>
      <w:r>
        <w:rPr>
          <w:rFonts w:ascii="黑体" w:hAnsi="黑体" w:eastAsia="黑体" w:cs="黑体"/>
          <w:sz w:val="28"/>
          <w:szCs w:val="28"/>
        </w:rPr>
        <w:t>六、政府采购预算情况</w:t>
      </w:r>
      <w:r>
        <w:rPr>
          <w:sz w:val="28"/>
          <w:szCs w:val="28"/>
        </w:rPr>
        <w:tab/>
      </w:r>
      <w:r>
        <w:rPr>
          <w:sz w:val="28"/>
          <w:szCs w:val="28"/>
        </w:rPr>
        <w:fldChar w:fldCharType="begin"/>
      </w:r>
      <w:r>
        <w:rPr>
          <w:sz w:val="28"/>
          <w:szCs w:val="28"/>
        </w:rPr>
        <w:instrText xml:space="preserve"> PAGEREF _Toc15516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_Toc14750 </w:instrText>
      </w:r>
      <w:r>
        <w:rPr>
          <w:sz w:val="28"/>
          <w:szCs w:val="28"/>
        </w:rPr>
        <w:fldChar w:fldCharType="separate"/>
      </w:r>
      <w:r>
        <w:rPr>
          <w:rFonts w:ascii="黑体" w:hAnsi="黑体" w:eastAsia="黑体" w:cs="黑体"/>
          <w:sz w:val="28"/>
          <w:szCs w:val="28"/>
        </w:rPr>
        <w:t>七、国有资产信息</w:t>
      </w:r>
      <w:r>
        <w:rPr>
          <w:sz w:val="28"/>
          <w:szCs w:val="28"/>
        </w:rPr>
        <w:tab/>
      </w:r>
      <w:r>
        <w:rPr>
          <w:sz w:val="28"/>
          <w:szCs w:val="28"/>
        </w:rPr>
        <w:fldChar w:fldCharType="begin"/>
      </w:r>
      <w:r>
        <w:rPr>
          <w:sz w:val="28"/>
          <w:szCs w:val="28"/>
        </w:rPr>
        <w:instrText xml:space="preserve"> PAGEREF _Toc14750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_Toc14806 </w:instrText>
      </w:r>
      <w:r>
        <w:rPr>
          <w:sz w:val="28"/>
          <w:szCs w:val="28"/>
        </w:rPr>
        <w:fldChar w:fldCharType="separate"/>
      </w:r>
      <w:r>
        <w:rPr>
          <w:rFonts w:ascii="黑体" w:hAnsi="黑体" w:eastAsia="黑体" w:cs="黑体"/>
          <w:sz w:val="28"/>
          <w:szCs w:val="28"/>
        </w:rPr>
        <w:t>八、名词解释</w:t>
      </w:r>
      <w:r>
        <w:rPr>
          <w:sz w:val="28"/>
          <w:szCs w:val="28"/>
        </w:rPr>
        <w:tab/>
      </w:r>
      <w:r>
        <w:rPr>
          <w:sz w:val="28"/>
          <w:szCs w:val="28"/>
        </w:rPr>
        <w:fldChar w:fldCharType="begin"/>
      </w:r>
      <w:r>
        <w:rPr>
          <w:sz w:val="28"/>
          <w:szCs w:val="28"/>
        </w:rPr>
        <w:instrText xml:space="preserve"> PAGEREF _Toc14806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_Toc26018 </w:instrText>
      </w:r>
      <w:r>
        <w:rPr>
          <w:sz w:val="28"/>
          <w:szCs w:val="28"/>
        </w:rPr>
        <w:fldChar w:fldCharType="separate"/>
      </w:r>
      <w:r>
        <w:rPr>
          <w:rFonts w:ascii="黑体" w:hAnsi="黑体" w:eastAsia="黑体" w:cs="黑体"/>
          <w:sz w:val="28"/>
          <w:szCs w:val="28"/>
          <w:lang w:eastAsia="uk-UA"/>
        </w:rPr>
        <w:t>九、其他需要说明的事项</w:t>
      </w:r>
      <w:r>
        <w:rPr>
          <w:sz w:val="28"/>
          <w:szCs w:val="28"/>
        </w:rPr>
        <w:tab/>
      </w:r>
      <w:r>
        <w:rPr>
          <w:sz w:val="28"/>
          <w:szCs w:val="28"/>
        </w:rPr>
        <w:fldChar w:fldCharType="begin"/>
      </w:r>
      <w:r>
        <w:rPr>
          <w:sz w:val="28"/>
          <w:szCs w:val="28"/>
        </w:rPr>
        <w:instrText xml:space="preserve"> PAGEREF _Toc26018 \h </w:instrText>
      </w:r>
      <w:r>
        <w:rPr>
          <w:sz w:val="28"/>
          <w:szCs w:val="28"/>
        </w:rPr>
        <w:fldChar w:fldCharType="separate"/>
      </w:r>
      <w:r>
        <w:rPr>
          <w:sz w:val="28"/>
          <w:szCs w:val="28"/>
        </w:rPr>
        <w:t>21</w:t>
      </w:r>
      <w:r>
        <w:rPr>
          <w:sz w:val="28"/>
          <w:szCs w:val="28"/>
        </w:rPr>
        <w:fldChar w:fldCharType="end"/>
      </w:r>
      <w:r>
        <w:rPr>
          <w:sz w:val="28"/>
          <w:szCs w:val="28"/>
        </w:rPr>
        <w:fldChar w:fldCharType="end"/>
      </w:r>
    </w:p>
    <w:p>
      <w:r>
        <w:rPr>
          <w:sz w:val="28"/>
          <w:szCs w:val="28"/>
        </w:rP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31833"/>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928"/>
        <w:gridCol w:w="2772"/>
        <w:gridCol w:w="3295"/>
        <w:gridCol w:w="2243"/>
        <w:gridCol w:w="2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1" w:type="pct"/>
            <w:gridSpan w:val="2"/>
            <w:tcBorders>
              <w:top w:val="single" w:color="FFFFFF" w:sz="6" w:space="0"/>
              <w:left w:val="single" w:color="FFFFFF" w:sz="6" w:space="0"/>
              <w:right w:val="single" w:color="FFFFFF" w:sz="6" w:space="0"/>
            </w:tcBorders>
            <w:vAlign w:val="center"/>
          </w:tcPr>
          <w:p>
            <w:pPr>
              <w:pStyle w:val="11"/>
            </w:pPr>
            <w:r>
              <w:t>472魏县投资促进局</w:t>
            </w:r>
          </w:p>
        </w:tc>
        <w:tc>
          <w:tcPr>
            <w:tcW w:w="1097" w:type="pct"/>
            <w:tcBorders>
              <w:top w:val="single" w:color="FFFFFF" w:sz="6" w:space="0"/>
              <w:left w:val="single" w:color="FFFFFF" w:sz="6" w:space="0"/>
              <w:right w:val="single" w:color="FFFFFF" w:sz="6" w:space="0"/>
            </w:tcBorders>
            <w:vAlign w:val="center"/>
          </w:tcPr>
          <w:p>
            <w:pPr>
              <w:pStyle w:val="10"/>
              <w:jc w:val="both"/>
            </w:pPr>
            <w:r>
              <w:t>预算年度：2022</w:t>
            </w:r>
          </w:p>
        </w:tc>
        <w:tc>
          <w:tcPr>
            <w:tcW w:w="1671"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8" w:type="pct"/>
            <w:vMerge w:val="restart"/>
            <w:vAlign w:val="center"/>
          </w:tcPr>
          <w:p>
            <w:pPr>
              <w:pStyle w:val="12"/>
            </w:pPr>
            <w:r>
              <w:t>序号</w:t>
            </w:r>
          </w:p>
        </w:tc>
        <w:tc>
          <w:tcPr>
            <w:tcW w:w="2020" w:type="pct"/>
            <w:gridSpan w:val="2"/>
            <w:vAlign w:val="center"/>
          </w:tcPr>
          <w:p>
            <w:pPr>
              <w:pStyle w:val="12"/>
            </w:pPr>
            <w:r>
              <w:t>收入</w:t>
            </w:r>
          </w:p>
        </w:tc>
        <w:tc>
          <w:tcPr>
            <w:tcW w:w="1671"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8" w:type="pct"/>
            <w:vMerge w:val="continue"/>
          </w:tcPr>
          <w:p/>
        </w:tc>
        <w:tc>
          <w:tcPr>
            <w:tcW w:w="922" w:type="pct"/>
            <w:vAlign w:val="center"/>
          </w:tcPr>
          <w:p>
            <w:pPr>
              <w:pStyle w:val="12"/>
            </w:pPr>
            <w:r>
              <w:t>项  目</w:t>
            </w:r>
          </w:p>
        </w:tc>
        <w:tc>
          <w:tcPr>
            <w:tcW w:w="1097" w:type="pct"/>
            <w:vAlign w:val="center"/>
          </w:tcPr>
          <w:p>
            <w:pPr>
              <w:pStyle w:val="12"/>
            </w:pPr>
            <w:r>
              <w:t>预算数</w:t>
            </w:r>
          </w:p>
        </w:tc>
        <w:tc>
          <w:tcPr>
            <w:tcW w:w="747" w:type="pct"/>
            <w:vAlign w:val="center"/>
          </w:tcPr>
          <w:p>
            <w:pPr>
              <w:pStyle w:val="12"/>
            </w:pPr>
            <w:r>
              <w:t>项  目</w:t>
            </w:r>
          </w:p>
        </w:tc>
        <w:tc>
          <w:tcPr>
            <w:tcW w:w="923"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8" w:type="pct"/>
            <w:vAlign w:val="center"/>
          </w:tcPr>
          <w:p>
            <w:pPr>
              <w:pStyle w:val="12"/>
            </w:pPr>
            <w:r>
              <w:t>栏次</w:t>
            </w:r>
          </w:p>
        </w:tc>
        <w:tc>
          <w:tcPr>
            <w:tcW w:w="922" w:type="pct"/>
            <w:vAlign w:val="center"/>
          </w:tcPr>
          <w:p>
            <w:pPr>
              <w:pStyle w:val="12"/>
            </w:pPr>
            <w:r>
              <w:t>1</w:t>
            </w:r>
          </w:p>
        </w:tc>
        <w:tc>
          <w:tcPr>
            <w:tcW w:w="1097" w:type="pct"/>
            <w:vAlign w:val="center"/>
          </w:tcPr>
          <w:p>
            <w:pPr>
              <w:pStyle w:val="12"/>
            </w:pPr>
            <w:r>
              <w:t>2</w:t>
            </w:r>
          </w:p>
        </w:tc>
        <w:tc>
          <w:tcPr>
            <w:tcW w:w="747" w:type="pct"/>
            <w:vAlign w:val="center"/>
          </w:tcPr>
          <w:p>
            <w:pPr>
              <w:pStyle w:val="12"/>
            </w:pPr>
            <w:r>
              <w:t>3</w:t>
            </w:r>
          </w:p>
        </w:tc>
        <w:tc>
          <w:tcPr>
            <w:tcW w:w="923"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w:t>
            </w:r>
          </w:p>
        </w:tc>
        <w:tc>
          <w:tcPr>
            <w:tcW w:w="922" w:type="pct"/>
            <w:vAlign w:val="center"/>
          </w:tcPr>
          <w:p>
            <w:pPr>
              <w:pStyle w:val="14"/>
            </w:pPr>
            <w:r>
              <w:t>一、一般公共预算拨款收入</w:t>
            </w:r>
          </w:p>
        </w:tc>
        <w:tc>
          <w:tcPr>
            <w:tcW w:w="1097" w:type="pct"/>
            <w:vAlign w:val="center"/>
          </w:tcPr>
          <w:p>
            <w:pPr>
              <w:pStyle w:val="13"/>
            </w:pPr>
            <w:r>
              <w:t>123.55</w:t>
            </w:r>
          </w:p>
        </w:tc>
        <w:tc>
          <w:tcPr>
            <w:tcW w:w="747" w:type="pct"/>
            <w:vAlign w:val="center"/>
          </w:tcPr>
          <w:p>
            <w:pPr>
              <w:pStyle w:val="14"/>
            </w:pPr>
            <w:r>
              <w:t>一、一般公共服务支出</w:t>
            </w:r>
          </w:p>
        </w:tc>
        <w:tc>
          <w:tcPr>
            <w:tcW w:w="923" w:type="pct"/>
            <w:vAlign w:val="center"/>
          </w:tcPr>
          <w:p>
            <w:pPr>
              <w:pStyle w:val="13"/>
            </w:pPr>
            <w:r>
              <w:t>117.49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w:t>
            </w:r>
          </w:p>
        </w:tc>
        <w:tc>
          <w:tcPr>
            <w:tcW w:w="922" w:type="pct"/>
            <w:vAlign w:val="center"/>
          </w:tcPr>
          <w:p>
            <w:pPr>
              <w:pStyle w:val="14"/>
            </w:pPr>
            <w:r>
              <w:t>二、政府性基金预算拨款收入</w:t>
            </w:r>
          </w:p>
        </w:tc>
        <w:tc>
          <w:tcPr>
            <w:tcW w:w="1097" w:type="pct"/>
            <w:vAlign w:val="center"/>
          </w:tcPr>
          <w:p>
            <w:pPr>
              <w:pStyle w:val="13"/>
            </w:pPr>
          </w:p>
        </w:tc>
        <w:tc>
          <w:tcPr>
            <w:tcW w:w="747" w:type="pct"/>
            <w:vAlign w:val="center"/>
          </w:tcPr>
          <w:p>
            <w:pPr>
              <w:pStyle w:val="14"/>
            </w:pPr>
            <w:r>
              <w:t>二、外交支出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3</w:t>
            </w:r>
          </w:p>
        </w:tc>
        <w:tc>
          <w:tcPr>
            <w:tcW w:w="922" w:type="pct"/>
            <w:vAlign w:val="center"/>
          </w:tcPr>
          <w:p>
            <w:pPr>
              <w:pStyle w:val="14"/>
            </w:pPr>
            <w:r>
              <w:t>三、国有资本经营预算拨款收入</w:t>
            </w:r>
          </w:p>
        </w:tc>
        <w:tc>
          <w:tcPr>
            <w:tcW w:w="1097" w:type="pct"/>
            <w:vAlign w:val="center"/>
          </w:tcPr>
          <w:p>
            <w:pPr>
              <w:pStyle w:val="13"/>
            </w:pPr>
          </w:p>
        </w:tc>
        <w:tc>
          <w:tcPr>
            <w:tcW w:w="747" w:type="pct"/>
            <w:vAlign w:val="center"/>
          </w:tcPr>
          <w:p>
            <w:pPr>
              <w:pStyle w:val="14"/>
            </w:pPr>
            <w:r>
              <w:t>三、国防支出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4</w:t>
            </w:r>
          </w:p>
        </w:tc>
        <w:tc>
          <w:tcPr>
            <w:tcW w:w="922" w:type="pct"/>
            <w:vAlign w:val="center"/>
          </w:tcPr>
          <w:p>
            <w:pPr>
              <w:pStyle w:val="14"/>
            </w:pPr>
            <w:r>
              <w:t>四、财政专户管理资金收入</w:t>
            </w:r>
          </w:p>
        </w:tc>
        <w:tc>
          <w:tcPr>
            <w:tcW w:w="1097" w:type="pct"/>
            <w:vAlign w:val="center"/>
          </w:tcPr>
          <w:p>
            <w:pPr>
              <w:pStyle w:val="13"/>
            </w:pPr>
          </w:p>
        </w:tc>
        <w:tc>
          <w:tcPr>
            <w:tcW w:w="747" w:type="pct"/>
            <w:vAlign w:val="center"/>
          </w:tcPr>
          <w:p>
            <w:pPr>
              <w:pStyle w:val="14"/>
            </w:pPr>
            <w:r>
              <w:t>四、公共安全支出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5</w:t>
            </w:r>
          </w:p>
        </w:tc>
        <w:tc>
          <w:tcPr>
            <w:tcW w:w="922" w:type="pct"/>
            <w:vAlign w:val="center"/>
          </w:tcPr>
          <w:p>
            <w:pPr>
              <w:pStyle w:val="14"/>
            </w:pPr>
            <w:r>
              <w:t>五、事业收入</w:t>
            </w:r>
          </w:p>
        </w:tc>
        <w:tc>
          <w:tcPr>
            <w:tcW w:w="1097" w:type="pct"/>
            <w:vAlign w:val="center"/>
          </w:tcPr>
          <w:p>
            <w:pPr>
              <w:pStyle w:val="13"/>
            </w:pPr>
          </w:p>
        </w:tc>
        <w:tc>
          <w:tcPr>
            <w:tcW w:w="747" w:type="pct"/>
            <w:vAlign w:val="center"/>
          </w:tcPr>
          <w:p>
            <w:pPr>
              <w:pStyle w:val="14"/>
            </w:pPr>
            <w:r>
              <w:t>五、教育支出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6</w:t>
            </w:r>
          </w:p>
        </w:tc>
        <w:tc>
          <w:tcPr>
            <w:tcW w:w="922" w:type="pct"/>
            <w:vAlign w:val="center"/>
          </w:tcPr>
          <w:p>
            <w:pPr>
              <w:pStyle w:val="14"/>
            </w:pPr>
            <w:r>
              <w:t>六、事业单位经营收入</w:t>
            </w:r>
          </w:p>
        </w:tc>
        <w:tc>
          <w:tcPr>
            <w:tcW w:w="1097" w:type="pct"/>
            <w:vAlign w:val="center"/>
          </w:tcPr>
          <w:p>
            <w:pPr>
              <w:pStyle w:val="13"/>
            </w:pPr>
          </w:p>
        </w:tc>
        <w:tc>
          <w:tcPr>
            <w:tcW w:w="747" w:type="pct"/>
            <w:vAlign w:val="center"/>
          </w:tcPr>
          <w:p>
            <w:pPr>
              <w:pStyle w:val="14"/>
            </w:pPr>
            <w:r>
              <w:t>六、科学技术支出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7</w:t>
            </w:r>
          </w:p>
        </w:tc>
        <w:tc>
          <w:tcPr>
            <w:tcW w:w="922" w:type="pct"/>
            <w:vAlign w:val="center"/>
          </w:tcPr>
          <w:p>
            <w:pPr>
              <w:pStyle w:val="14"/>
            </w:pPr>
            <w:r>
              <w:t>七、上级补助收入</w:t>
            </w:r>
          </w:p>
        </w:tc>
        <w:tc>
          <w:tcPr>
            <w:tcW w:w="1097" w:type="pct"/>
            <w:vAlign w:val="center"/>
          </w:tcPr>
          <w:p>
            <w:pPr>
              <w:pStyle w:val="13"/>
            </w:pPr>
          </w:p>
        </w:tc>
        <w:tc>
          <w:tcPr>
            <w:tcW w:w="747" w:type="pct"/>
            <w:vAlign w:val="center"/>
          </w:tcPr>
          <w:p>
            <w:pPr>
              <w:pStyle w:val="14"/>
            </w:pPr>
            <w:r>
              <w:t>七、文化旅游体育与传媒支出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8</w:t>
            </w:r>
          </w:p>
        </w:tc>
        <w:tc>
          <w:tcPr>
            <w:tcW w:w="922" w:type="pct"/>
            <w:vAlign w:val="center"/>
          </w:tcPr>
          <w:p>
            <w:pPr>
              <w:pStyle w:val="14"/>
            </w:pPr>
            <w:r>
              <w:t>八、附属单位上缴收入</w:t>
            </w:r>
          </w:p>
        </w:tc>
        <w:tc>
          <w:tcPr>
            <w:tcW w:w="1097" w:type="pct"/>
            <w:vAlign w:val="center"/>
          </w:tcPr>
          <w:p>
            <w:pPr>
              <w:pStyle w:val="13"/>
            </w:pPr>
          </w:p>
        </w:tc>
        <w:tc>
          <w:tcPr>
            <w:tcW w:w="747" w:type="pct"/>
            <w:vAlign w:val="center"/>
          </w:tcPr>
          <w:p>
            <w:pPr>
              <w:pStyle w:val="14"/>
            </w:pPr>
            <w:r>
              <w:t>八、社会保障和就业支出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9</w:t>
            </w:r>
          </w:p>
        </w:tc>
        <w:tc>
          <w:tcPr>
            <w:tcW w:w="922" w:type="pct"/>
            <w:vAlign w:val="center"/>
          </w:tcPr>
          <w:p>
            <w:pPr>
              <w:pStyle w:val="14"/>
            </w:pPr>
            <w:r>
              <w:t>九、其他收入</w:t>
            </w:r>
          </w:p>
        </w:tc>
        <w:tc>
          <w:tcPr>
            <w:tcW w:w="1097" w:type="pct"/>
            <w:vAlign w:val="center"/>
          </w:tcPr>
          <w:p>
            <w:pPr>
              <w:pStyle w:val="13"/>
            </w:pPr>
          </w:p>
        </w:tc>
        <w:tc>
          <w:tcPr>
            <w:tcW w:w="747" w:type="pct"/>
            <w:vAlign w:val="center"/>
          </w:tcPr>
          <w:p>
            <w:pPr>
              <w:pStyle w:val="14"/>
            </w:pPr>
            <w:r>
              <w:t>九、社会保险基金支出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10</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十、卫生健康支出</w:t>
            </w:r>
          </w:p>
        </w:tc>
        <w:tc>
          <w:tcPr>
            <w:tcW w:w="923" w:type="pct"/>
            <w:vAlign w:val="center"/>
          </w:tcPr>
          <w:p>
            <w:pPr>
              <w:pStyle w:val="13"/>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11</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十一、节能环保支出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12</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十二、城乡社区支出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13</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十三、农林水支出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14</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十四、交通运输支出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15</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十五、资源勘探工业信息等支出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16</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十六、商业服务业等支出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17</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十七、金融支出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18</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十八、援助其他地区支出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19</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十九、自然资源海洋气象等支出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20</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二十、住房保障支出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21</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二十一、粮油物资储备支出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22</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二十二、国有资本经营预算支出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23</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二十三、灾害防治及应急管理支出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24</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二十四、预备费</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25</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二十五、其他支出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26</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二十六、转移性支出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27</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二十七、债务还本支出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28</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二十八、债务付息支出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29</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二十九、债务发行费用支出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30</w:t>
            </w:r>
          </w:p>
        </w:tc>
        <w:tc>
          <w:tcPr>
            <w:tcW w:w="922" w:type="pct"/>
            <w:vAlign w:val="center"/>
          </w:tcPr>
          <w:p>
            <w:pPr>
              <w:pStyle w:val="14"/>
            </w:pPr>
          </w:p>
        </w:tc>
        <w:tc>
          <w:tcPr>
            <w:tcW w:w="1097" w:type="pct"/>
            <w:vAlign w:val="center"/>
          </w:tcPr>
          <w:p>
            <w:pPr>
              <w:pStyle w:val="13"/>
            </w:pPr>
          </w:p>
        </w:tc>
        <w:tc>
          <w:tcPr>
            <w:tcW w:w="747" w:type="pct"/>
            <w:vAlign w:val="center"/>
          </w:tcPr>
          <w:p>
            <w:pPr>
              <w:pStyle w:val="14"/>
            </w:pPr>
            <w:r>
              <w:t>三十、抗疫特别国债安排的支出</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31</w:t>
            </w:r>
          </w:p>
        </w:tc>
        <w:tc>
          <w:tcPr>
            <w:tcW w:w="922" w:type="pct"/>
            <w:vAlign w:val="center"/>
          </w:tcPr>
          <w:p>
            <w:pPr>
              <w:pStyle w:val="16"/>
            </w:pPr>
            <w:r>
              <w:t>本年收入合计</w:t>
            </w:r>
          </w:p>
        </w:tc>
        <w:tc>
          <w:tcPr>
            <w:tcW w:w="1097" w:type="pct"/>
            <w:vAlign w:val="center"/>
          </w:tcPr>
          <w:p>
            <w:pPr>
              <w:pStyle w:val="17"/>
            </w:pPr>
            <w:r>
              <w:t>123.55</w:t>
            </w:r>
          </w:p>
        </w:tc>
        <w:tc>
          <w:tcPr>
            <w:tcW w:w="747" w:type="pct"/>
            <w:vAlign w:val="center"/>
          </w:tcPr>
          <w:p>
            <w:pPr>
              <w:pStyle w:val="16"/>
            </w:pPr>
            <w:r>
              <w:t>本年支出合计</w:t>
            </w:r>
          </w:p>
        </w:tc>
        <w:tc>
          <w:tcPr>
            <w:tcW w:w="923" w:type="pct"/>
            <w:vAlign w:val="center"/>
          </w:tcPr>
          <w:p>
            <w:pPr>
              <w:pStyle w:val="17"/>
            </w:pPr>
            <w:r>
              <w:t>123.55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32</w:t>
            </w:r>
          </w:p>
        </w:tc>
        <w:tc>
          <w:tcPr>
            <w:tcW w:w="922" w:type="pct"/>
            <w:vAlign w:val="center"/>
          </w:tcPr>
          <w:p>
            <w:pPr>
              <w:pStyle w:val="14"/>
            </w:pPr>
            <w:r>
              <w:t>上年结转结余</w:t>
            </w:r>
          </w:p>
        </w:tc>
        <w:tc>
          <w:tcPr>
            <w:tcW w:w="1097" w:type="pct"/>
            <w:vAlign w:val="center"/>
          </w:tcPr>
          <w:p>
            <w:pPr>
              <w:pStyle w:val="13"/>
            </w:pPr>
          </w:p>
        </w:tc>
        <w:tc>
          <w:tcPr>
            <w:tcW w:w="747" w:type="pct"/>
            <w:vAlign w:val="center"/>
          </w:tcPr>
          <w:p>
            <w:pPr>
              <w:pStyle w:val="14"/>
            </w:pPr>
            <w:r>
              <w:t>年终结转结余</w:t>
            </w:r>
          </w:p>
        </w:tc>
        <w:tc>
          <w:tcPr>
            <w:tcW w:w="9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pct"/>
            <w:vAlign w:val="center"/>
          </w:tcPr>
          <w:p>
            <w:pPr>
              <w:pStyle w:val="15"/>
            </w:pPr>
            <w:r>
              <w:t>33</w:t>
            </w:r>
          </w:p>
        </w:tc>
        <w:tc>
          <w:tcPr>
            <w:tcW w:w="922" w:type="pct"/>
            <w:vAlign w:val="center"/>
          </w:tcPr>
          <w:p>
            <w:pPr>
              <w:pStyle w:val="16"/>
            </w:pPr>
            <w:r>
              <w:t>收入总计</w:t>
            </w:r>
          </w:p>
        </w:tc>
        <w:tc>
          <w:tcPr>
            <w:tcW w:w="1097" w:type="pct"/>
            <w:vAlign w:val="center"/>
          </w:tcPr>
          <w:p>
            <w:pPr>
              <w:pStyle w:val="17"/>
            </w:pPr>
            <w:r>
              <w:t>123.55</w:t>
            </w:r>
          </w:p>
        </w:tc>
        <w:tc>
          <w:tcPr>
            <w:tcW w:w="747" w:type="pct"/>
            <w:vAlign w:val="center"/>
          </w:tcPr>
          <w:p>
            <w:pPr>
              <w:pStyle w:val="16"/>
            </w:pPr>
            <w:r>
              <w:t>支出总计</w:t>
            </w:r>
          </w:p>
        </w:tc>
        <w:tc>
          <w:tcPr>
            <w:tcW w:w="923" w:type="pct"/>
            <w:vAlign w:val="center"/>
          </w:tcPr>
          <w:p>
            <w:pPr>
              <w:pStyle w:val="17"/>
            </w:pPr>
            <w:r>
              <w:t>123.55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25059"/>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472魏县投资促进局</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123.55</w:t>
            </w:r>
          </w:p>
        </w:tc>
        <w:tc>
          <w:tcPr>
            <w:tcW w:w="384" w:type="pct"/>
            <w:vAlign w:val="center"/>
          </w:tcPr>
          <w:p>
            <w:pPr>
              <w:pStyle w:val="17"/>
            </w:pPr>
            <w:r>
              <w:t>123.55</w:t>
            </w:r>
          </w:p>
        </w:tc>
        <w:tc>
          <w:tcPr>
            <w:tcW w:w="384" w:type="pct"/>
            <w:vAlign w:val="center"/>
          </w:tcPr>
          <w:p>
            <w:pPr>
              <w:pStyle w:val="17"/>
            </w:pPr>
            <w:r>
              <w:t>123.55</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201</w:t>
            </w:r>
          </w:p>
        </w:tc>
        <w:tc>
          <w:tcPr>
            <w:tcW w:w="384" w:type="pct"/>
            <w:vAlign w:val="center"/>
          </w:tcPr>
          <w:p>
            <w:pPr>
              <w:pStyle w:val="14"/>
            </w:pPr>
            <w:r>
              <w:t>一般公共服务支出</w:t>
            </w:r>
          </w:p>
        </w:tc>
        <w:tc>
          <w:tcPr>
            <w:tcW w:w="384" w:type="pct"/>
            <w:vAlign w:val="center"/>
          </w:tcPr>
          <w:p>
            <w:pPr>
              <w:pStyle w:val="13"/>
            </w:pPr>
            <w:r>
              <w:t>117.49</w:t>
            </w:r>
          </w:p>
        </w:tc>
        <w:tc>
          <w:tcPr>
            <w:tcW w:w="384" w:type="pct"/>
            <w:vAlign w:val="center"/>
          </w:tcPr>
          <w:p>
            <w:pPr>
              <w:pStyle w:val="13"/>
            </w:pPr>
            <w:r>
              <w:t>117.49</w:t>
            </w:r>
          </w:p>
        </w:tc>
        <w:tc>
          <w:tcPr>
            <w:tcW w:w="384" w:type="pct"/>
            <w:vAlign w:val="center"/>
          </w:tcPr>
          <w:p>
            <w:pPr>
              <w:pStyle w:val="13"/>
            </w:pPr>
            <w:r>
              <w:t>117.49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20113</w:t>
            </w:r>
          </w:p>
        </w:tc>
        <w:tc>
          <w:tcPr>
            <w:tcW w:w="384" w:type="pct"/>
            <w:vAlign w:val="center"/>
          </w:tcPr>
          <w:p>
            <w:pPr>
              <w:pStyle w:val="14"/>
            </w:pPr>
            <w:r>
              <w:t>商贸事务</w:t>
            </w:r>
          </w:p>
        </w:tc>
        <w:tc>
          <w:tcPr>
            <w:tcW w:w="384" w:type="pct"/>
            <w:vAlign w:val="center"/>
          </w:tcPr>
          <w:p>
            <w:pPr>
              <w:pStyle w:val="13"/>
            </w:pPr>
            <w:r>
              <w:t>117.49</w:t>
            </w:r>
          </w:p>
        </w:tc>
        <w:tc>
          <w:tcPr>
            <w:tcW w:w="384" w:type="pct"/>
            <w:vAlign w:val="center"/>
          </w:tcPr>
          <w:p>
            <w:pPr>
              <w:pStyle w:val="13"/>
            </w:pPr>
            <w:r>
              <w:t>117.49</w:t>
            </w:r>
          </w:p>
        </w:tc>
        <w:tc>
          <w:tcPr>
            <w:tcW w:w="384" w:type="pct"/>
            <w:vAlign w:val="center"/>
          </w:tcPr>
          <w:p>
            <w:pPr>
              <w:pStyle w:val="13"/>
            </w:pPr>
            <w:r>
              <w:t>117.49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2011308</w:t>
            </w:r>
          </w:p>
        </w:tc>
        <w:tc>
          <w:tcPr>
            <w:tcW w:w="384" w:type="pct"/>
            <w:vAlign w:val="center"/>
          </w:tcPr>
          <w:p>
            <w:pPr>
              <w:pStyle w:val="14"/>
            </w:pPr>
            <w:r>
              <w:t>招商引资</w:t>
            </w:r>
          </w:p>
        </w:tc>
        <w:tc>
          <w:tcPr>
            <w:tcW w:w="384" w:type="pct"/>
            <w:vAlign w:val="center"/>
          </w:tcPr>
          <w:p>
            <w:pPr>
              <w:pStyle w:val="13"/>
            </w:pPr>
            <w:r>
              <w:t>117.49</w:t>
            </w:r>
          </w:p>
        </w:tc>
        <w:tc>
          <w:tcPr>
            <w:tcW w:w="384" w:type="pct"/>
            <w:vAlign w:val="center"/>
          </w:tcPr>
          <w:p>
            <w:pPr>
              <w:pStyle w:val="13"/>
            </w:pPr>
            <w:r>
              <w:t>117.49</w:t>
            </w:r>
          </w:p>
        </w:tc>
        <w:tc>
          <w:tcPr>
            <w:tcW w:w="384" w:type="pct"/>
            <w:vAlign w:val="center"/>
          </w:tcPr>
          <w:p>
            <w:pPr>
              <w:pStyle w:val="13"/>
            </w:pPr>
            <w:r>
              <w:t>117.49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6.06</w:t>
            </w:r>
          </w:p>
        </w:tc>
        <w:tc>
          <w:tcPr>
            <w:tcW w:w="384" w:type="pct"/>
            <w:vAlign w:val="center"/>
          </w:tcPr>
          <w:p>
            <w:pPr>
              <w:pStyle w:val="13"/>
            </w:pPr>
            <w:r>
              <w:t>6.06</w:t>
            </w:r>
          </w:p>
        </w:tc>
        <w:tc>
          <w:tcPr>
            <w:tcW w:w="384" w:type="pct"/>
            <w:vAlign w:val="center"/>
          </w:tcPr>
          <w:p>
            <w:pPr>
              <w:pStyle w:val="13"/>
            </w:pPr>
            <w:r>
              <w:t>6.06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6.06</w:t>
            </w:r>
          </w:p>
        </w:tc>
        <w:tc>
          <w:tcPr>
            <w:tcW w:w="384" w:type="pct"/>
            <w:vAlign w:val="center"/>
          </w:tcPr>
          <w:p>
            <w:pPr>
              <w:pStyle w:val="13"/>
            </w:pPr>
            <w:r>
              <w:t>6.06</w:t>
            </w:r>
          </w:p>
        </w:tc>
        <w:tc>
          <w:tcPr>
            <w:tcW w:w="384" w:type="pct"/>
            <w:vAlign w:val="center"/>
          </w:tcPr>
          <w:p>
            <w:pPr>
              <w:pStyle w:val="13"/>
            </w:pPr>
            <w:r>
              <w:t>6.06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2101199</w:t>
            </w:r>
          </w:p>
        </w:tc>
        <w:tc>
          <w:tcPr>
            <w:tcW w:w="384" w:type="pct"/>
            <w:vAlign w:val="center"/>
          </w:tcPr>
          <w:p>
            <w:pPr>
              <w:pStyle w:val="14"/>
            </w:pPr>
            <w:r>
              <w:t>其他行政事业单位医疗支出</w:t>
            </w:r>
          </w:p>
        </w:tc>
        <w:tc>
          <w:tcPr>
            <w:tcW w:w="384" w:type="pct"/>
            <w:vAlign w:val="center"/>
          </w:tcPr>
          <w:p>
            <w:pPr>
              <w:pStyle w:val="13"/>
            </w:pPr>
            <w:r>
              <w:t>6.06</w:t>
            </w:r>
          </w:p>
        </w:tc>
        <w:tc>
          <w:tcPr>
            <w:tcW w:w="384" w:type="pct"/>
            <w:vAlign w:val="center"/>
          </w:tcPr>
          <w:p>
            <w:pPr>
              <w:pStyle w:val="13"/>
            </w:pPr>
            <w:r>
              <w:t>6.06</w:t>
            </w:r>
          </w:p>
        </w:tc>
        <w:tc>
          <w:tcPr>
            <w:tcW w:w="384" w:type="pct"/>
            <w:vAlign w:val="center"/>
          </w:tcPr>
          <w:p>
            <w:pPr>
              <w:pStyle w:val="13"/>
            </w:pPr>
            <w:r>
              <w:t>6.06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2003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472魏县投资促进局</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123.55</w:t>
            </w:r>
          </w:p>
        </w:tc>
        <w:tc>
          <w:tcPr>
            <w:tcW w:w="555" w:type="pct"/>
            <w:vAlign w:val="center"/>
          </w:tcPr>
          <w:p>
            <w:pPr>
              <w:pStyle w:val="17"/>
            </w:pPr>
            <w:r>
              <w:t>123.55</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201</w:t>
            </w:r>
          </w:p>
        </w:tc>
        <w:tc>
          <w:tcPr>
            <w:tcW w:w="555" w:type="pct"/>
            <w:vAlign w:val="center"/>
          </w:tcPr>
          <w:p>
            <w:pPr>
              <w:pStyle w:val="14"/>
            </w:pPr>
            <w:r>
              <w:t>一般公共服务支出</w:t>
            </w:r>
          </w:p>
        </w:tc>
        <w:tc>
          <w:tcPr>
            <w:tcW w:w="555" w:type="pct"/>
            <w:vAlign w:val="center"/>
          </w:tcPr>
          <w:p>
            <w:pPr>
              <w:pStyle w:val="13"/>
            </w:pPr>
            <w:r>
              <w:t>117.49</w:t>
            </w:r>
          </w:p>
        </w:tc>
        <w:tc>
          <w:tcPr>
            <w:tcW w:w="555" w:type="pct"/>
            <w:vAlign w:val="center"/>
          </w:tcPr>
          <w:p>
            <w:pPr>
              <w:pStyle w:val="13"/>
            </w:pPr>
            <w:r>
              <w:t>117.49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20113</w:t>
            </w:r>
          </w:p>
        </w:tc>
        <w:tc>
          <w:tcPr>
            <w:tcW w:w="555" w:type="pct"/>
            <w:vAlign w:val="center"/>
          </w:tcPr>
          <w:p>
            <w:pPr>
              <w:pStyle w:val="14"/>
            </w:pPr>
            <w:r>
              <w:t>商贸事务</w:t>
            </w:r>
          </w:p>
        </w:tc>
        <w:tc>
          <w:tcPr>
            <w:tcW w:w="555" w:type="pct"/>
            <w:vAlign w:val="center"/>
          </w:tcPr>
          <w:p>
            <w:pPr>
              <w:pStyle w:val="13"/>
            </w:pPr>
            <w:r>
              <w:t>117.49</w:t>
            </w:r>
          </w:p>
        </w:tc>
        <w:tc>
          <w:tcPr>
            <w:tcW w:w="555" w:type="pct"/>
            <w:vAlign w:val="center"/>
          </w:tcPr>
          <w:p>
            <w:pPr>
              <w:pStyle w:val="13"/>
            </w:pPr>
            <w:r>
              <w:t>117.49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2011308</w:t>
            </w:r>
          </w:p>
        </w:tc>
        <w:tc>
          <w:tcPr>
            <w:tcW w:w="555" w:type="pct"/>
            <w:vAlign w:val="center"/>
          </w:tcPr>
          <w:p>
            <w:pPr>
              <w:pStyle w:val="14"/>
            </w:pPr>
            <w:r>
              <w:t>招商引资</w:t>
            </w:r>
          </w:p>
        </w:tc>
        <w:tc>
          <w:tcPr>
            <w:tcW w:w="555" w:type="pct"/>
            <w:vAlign w:val="center"/>
          </w:tcPr>
          <w:p>
            <w:pPr>
              <w:pStyle w:val="13"/>
            </w:pPr>
            <w:r>
              <w:t>117.49</w:t>
            </w:r>
          </w:p>
        </w:tc>
        <w:tc>
          <w:tcPr>
            <w:tcW w:w="555" w:type="pct"/>
            <w:vAlign w:val="center"/>
          </w:tcPr>
          <w:p>
            <w:pPr>
              <w:pStyle w:val="13"/>
            </w:pPr>
            <w:r>
              <w:t>117.49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6.06</w:t>
            </w:r>
          </w:p>
        </w:tc>
        <w:tc>
          <w:tcPr>
            <w:tcW w:w="555" w:type="pct"/>
            <w:vAlign w:val="center"/>
          </w:tcPr>
          <w:p>
            <w:pPr>
              <w:pStyle w:val="13"/>
            </w:pPr>
            <w:r>
              <w:t>6.06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6.06</w:t>
            </w:r>
          </w:p>
        </w:tc>
        <w:tc>
          <w:tcPr>
            <w:tcW w:w="555" w:type="pct"/>
            <w:vAlign w:val="center"/>
          </w:tcPr>
          <w:p>
            <w:pPr>
              <w:pStyle w:val="13"/>
            </w:pPr>
            <w:r>
              <w:t>6.06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2101199</w:t>
            </w:r>
          </w:p>
        </w:tc>
        <w:tc>
          <w:tcPr>
            <w:tcW w:w="555" w:type="pct"/>
            <w:vAlign w:val="center"/>
          </w:tcPr>
          <w:p>
            <w:pPr>
              <w:pStyle w:val="14"/>
            </w:pPr>
            <w:r>
              <w:t>其他行政事业单位医疗支出</w:t>
            </w:r>
          </w:p>
        </w:tc>
        <w:tc>
          <w:tcPr>
            <w:tcW w:w="555" w:type="pct"/>
            <w:vAlign w:val="center"/>
          </w:tcPr>
          <w:p>
            <w:pPr>
              <w:pStyle w:val="13"/>
            </w:pPr>
            <w:r>
              <w:t>6.06</w:t>
            </w:r>
          </w:p>
        </w:tc>
        <w:tc>
          <w:tcPr>
            <w:tcW w:w="555" w:type="pct"/>
            <w:vAlign w:val="center"/>
          </w:tcPr>
          <w:p>
            <w:pPr>
              <w:pStyle w:val="13"/>
            </w:pPr>
            <w:r>
              <w:t>6.06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30121"/>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123"/>
        <w:gridCol w:w="1628"/>
        <w:gridCol w:w="1877"/>
        <w:gridCol w:w="1877"/>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472魏县投资促进局</w:t>
            </w:r>
          </w:p>
        </w:tc>
        <w:tc>
          <w:tcPr>
            <w:tcW w:w="707" w:type="pct"/>
            <w:tcBorders>
              <w:top w:val="single" w:color="FFFFFF" w:sz="6" w:space="0"/>
              <w:left w:val="single" w:color="FFFFFF" w:sz="6" w:space="0"/>
              <w:right w:val="single" w:color="FFFFFF" w:sz="6" w:space="0"/>
            </w:tcBorders>
            <w:vAlign w:val="center"/>
          </w:tcPr>
          <w:p>
            <w:pPr>
              <w:pStyle w:val="10"/>
            </w:pPr>
            <w:r>
              <w:t>预算年度：2022</w:t>
            </w:r>
          </w:p>
        </w:tc>
        <w:tc>
          <w:tcPr>
            <w:tcW w:w="2417"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707" w:type="pct"/>
            <w:vAlign w:val="center"/>
          </w:tcPr>
          <w:p>
            <w:pPr>
              <w:pStyle w:val="12"/>
            </w:pPr>
            <w:r>
              <w:t>项  目</w:t>
            </w:r>
          </w:p>
        </w:tc>
        <w:tc>
          <w:tcPr>
            <w:tcW w:w="542"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707" w:type="pct"/>
            <w:vAlign w:val="center"/>
          </w:tcPr>
          <w:p>
            <w:pPr>
              <w:pStyle w:val="12"/>
            </w:pPr>
            <w:r>
              <w:t>3</w:t>
            </w:r>
          </w:p>
        </w:tc>
        <w:tc>
          <w:tcPr>
            <w:tcW w:w="542"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123.55</w:t>
            </w:r>
          </w:p>
        </w:tc>
        <w:tc>
          <w:tcPr>
            <w:tcW w:w="707" w:type="pct"/>
            <w:vAlign w:val="center"/>
          </w:tcPr>
          <w:p>
            <w:pPr>
              <w:pStyle w:val="14"/>
            </w:pPr>
            <w:r>
              <w:t>一、一般公共服务支出</w:t>
            </w:r>
          </w:p>
        </w:tc>
        <w:tc>
          <w:tcPr>
            <w:tcW w:w="542" w:type="pct"/>
            <w:vAlign w:val="center"/>
          </w:tcPr>
          <w:p>
            <w:pPr>
              <w:pStyle w:val="13"/>
            </w:pPr>
            <w:r>
              <w:t>117.49</w:t>
            </w:r>
          </w:p>
        </w:tc>
        <w:tc>
          <w:tcPr>
            <w:tcW w:w="625" w:type="pct"/>
            <w:vAlign w:val="center"/>
          </w:tcPr>
          <w:p>
            <w:pPr>
              <w:pStyle w:val="13"/>
            </w:pPr>
            <w:r>
              <w:t>117.49</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p>
        </w:tc>
        <w:tc>
          <w:tcPr>
            <w:tcW w:w="707" w:type="pct"/>
            <w:vAlign w:val="center"/>
          </w:tcPr>
          <w:p>
            <w:pPr>
              <w:pStyle w:val="14"/>
            </w:pPr>
            <w:r>
              <w:t>二、外交支出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707" w:type="pct"/>
            <w:vAlign w:val="center"/>
          </w:tcPr>
          <w:p>
            <w:pPr>
              <w:pStyle w:val="14"/>
            </w:pPr>
            <w:r>
              <w:t>三、国防支出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四、公共安全支出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五、教育支出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六、科学技术支出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七、文化旅游体育与传媒支出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八、社会保障和就业支出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九、社会保险基金支出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十、卫生健康支出</w:t>
            </w:r>
          </w:p>
        </w:tc>
        <w:tc>
          <w:tcPr>
            <w:tcW w:w="542" w:type="pct"/>
            <w:vAlign w:val="center"/>
          </w:tcPr>
          <w:p>
            <w:pPr>
              <w:pStyle w:val="13"/>
            </w:pPr>
            <w:r>
              <w:t>6.06</w:t>
            </w:r>
          </w:p>
        </w:tc>
        <w:tc>
          <w:tcPr>
            <w:tcW w:w="625" w:type="pct"/>
            <w:vAlign w:val="center"/>
          </w:tcPr>
          <w:p>
            <w:pPr>
              <w:pStyle w:val="13"/>
            </w:pPr>
            <w:r>
              <w:t>6.06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十一、节能环保支出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十二、城乡社区支出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十三、农林水支出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十四、交通运输支出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十五、资源勘探工业信息等支出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十六、商业服务业等支出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十七、金融支出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十八、援助其他地区支出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十九、自然资源海洋气象等支出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二十、住房保障支出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二十一、粮油物资储备支出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二十二、国有资本经营预算支出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二十三、灾害防治及应急管理支出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二十四、预备费</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二十五、其他支出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二十六、转移性支出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二十七、债务还本支出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二十八、债务付息支出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二十九、债务发行费用支出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707" w:type="pct"/>
            <w:vAlign w:val="center"/>
          </w:tcPr>
          <w:p>
            <w:pPr>
              <w:pStyle w:val="14"/>
            </w:pPr>
            <w:r>
              <w:t>三十、抗疫特别国债安排的支出</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6"/>
            </w:pPr>
            <w:r>
              <w:t>本年收入合计</w:t>
            </w:r>
          </w:p>
        </w:tc>
        <w:tc>
          <w:tcPr>
            <w:tcW w:w="625" w:type="pct"/>
            <w:vAlign w:val="center"/>
          </w:tcPr>
          <w:p>
            <w:pPr>
              <w:pStyle w:val="17"/>
            </w:pPr>
            <w:r>
              <w:t>123.55</w:t>
            </w:r>
          </w:p>
        </w:tc>
        <w:tc>
          <w:tcPr>
            <w:tcW w:w="707" w:type="pct"/>
            <w:vAlign w:val="center"/>
          </w:tcPr>
          <w:p>
            <w:pPr>
              <w:pStyle w:val="16"/>
            </w:pPr>
            <w:r>
              <w:t>本年支出合计</w:t>
            </w:r>
          </w:p>
        </w:tc>
        <w:tc>
          <w:tcPr>
            <w:tcW w:w="542" w:type="pct"/>
            <w:vAlign w:val="center"/>
          </w:tcPr>
          <w:p>
            <w:pPr>
              <w:pStyle w:val="17"/>
            </w:pPr>
            <w:r>
              <w:t>123.55</w:t>
            </w:r>
          </w:p>
        </w:tc>
        <w:tc>
          <w:tcPr>
            <w:tcW w:w="625" w:type="pct"/>
            <w:vAlign w:val="center"/>
          </w:tcPr>
          <w:p>
            <w:pPr>
              <w:pStyle w:val="17"/>
            </w:pPr>
            <w:r>
              <w:t>123.55</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4"/>
            </w:pPr>
            <w:r>
              <w:t>年初财政拨款结转和结余</w:t>
            </w:r>
          </w:p>
        </w:tc>
        <w:tc>
          <w:tcPr>
            <w:tcW w:w="625" w:type="pct"/>
            <w:vAlign w:val="center"/>
          </w:tcPr>
          <w:p>
            <w:pPr>
              <w:pStyle w:val="13"/>
            </w:pPr>
          </w:p>
        </w:tc>
        <w:tc>
          <w:tcPr>
            <w:tcW w:w="707" w:type="pct"/>
            <w:vAlign w:val="center"/>
          </w:tcPr>
          <w:p>
            <w:pPr>
              <w:pStyle w:val="14"/>
            </w:pPr>
            <w:r>
              <w:t>年末财政拨款结转和结余</w:t>
            </w: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一、一般公共预算拨款</w:t>
            </w:r>
          </w:p>
        </w:tc>
        <w:tc>
          <w:tcPr>
            <w:tcW w:w="625" w:type="pct"/>
            <w:vAlign w:val="center"/>
          </w:tcPr>
          <w:p>
            <w:pPr>
              <w:pStyle w:val="13"/>
            </w:pPr>
          </w:p>
        </w:tc>
        <w:tc>
          <w:tcPr>
            <w:tcW w:w="707" w:type="pct"/>
            <w:vAlign w:val="center"/>
          </w:tcPr>
          <w:p>
            <w:pPr>
              <w:pStyle w:val="14"/>
            </w:pP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二、政府性基金预算拨款</w:t>
            </w:r>
          </w:p>
        </w:tc>
        <w:tc>
          <w:tcPr>
            <w:tcW w:w="625" w:type="pct"/>
            <w:vAlign w:val="center"/>
          </w:tcPr>
          <w:p>
            <w:pPr>
              <w:pStyle w:val="13"/>
            </w:pPr>
          </w:p>
        </w:tc>
        <w:tc>
          <w:tcPr>
            <w:tcW w:w="707" w:type="pct"/>
            <w:vAlign w:val="center"/>
          </w:tcPr>
          <w:p>
            <w:pPr>
              <w:pStyle w:val="14"/>
            </w:pP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三、国有资本经营预算拨款</w:t>
            </w:r>
          </w:p>
        </w:tc>
        <w:tc>
          <w:tcPr>
            <w:tcW w:w="625" w:type="pct"/>
            <w:vAlign w:val="center"/>
          </w:tcPr>
          <w:p>
            <w:pPr>
              <w:pStyle w:val="13"/>
            </w:pPr>
          </w:p>
        </w:tc>
        <w:tc>
          <w:tcPr>
            <w:tcW w:w="707" w:type="pct"/>
            <w:vAlign w:val="center"/>
          </w:tcPr>
          <w:p>
            <w:pPr>
              <w:pStyle w:val="14"/>
            </w:pPr>
          </w:p>
        </w:tc>
        <w:tc>
          <w:tcPr>
            <w:tcW w:w="54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6"/>
            </w:pPr>
            <w:r>
              <w:t>收入总计</w:t>
            </w:r>
          </w:p>
        </w:tc>
        <w:tc>
          <w:tcPr>
            <w:tcW w:w="625" w:type="pct"/>
            <w:vAlign w:val="center"/>
          </w:tcPr>
          <w:p>
            <w:pPr>
              <w:pStyle w:val="17"/>
            </w:pPr>
            <w:r>
              <w:t>123.55</w:t>
            </w:r>
          </w:p>
        </w:tc>
        <w:tc>
          <w:tcPr>
            <w:tcW w:w="707" w:type="pct"/>
            <w:vAlign w:val="center"/>
          </w:tcPr>
          <w:p>
            <w:pPr>
              <w:pStyle w:val="16"/>
            </w:pPr>
            <w:r>
              <w:t>支出总计</w:t>
            </w:r>
          </w:p>
        </w:tc>
        <w:tc>
          <w:tcPr>
            <w:tcW w:w="542" w:type="pct"/>
            <w:vAlign w:val="center"/>
          </w:tcPr>
          <w:p>
            <w:pPr>
              <w:pStyle w:val="17"/>
            </w:pPr>
            <w:r>
              <w:t>123.55</w:t>
            </w:r>
          </w:p>
        </w:tc>
        <w:tc>
          <w:tcPr>
            <w:tcW w:w="625" w:type="pct"/>
            <w:vAlign w:val="center"/>
          </w:tcPr>
          <w:p>
            <w:pPr>
              <w:pStyle w:val="17"/>
            </w:pPr>
            <w:r>
              <w:t>123.55</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12188"/>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472魏县投资促进局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123.55</w:t>
            </w:r>
          </w:p>
        </w:tc>
        <w:tc>
          <w:tcPr>
            <w:tcW w:w="833" w:type="pct"/>
            <w:vAlign w:val="center"/>
          </w:tcPr>
          <w:p>
            <w:pPr>
              <w:pStyle w:val="17"/>
            </w:pPr>
            <w:r>
              <w:t>123.55</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201</w:t>
            </w:r>
          </w:p>
        </w:tc>
        <w:tc>
          <w:tcPr>
            <w:tcW w:w="833" w:type="pct"/>
            <w:vAlign w:val="center"/>
          </w:tcPr>
          <w:p>
            <w:pPr>
              <w:pStyle w:val="14"/>
            </w:pPr>
            <w:r>
              <w:t>一般公共服务支出</w:t>
            </w:r>
          </w:p>
        </w:tc>
        <w:tc>
          <w:tcPr>
            <w:tcW w:w="833" w:type="pct"/>
            <w:vAlign w:val="center"/>
          </w:tcPr>
          <w:p>
            <w:pPr>
              <w:pStyle w:val="13"/>
            </w:pPr>
            <w:r>
              <w:t>117.49</w:t>
            </w:r>
          </w:p>
        </w:tc>
        <w:tc>
          <w:tcPr>
            <w:tcW w:w="833" w:type="pct"/>
            <w:vAlign w:val="center"/>
          </w:tcPr>
          <w:p>
            <w:pPr>
              <w:pStyle w:val="13"/>
            </w:pPr>
            <w:r>
              <w:t>117.49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20113</w:t>
            </w:r>
          </w:p>
        </w:tc>
        <w:tc>
          <w:tcPr>
            <w:tcW w:w="833" w:type="pct"/>
            <w:vAlign w:val="center"/>
          </w:tcPr>
          <w:p>
            <w:pPr>
              <w:pStyle w:val="14"/>
            </w:pPr>
            <w:r>
              <w:t>商贸事务</w:t>
            </w:r>
          </w:p>
        </w:tc>
        <w:tc>
          <w:tcPr>
            <w:tcW w:w="833" w:type="pct"/>
            <w:vAlign w:val="center"/>
          </w:tcPr>
          <w:p>
            <w:pPr>
              <w:pStyle w:val="13"/>
            </w:pPr>
            <w:r>
              <w:t>117.49</w:t>
            </w:r>
          </w:p>
        </w:tc>
        <w:tc>
          <w:tcPr>
            <w:tcW w:w="833" w:type="pct"/>
            <w:vAlign w:val="center"/>
          </w:tcPr>
          <w:p>
            <w:pPr>
              <w:pStyle w:val="13"/>
            </w:pPr>
            <w:r>
              <w:t>117.49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2011308</w:t>
            </w:r>
          </w:p>
        </w:tc>
        <w:tc>
          <w:tcPr>
            <w:tcW w:w="833" w:type="pct"/>
            <w:vAlign w:val="center"/>
          </w:tcPr>
          <w:p>
            <w:pPr>
              <w:pStyle w:val="14"/>
            </w:pPr>
            <w:r>
              <w:t>招商引资</w:t>
            </w:r>
          </w:p>
        </w:tc>
        <w:tc>
          <w:tcPr>
            <w:tcW w:w="833" w:type="pct"/>
            <w:vAlign w:val="center"/>
          </w:tcPr>
          <w:p>
            <w:pPr>
              <w:pStyle w:val="13"/>
            </w:pPr>
            <w:r>
              <w:t>117.49</w:t>
            </w:r>
          </w:p>
        </w:tc>
        <w:tc>
          <w:tcPr>
            <w:tcW w:w="833" w:type="pct"/>
            <w:vAlign w:val="center"/>
          </w:tcPr>
          <w:p>
            <w:pPr>
              <w:pStyle w:val="13"/>
            </w:pPr>
            <w:r>
              <w:t>117.49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6.06</w:t>
            </w:r>
          </w:p>
        </w:tc>
        <w:tc>
          <w:tcPr>
            <w:tcW w:w="833" w:type="pct"/>
            <w:vAlign w:val="center"/>
          </w:tcPr>
          <w:p>
            <w:pPr>
              <w:pStyle w:val="13"/>
            </w:pPr>
            <w:r>
              <w:t>6.06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6.06</w:t>
            </w:r>
          </w:p>
        </w:tc>
        <w:tc>
          <w:tcPr>
            <w:tcW w:w="833" w:type="pct"/>
            <w:vAlign w:val="center"/>
          </w:tcPr>
          <w:p>
            <w:pPr>
              <w:pStyle w:val="13"/>
            </w:pPr>
            <w:r>
              <w:t>6.06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2101199</w:t>
            </w:r>
          </w:p>
        </w:tc>
        <w:tc>
          <w:tcPr>
            <w:tcW w:w="833" w:type="pct"/>
            <w:vAlign w:val="center"/>
          </w:tcPr>
          <w:p>
            <w:pPr>
              <w:pStyle w:val="14"/>
            </w:pPr>
            <w:r>
              <w:t>其他行政事业单位医疗支出</w:t>
            </w:r>
          </w:p>
        </w:tc>
        <w:tc>
          <w:tcPr>
            <w:tcW w:w="833" w:type="pct"/>
            <w:vAlign w:val="center"/>
          </w:tcPr>
          <w:p>
            <w:pPr>
              <w:pStyle w:val="13"/>
            </w:pPr>
            <w:r>
              <w:t>6.06</w:t>
            </w:r>
          </w:p>
        </w:tc>
        <w:tc>
          <w:tcPr>
            <w:tcW w:w="833" w:type="pct"/>
            <w:vAlign w:val="center"/>
          </w:tcPr>
          <w:p>
            <w:pPr>
              <w:pStyle w:val="13"/>
            </w:pPr>
            <w:r>
              <w:t>6.06</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20528"/>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472魏县投资促进局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123.55</w:t>
            </w:r>
          </w:p>
        </w:tc>
        <w:tc>
          <w:tcPr>
            <w:tcW w:w="833" w:type="pct"/>
            <w:vAlign w:val="center"/>
          </w:tcPr>
          <w:p>
            <w:pPr>
              <w:pStyle w:val="17"/>
            </w:pPr>
            <w:r>
              <w:t>110.55</w:t>
            </w:r>
          </w:p>
        </w:tc>
        <w:tc>
          <w:tcPr>
            <w:tcW w:w="833" w:type="pct"/>
            <w:vAlign w:val="center"/>
          </w:tcPr>
          <w:p>
            <w:pPr>
              <w:pStyle w:val="17"/>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110.55</w:t>
            </w:r>
          </w:p>
        </w:tc>
        <w:tc>
          <w:tcPr>
            <w:tcW w:w="833" w:type="pct"/>
            <w:vAlign w:val="center"/>
          </w:tcPr>
          <w:p>
            <w:pPr>
              <w:pStyle w:val="13"/>
            </w:pPr>
            <w:r>
              <w:t>110.55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68.96</w:t>
            </w:r>
          </w:p>
        </w:tc>
        <w:tc>
          <w:tcPr>
            <w:tcW w:w="833" w:type="pct"/>
            <w:vAlign w:val="center"/>
          </w:tcPr>
          <w:p>
            <w:pPr>
              <w:pStyle w:val="13"/>
            </w:pPr>
            <w:r>
              <w:t>68.96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7.41</w:t>
            </w:r>
          </w:p>
        </w:tc>
        <w:tc>
          <w:tcPr>
            <w:tcW w:w="833" w:type="pct"/>
            <w:vAlign w:val="center"/>
          </w:tcPr>
          <w:p>
            <w:pPr>
              <w:pStyle w:val="13"/>
            </w:pPr>
            <w:r>
              <w:t>7.41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10.70</w:t>
            </w:r>
          </w:p>
        </w:tc>
        <w:tc>
          <w:tcPr>
            <w:tcW w:w="833" w:type="pct"/>
            <w:vAlign w:val="center"/>
          </w:tcPr>
          <w:p>
            <w:pPr>
              <w:pStyle w:val="13"/>
            </w:pPr>
            <w:r>
              <w:t>10.70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30109</w:t>
            </w:r>
          </w:p>
        </w:tc>
        <w:tc>
          <w:tcPr>
            <w:tcW w:w="833" w:type="pct"/>
            <w:vAlign w:val="center"/>
          </w:tcPr>
          <w:p>
            <w:pPr>
              <w:pStyle w:val="14"/>
            </w:pPr>
            <w:r>
              <w:t>职业年金缴费</w:t>
            </w:r>
          </w:p>
        </w:tc>
        <w:tc>
          <w:tcPr>
            <w:tcW w:w="833" w:type="pct"/>
            <w:vAlign w:val="center"/>
          </w:tcPr>
          <w:p>
            <w:pPr>
              <w:pStyle w:val="13"/>
            </w:pPr>
            <w:r>
              <w:t>5.35</w:t>
            </w:r>
          </w:p>
        </w:tc>
        <w:tc>
          <w:tcPr>
            <w:tcW w:w="833" w:type="pct"/>
            <w:vAlign w:val="center"/>
          </w:tcPr>
          <w:p>
            <w:pPr>
              <w:pStyle w:val="13"/>
            </w:pPr>
            <w:r>
              <w:t>5.35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6.06</w:t>
            </w:r>
          </w:p>
        </w:tc>
        <w:tc>
          <w:tcPr>
            <w:tcW w:w="833" w:type="pct"/>
            <w:vAlign w:val="center"/>
          </w:tcPr>
          <w:p>
            <w:pPr>
              <w:pStyle w:val="13"/>
            </w:pPr>
            <w:r>
              <w:t>6.06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30199</w:t>
            </w:r>
          </w:p>
        </w:tc>
        <w:tc>
          <w:tcPr>
            <w:tcW w:w="833" w:type="pct"/>
            <w:vAlign w:val="center"/>
          </w:tcPr>
          <w:p>
            <w:pPr>
              <w:pStyle w:val="14"/>
            </w:pPr>
            <w:r>
              <w:t>其他工资福利支出</w:t>
            </w:r>
          </w:p>
        </w:tc>
        <w:tc>
          <w:tcPr>
            <w:tcW w:w="833" w:type="pct"/>
            <w:vAlign w:val="center"/>
          </w:tcPr>
          <w:p>
            <w:pPr>
              <w:pStyle w:val="13"/>
            </w:pPr>
            <w:r>
              <w:t>12.07</w:t>
            </w:r>
          </w:p>
        </w:tc>
        <w:tc>
          <w:tcPr>
            <w:tcW w:w="833" w:type="pct"/>
            <w:vAlign w:val="center"/>
          </w:tcPr>
          <w:p>
            <w:pPr>
              <w:pStyle w:val="13"/>
            </w:pPr>
            <w:r>
              <w:t>12.07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13.00</w:t>
            </w:r>
          </w:p>
        </w:tc>
        <w:tc>
          <w:tcPr>
            <w:tcW w:w="833" w:type="pct"/>
            <w:vAlign w:val="center"/>
          </w:tcPr>
          <w:p>
            <w:pPr>
              <w:pStyle w:val="13"/>
            </w:pPr>
          </w:p>
        </w:tc>
        <w:tc>
          <w:tcPr>
            <w:tcW w:w="833" w:type="pct"/>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13.00</w:t>
            </w:r>
          </w:p>
        </w:tc>
        <w:tc>
          <w:tcPr>
            <w:tcW w:w="833" w:type="pct"/>
            <w:vAlign w:val="center"/>
          </w:tcPr>
          <w:p>
            <w:pPr>
              <w:pStyle w:val="13"/>
            </w:pPr>
          </w:p>
        </w:tc>
        <w:tc>
          <w:tcPr>
            <w:tcW w:w="833" w:type="pct"/>
            <w:vAlign w:val="center"/>
          </w:tcPr>
          <w:p>
            <w:pPr>
              <w:pStyle w:val="13"/>
            </w:pPr>
            <w:r>
              <w:t>13.00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9816"/>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472魏县投资促进局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21159"/>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472魏县投资促进局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32277"/>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472魏县投资促进局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魏县投资促进局2022年部门预算信息公开情况说明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魏县投资促进局2022年部门预算信息公开情况说明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按照《预算法》、《地方预决算公开操作规程》和《关于进一步推进预算公开工作的实施意见》规定，现将魏县投资促进局2022年部门预算公开如下：</w:t>
      </w:r>
    </w:p>
    <w:p>
      <w:pPr>
        <w:spacing w:before="10" w:after="10" w:line="360" w:lineRule="auto"/>
        <w:ind w:firstLine="640"/>
        <w:jc w:val="left"/>
        <w:outlineLvl w:val="2"/>
      </w:pPr>
      <w:bookmarkStart w:id="9" w:name="_Toc31759"/>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魏县投资促进局本级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1292"/>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按照预算管理有关规定，目前我省部门预算的编制实行综合预算管理，即全部收入和支出都反映在预算中。魏县投资促进局机关及所属事业单位的收支包含在部门预算中。</w:t>
      </w:r>
    </w:p>
    <w:p>
      <w:pPr>
        <w:pStyle w:val="20"/>
      </w:pPr>
      <w:r>
        <w:t>预算共安排123.56万元，其中人员工资110.56万元，正常公用经费13万元</w:t>
      </w:r>
    </w:p>
    <w:p>
      <w:pPr>
        <w:spacing w:before="10" w:after="10" w:line="360" w:lineRule="auto"/>
        <w:ind w:firstLine="640"/>
        <w:jc w:val="left"/>
        <w:outlineLvl w:val="2"/>
      </w:pPr>
      <w:bookmarkStart w:id="11" w:name="_Toc11019"/>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bookmarkStart w:id="12" w:name="_Toc1306"/>
      <w:r>
        <w:rPr>
          <w:rFonts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13</w:t>
      </w:r>
      <w:r>
        <w:rPr>
          <w:rFonts w:ascii="Times New Roman" w:hAnsi="Times New Roman" w:eastAsia="方正仿宋_GBK" w:cs="Times New Roman"/>
          <w:sz w:val="28"/>
          <w:szCs w:val="24"/>
          <w:lang w:val="en-US" w:eastAsia="uk-UA" w:bidi="ar-SA"/>
        </w:rPr>
        <w:t>万元，主要用于保证正常办公的基本需要和维持单位日常业务运转，包括：办公费、邮电费、差旅费、手续费、公务接待费、工会经费、离退休干部经费等</w:t>
      </w:r>
      <w:r>
        <w:rPr>
          <w:rFonts w:hint="eastAsia" w:eastAsia="方正仿宋_GBK" w:cs="Times New Roman"/>
          <w:sz w:val="28"/>
          <w:szCs w:val="24"/>
          <w:lang w:val="en-US" w:eastAsia="zh-CN" w:bidi="ar-SA"/>
        </w:rPr>
        <w:t>.</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ind w:left="557" w:leftChars="232" w:firstLine="92" w:firstLineChars="33"/>
        <w:rPr>
          <w:rFonts w:hint="eastAsia" w:eastAsia="方正仿宋_GBK"/>
          <w:lang w:eastAsia="zh-CN"/>
        </w:rPr>
      </w:pPr>
      <w:bookmarkStart w:id="13" w:name="_Toc9723"/>
      <w:bookmarkStart w:id="18" w:name="_GoBack"/>
      <w:r>
        <w:t>202</w:t>
      </w:r>
      <w:r>
        <w:rPr>
          <w:rFonts w:hint="eastAsia"/>
          <w:lang w:val="en-US" w:eastAsia="zh-CN"/>
        </w:rPr>
        <w:t>2</w:t>
      </w:r>
      <w:r>
        <w:t>年，财政拨款“三公”经费预算安排0万元。与2022</w:t>
      </w:r>
      <w:r>
        <w:rPr>
          <w:rFonts w:hint="eastAsia"/>
          <w:lang w:val="en-US" w:eastAsia="zh-CN"/>
        </w:rPr>
        <w:t>1</w:t>
      </w:r>
      <w:r>
        <w:t> 年相比没有增减变动，原因是我单位根据单位业务需要，未安排“三公”经费支出</w:t>
      </w:r>
      <w:r>
        <w:rPr>
          <w:rFonts w:hint="eastAsia"/>
          <w:lang w:eastAsia="zh-CN"/>
        </w:rPr>
        <w:t>。</w:t>
      </w:r>
      <w:bookmarkEnd w:id="18"/>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树牢“项目为王”理念。坚持“稳字当头、稳中求快、快中求好”，强化“项目为王”理念，项目为零、一切为零，矢志不渝抓招商、上项目、优环境，强化大抓项目、抓大项目，一切盯着项目看、一切围着项目转、一切扭住项目干，形成全县上下大抓招商引资项目建设的热潮，确保项目引得来、落得下、建得好、真达效。</w:t>
      </w:r>
    </w:p>
    <w:p>
      <w:pPr>
        <w:pStyle w:val="23"/>
      </w:pPr>
      <w:r>
        <w:t>（二）整合资源优势，围绕先进装备制造、新型材料、节能环保、食品加工四大主导产业开展重点招商，抢抓京津、珠三角、长三角等重点区域产业转移、区域合作新机遇，紧盯国际、国内500强企业、央企、大型国企和民营500强企业、各重点行业前100强企业，优化招商布局，大力对接沟通，开展招商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开展专题招商。围绕我县主导产业和重点产业链，深入分析查找产业链短板弱项，围绕补链、延链、强链、建链主旨导向，谋划系列“云招商”活动，坚持线上线下相结合，重点抓住珠三角重点产业外迁和长三角地区南资北移的重大机遇，适时在北京、上海、广州、深圳、福建等地，精心举办各类专题招商活动。2.开展“头部企业”招商。认真梳理我县产业龙头企业、骨干企业和高新技术企业产业链、供应链上下游关联企业，聚焦先进装备制造、节能环保等优势产业，通过县域龙头企业招引项目，寻求战略合作。3.突出产业园招商。积极推动中车、徐州、航空、高端紧固件、循环经济、量子点、中普精密制造、食品、雕塑、高端礼服、电力、电子等产业园招商力度，形成一批产业聚集产业园。4.开展“填白式”招商。聚焦我县“专精特新”小巨人企业、新兴产业，纵向开展补充式、填白式招商，实现产业链向上下游延伸。5.强化驻会驻企招商。进一步优化驻会驻企招商制度，从全县行政机关和企事业单位中公开选出年轻有活力、懂招商、爱招商，愿意为魏县经济发展做贡献、在商会和企业有一定人脉关系资源的中青年干部，派驻到北京、上海、广州、深圳等各地商会和知名企业跟班学习开展招商，以招商成绩作为提拔重用依据，激发干部招商热情。</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对其考察项目进行研判、出具意见，县委办方可按程序履行请假手续，考察后及时反馈招商成效。2.汇报通报机制。实施重点招商项目半月向县委、县政府主要领导汇报制度；对招商任务单位招商情况实行动态台账式管理，强化督导考核，推行月通报、季“亮相”、半年考核、年终总考机制，以月促季，以季促年。3.联审联批机制。进一步完善联审联批联推机制，建立招商项目联审工作群。招商项目洽谈成熟后，经县产业招商促进中心初审后，符合上会要求的，提请召开招商项目联审联批联批会议。4.归口统一签约机制。所有招商项目合作协议（一式四份）由县产业招商促进中心负责统一把关，经项目业主、洽谈对接单位和分包县级领导审定后，由县产业招商促进中心负责提交县政府常务会审定；经政府常务会议研究通过后，县产业招商促进中心组织签约并由相关部门存档。5.项目签约移交机制。招商项目签约完成后，由县产业招商促进中心统一移交给县发改局（重点项目服务中心）、审批局和帮办部门，推动项目早日落地开工。</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10" w:after="10" w:line="240" w:lineRule="auto"/>
        <w:ind w:firstLine="640"/>
        <w:jc w:val="left"/>
        <w:outlineLvl w:val="2"/>
      </w:pPr>
      <w:bookmarkStart w:id="14" w:name="_Toc15516"/>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2022年，魏县投资促进局安排政府采购预算0.00万元。具体内容见下表。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472魏县投资促进局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14750"/>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魏县投资促进局（含所属单位）上年末固定资产金额为28.12万元（详见下表）。本年度拟购置固定资产总额为0.00万元，已按要求列入政府采购预算，详见政府采购预算表。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472魏县投资促进局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66</w:t>
            </w:r>
          </w:p>
        </w:tc>
        <w:tc>
          <w:tcPr>
            <w:tcW w:w="4933" w:type="dxa"/>
            <w:vAlign w:val="center"/>
          </w:tcPr>
          <w:p>
            <w:pPr>
              <w:pStyle w:val="13"/>
            </w:pPr>
            <w:r>
              <w:t>28.12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14806"/>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bookmarkStart w:id="17" w:name="_Toc26018"/>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320" w:firstLineChars="100"/>
        <w:jc w:val="left"/>
        <w:outlineLvl w:val="2"/>
        <w:rPr>
          <w:rFonts w:ascii="黑体" w:hAnsi="黑体" w:eastAsia="黑体" w:cs="黑体"/>
          <w:color w:val="000000"/>
          <w:sz w:val="32"/>
          <w:lang w:eastAsia="uk-UA"/>
        </w:rPr>
      </w:pPr>
      <w:r>
        <w:rPr>
          <w:rFonts w:ascii="黑体" w:hAnsi="黑体" w:eastAsia="黑体" w:cs="黑体"/>
          <w:color w:val="000000"/>
          <w:sz w:val="32"/>
          <w:lang w:eastAsia="uk-UA"/>
        </w:rPr>
        <w:t>九、其他需要说明的事项</w:t>
      </w:r>
      <w:bookmarkEnd w:id="17"/>
    </w:p>
    <w:p>
      <w:pPr>
        <w:spacing w:before="0" w:after="0" w:line="500" w:lineRule="exact"/>
        <w:ind w:firstLine="560"/>
        <w:jc w:val="left"/>
        <w:outlineLvl w:val="9"/>
        <w:rPr>
          <w:rFonts w:ascii="Times New Roman" w:hAnsi="Times New Roman" w:eastAsia="方正仿宋_GBK" w:cs="Times New Roman"/>
          <w:b w:val="0"/>
          <w:color w:val="000000"/>
          <w:sz w:val="28"/>
          <w:lang w:eastAsia="uk-UA"/>
        </w:rPr>
      </w:pPr>
      <w:r>
        <w:rPr>
          <w:rFonts w:ascii="Times New Roman" w:hAnsi="Times New Roman" w:eastAsia="方正仿宋_GBK" w:cs="Times New Roman"/>
          <w:b w:val="0"/>
          <w:color w:val="000000"/>
          <w:sz w:val="28"/>
          <w:lang w:eastAsia="uk-UA"/>
        </w:rPr>
        <w:t>我单位无其他需要说明的事项。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MDI2MTA0MDgyZGI2ZWU4ZTRlMzY0NmVkODVjYTAifQ=="/>
  </w:docVars>
  <w:rsids>
    <w:rsidRoot w:val="00000000"/>
    <w:rsid w:val="00167987"/>
    <w:rsid w:val="222C27E6"/>
    <w:rsid w:val="36DA4E9D"/>
    <w:rsid w:val="373E2689"/>
    <w:rsid w:val="38EB6B6E"/>
    <w:rsid w:val="3EFA364C"/>
    <w:rsid w:val="63872F3C"/>
    <w:rsid w:val="7E564E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2022-03-18T08:46:28Z</dcterms:created>
  <dcterms:modified xsi:type="dcterms:W3CDTF">2022-03-18T00:46:28Z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2022-03-18T08:46:32Z</dcterms:created>
  <dcterms:modified xsi:type="dcterms:W3CDTF">2022-03-18T00:46:32Z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2022-03-18T08:46:31Z</dcterms:created>
  <dcterms:modified xsi:type="dcterms:W3CDTF">2022-03-18T00:46:31Z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2022-03-18T08:46:29Z</dcterms:created>
  <dcterms:modified xsi:type="dcterms:W3CDTF">2022-03-18T00:46:29Z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2022-03-18T08:46:28Z</dcterms:created>
  <dcterms:modified xsi:type="dcterms:W3CDTF">2022-03-18T00:46:28Z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9b7f53-b551-43c9-b7be-9758f07a5032}">
  <ds:schemaRefs/>
</ds:datastoreItem>
</file>

<file path=customXml/itemProps10.xml><?xml version="1.0" encoding="utf-8"?>
<ds:datastoreItem xmlns:ds="http://schemas.openxmlformats.org/officeDocument/2006/customXml" ds:itemID="{55271698-9dbc-488a-8edc-92bc7a0a392e}">
  <ds:schemaRefs/>
</ds:datastoreItem>
</file>

<file path=customXml/itemProps2.xml><?xml version="1.0" encoding="utf-8"?>
<ds:datastoreItem xmlns:ds="http://schemas.openxmlformats.org/officeDocument/2006/customXml" ds:itemID="{5cc8f43e-24e6-46e2-b77a-a4c8e7d29562}">
  <ds:schemaRefs/>
</ds:datastoreItem>
</file>

<file path=customXml/itemProps3.xml><?xml version="1.0" encoding="utf-8"?>
<ds:datastoreItem xmlns:ds="http://schemas.openxmlformats.org/officeDocument/2006/customXml" ds:itemID="{9fd5df98-2313-41c5-b974-13ef1e830a90}">
  <ds:schemaRefs/>
</ds:datastoreItem>
</file>

<file path=customXml/itemProps4.xml><?xml version="1.0" encoding="utf-8"?>
<ds:datastoreItem xmlns:ds="http://schemas.openxmlformats.org/officeDocument/2006/customXml" ds:itemID="{8318aabf-4f2a-4879-ab4c-b20d219a5a02}">
  <ds:schemaRefs/>
</ds:datastoreItem>
</file>

<file path=customXml/itemProps5.xml><?xml version="1.0" encoding="utf-8"?>
<ds:datastoreItem xmlns:ds="http://schemas.openxmlformats.org/officeDocument/2006/customXml" ds:itemID="{c4994404-5615-4f56-b0b4-edadc447c470}">
  <ds:schemaRefs/>
</ds:datastoreItem>
</file>

<file path=customXml/itemProps6.xml><?xml version="1.0" encoding="utf-8"?>
<ds:datastoreItem xmlns:ds="http://schemas.openxmlformats.org/officeDocument/2006/customXml" ds:itemID="{08fb7615-1890-443c-8962-fb5280350cd5}">
  <ds:schemaRefs/>
</ds:datastoreItem>
</file>

<file path=customXml/itemProps7.xml><?xml version="1.0" encoding="utf-8"?>
<ds:datastoreItem xmlns:ds="http://schemas.openxmlformats.org/officeDocument/2006/customXml" ds:itemID="{8da092d4-3e31-444d-8bb7-13ec00a8f515}">
  <ds:schemaRefs/>
</ds:datastoreItem>
</file>

<file path=customXml/itemProps8.xml><?xml version="1.0" encoding="utf-8"?>
<ds:datastoreItem xmlns:ds="http://schemas.openxmlformats.org/officeDocument/2006/customXml" ds:itemID="{c0c44099-530b-4c8a-9109-bb7e1959a736}">
  <ds:schemaRefs/>
</ds:datastoreItem>
</file>

<file path=customXml/itemProps9.xml><?xml version="1.0" encoding="utf-8"?>
<ds:datastoreItem xmlns:ds="http://schemas.openxmlformats.org/officeDocument/2006/customXml" ds:itemID="{a360db15-b4c4-43e9-ad95-3f9d3ebdbe07}">
  <ds:schemaRefs/>
</ds:datastoreItem>
</file>

<file path=docProps/app.xml><?xml version="1.0" encoding="utf-8"?>
<Properties xmlns="http://schemas.openxmlformats.org/officeDocument/2006/extended-properties" xmlns:vt="http://schemas.openxmlformats.org/officeDocument/2006/docPropsVTypes">
  <Pages>23</Pages>
  <Words>5057</Words>
  <Characters>5723</Characters>
  <TotalTime>1</TotalTime>
  <ScaleCrop>false</ScaleCrop>
  <LinksUpToDate>false</LinksUpToDate>
  <CharactersWithSpaces>5869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2022-03-18T08:46:00Z</dcterms:created>
  <dc:creator>Administrator</dc:creator>
  <cp:lastModifiedBy>魏县投促中心招商部</cp:lastModifiedBy>
  <dcterms:modified xsi:type="dcterms:W3CDTF">2023-08-17T02:40:34Z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606B87ACA7F1433DA65E414570F0D433_13</vt:lpwstr>
  </property>
</Properties>
</file>