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outlineLvl w:val="0"/>
      </w:pPr>
      <w:r>
        <w:rPr>
          <w:rFonts w:ascii="方正小标宋_GBK" w:hAnsi="方正小标宋_GBK" w:eastAsia="方正小标宋_GBK" w:cs="方正小标宋_GBK"/>
          <w:color w:val="000000"/>
          <w:sz w:val="72"/>
        </w:rPr>
        <w:t xml:space="preserve"> </w:t>
      </w: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rPr>
          <w:lang w:eastAsia="zh-CN"/>
        </w:rPr>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魏县投资促进局</w:t>
      </w:r>
      <w:r>
        <w:t>本级收支预算</w:t>
      </w:r>
      <w:r>
        <w:tab/>
      </w:r>
      <w:r>
        <w:rPr>
          <w:rFonts w:hint="eastAsia"/>
          <w:lang w:eastAsia="zh-CN"/>
        </w:rPr>
        <w:t>1</w:t>
      </w:r>
      <w:r>
        <w:rPr>
          <w:rFonts w:hint="eastAsia"/>
          <w:lang w:eastAsia="zh-CN"/>
        </w:rPr>
        <w:fldChar w:fldCharType="end"/>
      </w:r>
    </w:p>
    <w:p>
      <w:pPr>
        <w:spacing w:before="0" w:after="0" w:line="240" w:lineRule="auto"/>
        <w:ind w:firstLine="0"/>
        <w:jc w:val="center"/>
        <w:outlineLvl w:val="9"/>
        <w:sectPr>
          <w:pgSz w:w="16840" w:h="11900" w:orient="landscape"/>
          <w:pgMar w:top="1361" w:right="1020" w:bottom="1134" w:left="1020" w:header="720" w:footer="720" w:gutter="0"/>
          <w:pgNumType w:fmt="decimal"/>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  </w:t>
      </w:r>
      <w:bookmarkStart w:id="0" w:name="_Toc6880"/>
      <w:bookmarkStart w:id="1" w:name="_Toc31069"/>
      <w:r>
        <w:rPr>
          <w:rFonts w:ascii="方正小标宋_GBK" w:hAnsi="方正小标宋_GBK" w:eastAsia="方正小标宋_GBK" w:cs="方正小标宋_GBK"/>
          <w:color w:val="000000"/>
          <w:sz w:val="72"/>
        </w:rPr>
        <w:t>部门所属单位预算</w:t>
      </w:r>
      <w:bookmarkEnd w:id="0"/>
      <w:bookmarkEnd w:id="1"/>
    </w:p>
    <w:p>
      <w:pPr>
        <w:spacing w:before="0" w:after="0"/>
        <w:ind w:firstLine="0"/>
        <w:jc w:val="center"/>
        <w:outlineLvl w:val="0"/>
      </w:pPr>
      <w:bookmarkStart w:id="2" w:name="_Toc10934"/>
      <w:bookmarkStart w:id="3" w:name="_Toc_4_4_0000000019"/>
      <w:r>
        <w:rPr>
          <w:rFonts w:ascii="方正小标宋_GBK" w:hAnsi="方正小标宋_GBK" w:eastAsia="方正小标宋_GBK" w:cs="方正小标宋_GBK"/>
          <w:b w:val="0"/>
          <w:color w:val="000000"/>
          <w:sz w:val="44"/>
        </w:rPr>
        <w:t>一、魏县投资促进局本级收支预算</w:t>
      </w:r>
      <w:bookmarkEnd w:id="2"/>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472001魏县投资促进局本级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123.55</w:t>
            </w:r>
          </w:p>
        </w:tc>
        <w:tc>
          <w:tcPr>
            <w:tcW w:w="2959" w:type="dxa"/>
            <w:vAlign w:val="center"/>
          </w:tcPr>
          <w:p>
            <w:pPr>
              <w:pStyle w:val="16"/>
            </w:pPr>
            <w:r>
              <w:t>一、一般公共服务支出</w:t>
            </w:r>
          </w:p>
        </w:tc>
        <w:tc>
          <w:tcPr>
            <w:tcW w:w="2959" w:type="dxa"/>
            <w:vAlign w:val="center"/>
          </w:tcPr>
          <w:p>
            <w:pPr>
              <w:pStyle w:val="15"/>
            </w:pPr>
            <w:r>
              <w:t>117.49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123.55</w:t>
            </w:r>
          </w:p>
        </w:tc>
        <w:tc>
          <w:tcPr>
            <w:tcW w:w="2959" w:type="dxa"/>
            <w:vAlign w:val="center"/>
          </w:tcPr>
          <w:p>
            <w:pPr>
              <w:pStyle w:val="18"/>
            </w:pPr>
            <w:r>
              <w:t>本年支出合计</w:t>
            </w:r>
          </w:p>
        </w:tc>
        <w:tc>
          <w:tcPr>
            <w:tcW w:w="2959" w:type="dxa"/>
            <w:vAlign w:val="center"/>
          </w:tcPr>
          <w:p>
            <w:pPr>
              <w:pStyle w:val="19"/>
            </w:pPr>
            <w:r>
              <w:t>123.55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123.55</w:t>
            </w:r>
          </w:p>
        </w:tc>
        <w:tc>
          <w:tcPr>
            <w:tcW w:w="2959" w:type="dxa"/>
            <w:vAlign w:val="center"/>
          </w:tcPr>
          <w:p>
            <w:pPr>
              <w:pStyle w:val="18"/>
            </w:pPr>
            <w:r>
              <w:t>支出总计</w:t>
            </w:r>
          </w:p>
        </w:tc>
        <w:tc>
          <w:tcPr>
            <w:tcW w:w="2959" w:type="dxa"/>
            <w:vAlign w:val="center"/>
          </w:tcPr>
          <w:p>
            <w:pPr>
              <w:pStyle w:val="19"/>
            </w:pPr>
            <w:r>
              <w:t>123.55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472001魏县投资促进局本级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123.55</w:t>
            </w:r>
          </w:p>
        </w:tc>
        <w:tc>
          <w:tcPr>
            <w:tcW w:w="384" w:type="pct"/>
            <w:vAlign w:val="center"/>
          </w:tcPr>
          <w:p>
            <w:pPr>
              <w:pStyle w:val="19"/>
            </w:pPr>
            <w:r>
              <w:t>123.55</w:t>
            </w:r>
          </w:p>
        </w:tc>
        <w:tc>
          <w:tcPr>
            <w:tcW w:w="384" w:type="pct"/>
            <w:vAlign w:val="center"/>
          </w:tcPr>
          <w:p>
            <w:pPr>
              <w:pStyle w:val="19"/>
            </w:pPr>
            <w:r>
              <w:t>123.55</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20113</w:t>
            </w:r>
          </w:p>
        </w:tc>
        <w:tc>
          <w:tcPr>
            <w:tcW w:w="384" w:type="pct"/>
            <w:vAlign w:val="center"/>
          </w:tcPr>
          <w:p>
            <w:pPr>
              <w:pStyle w:val="16"/>
            </w:pPr>
            <w:r>
              <w:t>商贸事务</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2011308</w:t>
            </w:r>
          </w:p>
        </w:tc>
        <w:tc>
          <w:tcPr>
            <w:tcW w:w="384" w:type="pct"/>
            <w:vAlign w:val="center"/>
          </w:tcPr>
          <w:p>
            <w:pPr>
              <w:pStyle w:val="16"/>
            </w:pPr>
            <w:r>
              <w:t>招商引资</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r>
              <w:t>117.49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2101199</w:t>
            </w:r>
          </w:p>
        </w:tc>
        <w:tc>
          <w:tcPr>
            <w:tcW w:w="384" w:type="pct"/>
            <w:vAlign w:val="center"/>
          </w:tcPr>
          <w:p>
            <w:pPr>
              <w:pStyle w:val="16"/>
            </w:pPr>
            <w:r>
              <w:t>其他行政事业单位医疗支出</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r>
              <w:t>6.06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123.55</w:t>
            </w:r>
          </w:p>
        </w:tc>
        <w:tc>
          <w:tcPr>
            <w:tcW w:w="555" w:type="pct"/>
            <w:vAlign w:val="center"/>
          </w:tcPr>
          <w:p>
            <w:pPr>
              <w:pStyle w:val="19"/>
            </w:pPr>
            <w:r>
              <w:t>123.55</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117.49</w:t>
            </w:r>
          </w:p>
        </w:tc>
        <w:tc>
          <w:tcPr>
            <w:tcW w:w="555" w:type="pct"/>
            <w:vAlign w:val="center"/>
          </w:tcPr>
          <w:p>
            <w:pPr>
              <w:pStyle w:val="15"/>
            </w:pPr>
            <w:r>
              <w:t>117.49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20113</w:t>
            </w:r>
          </w:p>
        </w:tc>
        <w:tc>
          <w:tcPr>
            <w:tcW w:w="555" w:type="pct"/>
            <w:vAlign w:val="center"/>
          </w:tcPr>
          <w:p>
            <w:pPr>
              <w:pStyle w:val="16"/>
            </w:pPr>
            <w:r>
              <w:t>商贸事务</w:t>
            </w:r>
          </w:p>
        </w:tc>
        <w:tc>
          <w:tcPr>
            <w:tcW w:w="555" w:type="pct"/>
            <w:vAlign w:val="center"/>
          </w:tcPr>
          <w:p>
            <w:pPr>
              <w:pStyle w:val="15"/>
            </w:pPr>
            <w:r>
              <w:t>117.49</w:t>
            </w:r>
          </w:p>
        </w:tc>
        <w:tc>
          <w:tcPr>
            <w:tcW w:w="555" w:type="pct"/>
            <w:vAlign w:val="center"/>
          </w:tcPr>
          <w:p>
            <w:pPr>
              <w:pStyle w:val="15"/>
            </w:pPr>
            <w:r>
              <w:t>117.49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2011308</w:t>
            </w:r>
          </w:p>
        </w:tc>
        <w:tc>
          <w:tcPr>
            <w:tcW w:w="555" w:type="pct"/>
            <w:vAlign w:val="center"/>
          </w:tcPr>
          <w:p>
            <w:pPr>
              <w:pStyle w:val="16"/>
            </w:pPr>
            <w:r>
              <w:t>招商引资</w:t>
            </w:r>
          </w:p>
        </w:tc>
        <w:tc>
          <w:tcPr>
            <w:tcW w:w="555" w:type="pct"/>
            <w:vAlign w:val="center"/>
          </w:tcPr>
          <w:p>
            <w:pPr>
              <w:pStyle w:val="15"/>
            </w:pPr>
            <w:r>
              <w:t>117.49</w:t>
            </w:r>
          </w:p>
        </w:tc>
        <w:tc>
          <w:tcPr>
            <w:tcW w:w="555" w:type="pct"/>
            <w:vAlign w:val="center"/>
          </w:tcPr>
          <w:p>
            <w:pPr>
              <w:pStyle w:val="15"/>
            </w:pPr>
            <w:r>
              <w:t>117.49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6.06</w:t>
            </w:r>
          </w:p>
        </w:tc>
        <w:tc>
          <w:tcPr>
            <w:tcW w:w="555" w:type="pct"/>
            <w:vAlign w:val="center"/>
          </w:tcPr>
          <w:p>
            <w:pPr>
              <w:pStyle w:val="15"/>
            </w:pPr>
            <w:r>
              <w:t>6.06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6.06</w:t>
            </w:r>
          </w:p>
        </w:tc>
        <w:tc>
          <w:tcPr>
            <w:tcW w:w="555" w:type="pct"/>
            <w:vAlign w:val="center"/>
          </w:tcPr>
          <w:p>
            <w:pPr>
              <w:pStyle w:val="15"/>
            </w:pPr>
            <w:r>
              <w:t>6.06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2101199</w:t>
            </w:r>
          </w:p>
        </w:tc>
        <w:tc>
          <w:tcPr>
            <w:tcW w:w="555" w:type="pct"/>
            <w:vAlign w:val="center"/>
          </w:tcPr>
          <w:p>
            <w:pPr>
              <w:pStyle w:val="16"/>
            </w:pPr>
            <w:r>
              <w:t>其他行政事业单位医疗支出</w:t>
            </w:r>
          </w:p>
        </w:tc>
        <w:tc>
          <w:tcPr>
            <w:tcW w:w="555" w:type="pct"/>
            <w:vAlign w:val="center"/>
          </w:tcPr>
          <w:p>
            <w:pPr>
              <w:pStyle w:val="15"/>
            </w:pPr>
            <w:r>
              <w:t>6.06</w:t>
            </w:r>
          </w:p>
        </w:tc>
        <w:tc>
          <w:tcPr>
            <w:tcW w:w="555" w:type="pct"/>
            <w:vAlign w:val="center"/>
          </w:tcPr>
          <w:p>
            <w:pPr>
              <w:pStyle w:val="15"/>
            </w:pPr>
            <w:r>
              <w:t>6.06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625" w:type="pct"/>
            <w:tcBorders>
              <w:top w:val="single" w:color="FFFFFF" w:sz="6" w:space="0"/>
              <w:left w:val="single" w:color="FFFFFF" w:sz="6" w:space="0"/>
              <w:right w:val="single" w:color="FFFFFF" w:sz="6" w:space="0"/>
            </w:tcBorders>
            <w:vAlign w:val="center"/>
          </w:tcPr>
          <w:p>
            <w:pPr>
              <w:pStyle w:val="12"/>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123.55</w:t>
            </w:r>
          </w:p>
        </w:tc>
        <w:tc>
          <w:tcPr>
            <w:tcW w:w="625" w:type="pct"/>
            <w:vAlign w:val="center"/>
          </w:tcPr>
          <w:p>
            <w:pPr>
              <w:pStyle w:val="16"/>
            </w:pPr>
            <w:r>
              <w:t>一、一般公共服务支出</w:t>
            </w:r>
          </w:p>
        </w:tc>
        <w:tc>
          <w:tcPr>
            <w:tcW w:w="625" w:type="pct"/>
            <w:vAlign w:val="center"/>
          </w:tcPr>
          <w:p>
            <w:pPr>
              <w:pStyle w:val="15"/>
            </w:pPr>
            <w:r>
              <w:t>117.49</w:t>
            </w:r>
          </w:p>
        </w:tc>
        <w:tc>
          <w:tcPr>
            <w:tcW w:w="625" w:type="pct"/>
            <w:vAlign w:val="center"/>
          </w:tcPr>
          <w:p>
            <w:pPr>
              <w:pStyle w:val="15"/>
            </w:pPr>
            <w:r>
              <w:t>117.49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6.06</w:t>
            </w:r>
          </w:p>
        </w:tc>
        <w:tc>
          <w:tcPr>
            <w:tcW w:w="625" w:type="pct"/>
            <w:vAlign w:val="center"/>
          </w:tcPr>
          <w:p>
            <w:pPr>
              <w:pStyle w:val="15"/>
            </w:pPr>
            <w:r>
              <w:t>6.06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8"/>
            </w:pPr>
            <w:r>
              <w:t>本年收入合计</w:t>
            </w:r>
          </w:p>
        </w:tc>
        <w:tc>
          <w:tcPr>
            <w:tcW w:w="625" w:type="pct"/>
            <w:vAlign w:val="center"/>
          </w:tcPr>
          <w:p>
            <w:pPr>
              <w:pStyle w:val="19"/>
            </w:pPr>
            <w:r>
              <w:t>123.55</w:t>
            </w:r>
          </w:p>
        </w:tc>
        <w:tc>
          <w:tcPr>
            <w:tcW w:w="625" w:type="pct"/>
            <w:vAlign w:val="center"/>
          </w:tcPr>
          <w:p>
            <w:pPr>
              <w:pStyle w:val="18"/>
            </w:pPr>
            <w:r>
              <w:t>本年支出合计</w:t>
            </w:r>
          </w:p>
        </w:tc>
        <w:tc>
          <w:tcPr>
            <w:tcW w:w="625" w:type="pct"/>
            <w:vAlign w:val="center"/>
          </w:tcPr>
          <w:p>
            <w:pPr>
              <w:pStyle w:val="19"/>
            </w:pPr>
            <w:r>
              <w:t>123.55</w:t>
            </w:r>
          </w:p>
        </w:tc>
        <w:tc>
          <w:tcPr>
            <w:tcW w:w="625" w:type="pct"/>
            <w:vAlign w:val="center"/>
          </w:tcPr>
          <w:p>
            <w:pPr>
              <w:pStyle w:val="19"/>
            </w:pPr>
            <w:r>
              <w:t>123.55</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8"/>
            </w:pPr>
            <w:r>
              <w:t>收入总计</w:t>
            </w:r>
          </w:p>
        </w:tc>
        <w:tc>
          <w:tcPr>
            <w:tcW w:w="625" w:type="pct"/>
            <w:vAlign w:val="center"/>
          </w:tcPr>
          <w:p>
            <w:pPr>
              <w:pStyle w:val="19"/>
            </w:pPr>
            <w:r>
              <w:t>123.55</w:t>
            </w:r>
          </w:p>
        </w:tc>
        <w:tc>
          <w:tcPr>
            <w:tcW w:w="625" w:type="pct"/>
            <w:vAlign w:val="center"/>
          </w:tcPr>
          <w:p>
            <w:pPr>
              <w:pStyle w:val="18"/>
            </w:pPr>
            <w:r>
              <w:t>支出总计</w:t>
            </w:r>
          </w:p>
        </w:tc>
        <w:tc>
          <w:tcPr>
            <w:tcW w:w="625" w:type="pct"/>
            <w:vAlign w:val="center"/>
          </w:tcPr>
          <w:p>
            <w:pPr>
              <w:pStyle w:val="19"/>
            </w:pPr>
            <w:r>
              <w:t>123.55</w:t>
            </w:r>
          </w:p>
        </w:tc>
        <w:tc>
          <w:tcPr>
            <w:tcW w:w="625" w:type="pct"/>
            <w:vAlign w:val="center"/>
          </w:tcPr>
          <w:p>
            <w:pPr>
              <w:pStyle w:val="19"/>
            </w:pPr>
            <w:r>
              <w:t>123.55</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123.55</w:t>
            </w:r>
          </w:p>
        </w:tc>
        <w:tc>
          <w:tcPr>
            <w:tcW w:w="833" w:type="pct"/>
            <w:vAlign w:val="center"/>
          </w:tcPr>
          <w:p>
            <w:pPr>
              <w:pStyle w:val="19"/>
            </w:pPr>
            <w:r>
              <w:t>123.55</w:t>
            </w: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117.49</w:t>
            </w:r>
          </w:p>
        </w:tc>
        <w:tc>
          <w:tcPr>
            <w:tcW w:w="833" w:type="pct"/>
            <w:vAlign w:val="center"/>
          </w:tcPr>
          <w:p>
            <w:pPr>
              <w:pStyle w:val="15"/>
            </w:pPr>
            <w:r>
              <w:t>117.49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20113</w:t>
            </w:r>
          </w:p>
        </w:tc>
        <w:tc>
          <w:tcPr>
            <w:tcW w:w="833" w:type="pct"/>
            <w:vAlign w:val="center"/>
          </w:tcPr>
          <w:p>
            <w:pPr>
              <w:pStyle w:val="16"/>
            </w:pPr>
            <w:r>
              <w:t>商贸事务</w:t>
            </w:r>
          </w:p>
        </w:tc>
        <w:tc>
          <w:tcPr>
            <w:tcW w:w="833" w:type="pct"/>
            <w:vAlign w:val="center"/>
          </w:tcPr>
          <w:p>
            <w:pPr>
              <w:pStyle w:val="15"/>
            </w:pPr>
            <w:r>
              <w:t>117.49</w:t>
            </w:r>
          </w:p>
        </w:tc>
        <w:tc>
          <w:tcPr>
            <w:tcW w:w="833" w:type="pct"/>
            <w:vAlign w:val="center"/>
          </w:tcPr>
          <w:p>
            <w:pPr>
              <w:pStyle w:val="15"/>
            </w:pPr>
            <w:r>
              <w:t>117.49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2011308</w:t>
            </w:r>
          </w:p>
        </w:tc>
        <w:tc>
          <w:tcPr>
            <w:tcW w:w="833" w:type="pct"/>
            <w:vAlign w:val="center"/>
          </w:tcPr>
          <w:p>
            <w:pPr>
              <w:pStyle w:val="16"/>
            </w:pPr>
            <w:r>
              <w:t>招商引资</w:t>
            </w:r>
          </w:p>
        </w:tc>
        <w:tc>
          <w:tcPr>
            <w:tcW w:w="833" w:type="pct"/>
            <w:vAlign w:val="center"/>
          </w:tcPr>
          <w:p>
            <w:pPr>
              <w:pStyle w:val="15"/>
            </w:pPr>
            <w:r>
              <w:t>117.49</w:t>
            </w:r>
          </w:p>
        </w:tc>
        <w:tc>
          <w:tcPr>
            <w:tcW w:w="833" w:type="pct"/>
            <w:vAlign w:val="center"/>
          </w:tcPr>
          <w:p>
            <w:pPr>
              <w:pStyle w:val="15"/>
            </w:pPr>
            <w:r>
              <w:t>117.49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6.06</w:t>
            </w:r>
          </w:p>
        </w:tc>
        <w:tc>
          <w:tcPr>
            <w:tcW w:w="833" w:type="pct"/>
            <w:vAlign w:val="center"/>
          </w:tcPr>
          <w:p>
            <w:pPr>
              <w:pStyle w:val="15"/>
            </w:pPr>
            <w:r>
              <w:t>6.06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6.06</w:t>
            </w:r>
          </w:p>
        </w:tc>
        <w:tc>
          <w:tcPr>
            <w:tcW w:w="833" w:type="pct"/>
            <w:vAlign w:val="center"/>
          </w:tcPr>
          <w:p>
            <w:pPr>
              <w:pStyle w:val="15"/>
            </w:pPr>
            <w:r>
              <w:t>6.06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2101199</w:t>
            </w:r>
          </w:p>
        </w:tc>
        <w:tc>
          <w:tcPr>
            <w:tcW w:w="833" w:type="pct"/>
            <w:vAlign w:val="center"/>
          </w:tcPr>
          <w:p>
            <w:pPr>
              <w:pStyle w:val="16"/>
            </w:pPr>
            <w:r>
              <w:t>其他行政事业单位医疗支出</w:t>
            </w:r>
          </w:p>
        </w:tc>
        <w:tc>
          <w:tcPr>
            <w:tcW w:w="833" w:type="pct"/>
            <w:vAlign w:val="center"/>
          </w:tcPr>
          <w:p>
            <w:pPr>
              <w:pStyle w:val="15"/>
            </w:pPr>
            <w:r>
              <w:t>6.06</w:t>
            </w:r>
          </w:p>
        </w:tc>
        <w:tc>
          <w:tcPr>
            <w:tcW w:w="833" w:type="pct"/>
            <w:vAlign w:val="center"/>
          </w:tcPr>
          <w:p>
            <w:pPr>
              <w:pStyle w:val="15"/>
            </w:pPr>
            <w:r>
              <w:t>6.06</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123.55</w:t>
            </w:r>
          </w:p>
        </w:tc>
        <w:tc>
          <w:tcPr>
            <w:tcW w:w="833" w:type="pct"/>
            <w:vAlign w:val="center"/>
          </w:tcPr>
          <w:p>
            <w:pPr>
              <w:pStyle w:val="19"/>
            </w:pPr>
            <w:r>
              <w:t>110.55</w:t>
            </w:r>
          </w:p>
        </w:tc>
        <w:tc>
          <w:tcPr>
            <w:tcW w:w="833" w:type="pct"/>
            <w:vAlign w:val="center"/>
          </w:tcPr>
          <w:p>
            <w:pPr>
              <w:pStyle w:val="1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110.55</w:t>
            </w:r>
          </w:p>
        </w:tc>
        <w:tc>
          <w:tcPr>
            <w:tcW w:w="833" w:type="pct"/>
            <w:vAlign w:val="center"/>
          </w:tcPr>
          <w:p>
            <w:pPr>
              <w:pStyle w:val="15"/>
            </w:pPr>
            <w:r>
              <w:t>110.55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68.96</w:t>
            </w:r>
          </w:p>
        </w:tc>
        <w:tc>
          <w:tcPr>
            <w:tcW w:w="833" w:type="pct"/>
            <w:vAlign w:val="center"/>
          </w:tcPr>
          <w:p>
            <w:pPr>
              <w:pStyle w:val="15"/>
            </w:pPr>
            <w:r>
              <w:t>68.96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7.41</w:t>
            </w:r>
          </w:p>
        </w:tc>
        <w:tc>
          <w:tcPr>
            <w:tcW w:w="833" w:type="pct"/>
            <w:vAlign w:val="center"/>
          </w:tcPr>
          <w:p>
            <w:pPr>
              <w:pStyle w:val="15"/>
            </w:pPr>
            <w:r>
              <w:t>7.41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10.70</w:t>
            </w:r>
          </w:p>
        </w:tc>
        <w:tc>
          <w:tcPr>
            <w:tcW w:w="833" w:type="pct"/>
            <w:vAlign w:val="center"/>
          </w:tcPr>
          <w:p>
            <w:pPr>
              <w:pStyle w:val="15"/>
            </w:pPr>
            <w:r>
              <w:t>10.70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5.35</w:t>
            </w:r>
          </w:p>
        </w:tc>
        <w:tc>
          <w:tcPr>
            <w:tcW w:w="833" w:type="pct"/>
            <w:vAlign w:val="center"/>
          </w:tcPr>
          <w:p>
            <w:pPr>
              <w:pStyle w:val="15"/>
            </w:pPr>
            <w:r>
              <w:t>5.35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6.06</w:t>
            </w:r>
          </w:p>
        </w:tc>
        <w:tc>
          <w:tcPr>
            <w:tcW w:w="833" w:type="pct"/>
            <w:vAlign w:val="center"/>
          </w:tcPr>
          <w:p>
            <w:pPr>
              <w:pStyle w:val="15"/>
            </w:pPr>
            <w:r>
              <w:t>6.06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12.07</w:t>
            </w:r>
          </w:p>
        </w:tc>
        <w:tc>
          <w:tcPr>
            <w:tcW w:w="833" w:type="pct"/>
            <w:vAlign w:val="center"/>
          </w:tcPr>
          <w:p>
            <w:pPr>
              <w:pStyle w:val="15"/>
            </w:pPr>
            <w:r>
              <w:t>12.07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13.00</w:t>
            </w:r>
          </w:p>
        </w:tc>
        <w:tc>
          <w:tcPr>
            <w:tcW w:w="833" w:type="pct"/>
            <w:vAlign w:val="center"/>
          </w:tcPr>
          <w:p>
            <w:pPr>
              <w:pStyle w:val="15"/>
            </w:pPr>
          </w:p>
        </w:tc>
        <w:tc>
          <w:tcPr>
            <w:tcW w:w="833" w:type="pct"/>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13.00</w:t>
            </w:r>
          </w:p>
        </w:tc>
        <w:tc>
          <w:tcPr>
            <w:tcW w:w="833" w:type="pct"/>
            <w:vAlign w:val="center"/>
          </w:tcPr>
          <w:p>
            <w:pPr>
              <w:pStyle w:val="15"/>
            </w:pPr>
          </w:p>
        </w:tc>
        <w:tc>
          <w:tcPr>
            <w:tcW w:w="833" w:type="pct"/>
            <w:vAlign w:val="center"/>
          </w:tcPr>
          <w:p>
            <w:pPr>
              <w:pStyle w:val="15"/>
            </w:pPr>
            <w:r>
              <w:t>13.00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472001魏县投资促进局本级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魏县投资促进局本级2022年单位预算信息公开情况说明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按照《预算法》、《地方预决算公开操作规程》和《关于进一步推进预算公开工作的实施意见》规定，现将魏县投资促进局本级2022年单位预算公开如下：</w:t>
      </w:r>
    </w:p>
    <w:p>
      <w:pPr>
        <w:spacing w:before="10" w:after="10" w:line="240" w:lineRule="auto"/>
        <w:ind w:firstLine="640"/>
        <w:jc w:val="left"/>
        <w:outlineLvl w:val="0"/>
      </w:pPr>
      <w:bookmarkStart w:id="4" w:name="_Toc25208"/>
      <w:r>
        <w:rPr>
          <w:rFonts w:ascii="黑体" w:hAnsi="黑体" w:eastAsia="黑体" w:cs="黑体"/>
          <w:color w:val="000000"/>
          <w:sz w:val="32"/>
        </w:rPr>
        <w:t>一、单位职责及机构设置情况</w:t>
      </w:r>
      <w:bookmarkEnd w:id="4"/>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w:t>
      </w:r>
    </w:p>
    <w:p>
      <w:pPr>
        <w:pStyle w:val="29"/>
      </w:pPr>
      <w:r>
        <w:t>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魏县投资促进局本级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240" w:lineRule="auto"/>
        <w:ind w:firstLine="640"/>
        <w:jc w:val="left"/>
        <w:outlineLvl w:val="0"/>
      </w:pPr>
      <w:bookmarkStart w:id="5" w:name="_Toc22870"/>
      <w:r>
        <w:rPr>
          <w:rFonts w:ascii="黑体" w:hAnsi="黑体" w:eastAsia="黑体" w:cs="黑体"/>
          <w:color w:val="000000"/>
          <w:sz w:val="32"/>
        </w:rPr>
        <w:t>二、单位预算安排的总体情况</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全年预算123.56万元，其中人员工资110.56万元，正常公用经费13万元</w:t>
      </w:r>
    </w:p>
    <w:p>
      <w:pPr>
        <w:spacing w:before="10" w:after="10" w:line="240" w:lineRule="auto"/>
        <w:ind w:firstLine="640"/>
        <w:jc w:val="left"/>
        <w:outlineLvl w:val="0"/>
      </w:pPr>
      <w:bookmarkStart w:id="6" w:name="_Toc24193"/>
      <w:r>
        <w:rPr>
          <w:rFonts w:ascii="黑体" w:hAnsi="黑体" w:eastAsia="黑体" w:cs="黑体"/>
          <w:color w:val="000000"/>
          <w:sz w:val="32"/>
        </w:rPr>
        <w:t>三、机关运行经费安排情况</w:t>
      </w:r>
      <w:bookmarkEnd w:id="6"/>
    </w:p>
    <w:p>
      <w:pPr>
        <w:spacing w:before="10" w:after="10" w:line="360" w:lineRule="auto"/>
        <w:ind w:left="480" w:leftChars="200" w:firstLine="393" w:firstLineChars="164"/>
        <w:jc w:val="left"/>
        <w:outlineLvl w:val="2"/>
        <w:rPr>
          <w:rFonts w:hint="eastAsia" w:ascii="Times New Roman" w:hAnsi="Times New Roman" w:eastAsia="方正仿宋_GBK" w:cs="Times New Roman"/>
          <w:sz w:val="28"/>
          <w:szCs w:val="24"/>
          <w:lang w:val="en-US" w:eastAsia="zh-CN" w:bidi="ar-SA"/>
        </w:rPr>
      </w:pPr>
      <w:r>
        <w:rPr>
          <w:rFonts w:hint="eastAsia"/>
          <w:lang w:val="en-US" w:eastAsia="zh-CN"/>
        </w:rPr>
        <w:t xml:space="preserve"> </w:t>
      </w:r>
      <w:r>
        <w:rPr>
          <w:rFonts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13</w:t>
      </w:r>
      <w:r>
        <w:rPr>
          <w:rFonts w:ascii="Times New Roman" w:hAnsi="Times New Roman" w:eastAsia="方正仿宋_GBK" w:cs="Times New Roman"/>
          <w:sz w:val="28"/>
          <w:szCs w:val="24"/>
          <w:lang w:val="en-US" w:eastAsia="uk-UA" w:bidi="ar-SA"/>
        </w:rPr>
        <w:t>万元，主要用于保证正常办公的基本需要和维持单位日常业务运转，包括：办公费、邮电费、差旅费、手续费、公务接待费、工会经费、离退休干部经费等</w:t>
      </w:r>
      <w:r>
        <w:rPr>
          <w:rFonts w:hint="eastAsia" w:eastAsia="方正仿宋_GBK" w:cs="Times New Roman"/>
          <w:sz w:val="28"/>
          <w:szCs w:val="24"/>
          <w:lang w:val="en-US" w:eastAsia="zh-CN" w:bidi="ar-SA"/>
        </w:rPr>
        <w:t>.</w:t>
      </w:r>
    </w:p>
    <w:p>
      <w:pPr>
        <w:spacing w:before="10" w:after="10" w:line="240" w:lineRule="auto"/>
        <w:ind w:firstLine="640" w:firstLineChars="200"/>
        <w:jc w:val="left"/>
        <w:outlineLvl w:val="0"/>
      </w:pPr>
      <w:bookmarkStart w:id="7" w:name="_Toc1308"/>
      <w:r>
        <w:rPr>
          <w:rFonts w:ascii="黑体" w:hAnsi="黑体" w:eastAsia="黑体" w:cs="黑体"/>
          <w:color w:val="000000"/>
          <w:sz w:val="32"/>
        </w:rPr>
        <w:t>四、财政拨款“三公”经费预算情况及增减变化原因</w:t>
      </w:r>
      <w:bookmarkEnd w:id="7"/>
    </w:p>
    <w:p>
      <w:pPr>
        <w:pStyle w:val="32"/>
        <w:ind w:left="1307" w:leftChars="464" w:hanging="193" w:hangingChars="69"/>
        <w:rPr>
          <w:rFonts w:hint="default" w:eastAsia="方正仿宋_GBK"/>
          <w:lang w:val="en-US" w:eastAsia="zh-CN"/>
        </w:rPr>
      </w:pPr>
      <w:r>
        <w:rPr>
          <w:rFonts w:hint="eastAsia"/>
          <w:lang w:val="en-US" w:eastAsia="zh-CN"/>
        </w:rPr>
        <w:t xml:space="preserve">  </w:t>
      </w:r>
      <w:r>
        <w:t>202</w:t>
      </w:r>
      <w:r>
        <w:rPr>
          <w:rFonts w:hint="eastAsia"/>
          <w:lang w:val="en-US" w:eastAsia="zh-CN"/>
        </w:rPr>
        <w:t>2</w:t>
      </w:r>
      <w:r>
        <w:t>年，财政拨款“三公”经费预算安排0万元。与2022</w:t>
      </w:r>
      <w:r>
        <w:rPr>
          <w:rFonts w:hint="eastAsia"/>
          <w:lang w:val="en-US" w:eastAsia="zh-CN"/>
        </w:rPr>
        <w:t>1</w:t>
      </w:r>
      <w:r>
        <w:t> 年相比没有增减变动，原因是我单位根据单位业务需要，未安排“三公”经费支出</w:t>
      </w:r>
      <w:r>
        <w:rPr>
          <w:rFonts w:hint="eastAsia"/>
          <w:lang w:eastAsia="zh-CN"/>
        </w:rPr>
        <w:t>。</w:t>
      </w:r>
      <w:bookmarkStart w:id="13" w:name="_GoBack"/>
      <w:bookmarkEnd w:id="13"/>
    </w:p>
    <w:p>
      <w:pPr>
        <w:numPr>
          <w:ilvl w:val="0"/>
          <w:numId w:val="1"/>
        </w:numPr>
        <w:spacing w:before="10" w:after="10" w:line="240" w:lineRule="auto"/>
        <w:ind w:firstLine="640"/>
        <w:jc w:val="left"/>
        <w:outlineLvl w:val="0"/>
        <w:rPr>
          <w:rFonts w:ascii="黑体" w:hAnsi="黑体" w:eastAsia="黑体" w:cs="黑体"/>
          <w:color w:val="000000"/>
          <w:sz w:val="32"/>
        </w:rPr>
      </w:pPr>
      <w:bookmarkStart w:id="8" w:name="_Toc21667"/>
      <w:r>
        <w:rPr>
          <w:rFonts w:ascii="黑体" w:hAnsi="黑体" w:eastAsia="黑体" w:cs="黑体"/>
          <w:color w:val="000000"/>
          <w:sz w:val="32"/>
        </w:rPr>
        <w:t>预算绩效信息</w:t>
      </w:r>
      <w:bookmarkEnd w:id="8"/>
    </w:p>
    <w:p>
      <w:pPr>
        <w:numPr>
          <w:ilvl w:val="0"/>
          <w:numId w:val="0"/>
        </w:numPr>
        <w:spacing w:before="10" w:after="10" w:line="240" w:lineRule="auto"/>
        <w:jc w:val="left"/>
        <w:outlineLvl w:val="0"/>
        <w:rPr>
          <w:rFonts w:ascii="黑体" w:hAnsi="黑体" w:eastAsia="黑体" w:cs="黑体"/>
          <w:color w:val="000000"/>
          <w:sz w:val="32"/>
        </w:rPr>
      </w:pPr>
    </w:p>
    <w:p>
      <w:pPr>
        <w:spacing w:before="0" w:after="0" w:line="240" w:lineRule="auto"/>
        <w:ind w:firstLine="640"/>
        <w:jc w:val="left"/>
        <w:outlineLvl w:val="9"/>
      </w:pPr>
      <w:r>
        <w:rPr>
          <w:rFonts w:hint="eastAsia" w:ascii="黑体" w:hAnsi="黑体" w:eastAsia="黑体" w:cs="黑体"/>
          <w:color w:val="000000"/>
          <w:sz w:val="32"/>
          <w:lang w:val="en-US" w:eastAsia="zh-CN"/>
        </w:rPr>
        <w:t xml:space="preserve">     </w:t>
      </w: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一）树牢“项目为王”理念。坚持“稳字当头、稳中求快、快中求好”，强化“项目为王”理念，项目为零、一切为零，矢志不渝抓招商、上项目、优环境，强化大抓项目、抓大项目，一切盯着项目看、一切围着项目转、一切扭住项目干，形成全县上下大抓招商引资项目建设的热潮，确保项目引得来、落得下、建得好、真达效。</w:t>
      </w:r>
    </w:p>
    <w:p>
      <w:pPr>
        <w:pStyle w:val="25"/>
      </w:pPr>
      <w:r>
        <w:t>（二）整合资源优势，围绕先进装备制造、新型材料、节能环保、食品加工四大主导产业开展重点招商，抢抓京津、珠三角、长三角等重点区域产业转移、区域合作新机遇，紧盯国际、国内500强企业、央企、大型国企和民营500强企业、各重点行业前100强企业，优化招商布局，大力对接沟通，开展招商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开展专题招商。围绕我县主导产业和重点产业链，深入分析查找产业链短板弱项，围绕补链、延链、强链、建链主旨导向，谋划系列“云招商”活动，坚持线上线下相结合，重点抓住珠三角重点产业外迁和长三角地区南资北移的重大机遇，适时在北京、上海、广州、深圳、福建等地，精心举办各类专题招商活动。2.开展“头部企业”招商。认真梳理我县产业龙头企业、骨干企业和高新技术企业产业链、供应链上下游关联企业，聚焦先进装备制造、节能环保等优势产业，通过县域龙头企业招引项目，寻求战略合作。3.突出产业园招商。积极推动中车、徐州、航空、高端紧固件、循环经济、量子点、中普精密制造、食品、雕塑、高端礼服、电力、电子等产业园招商力度，形成一批产业聚集产业园。4.开展“填白式”招商。聚焦我县“专精特新”小巨人企业、新兴产业，纵向开展补充式、填白式招商，实现产业链向上下游延伸。5.强化驻会驻企招商。进一步优化驻会驻企招商制度，从全县行政机关和企事业单位中公开选出年轻有活力、懂招商、爱招商，愿意为魏县经济发展做贡献、在商会和企业有一定人脉关系资源的中青年干部，派驻到北京、上海、广州、深圳等各地商会和知名企业跟班学习开展招商，以招商成绩作为提拔重用依据，激发干部招商热情。</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对其考察项目进行研判、出具意见，县委办方可按程序履行请假手续，考察后及时反馈招商成效。2.汇报通报机制。实施重点招商项目半月向县委、县政府主要领导汇报制度；对招商任务单位招商情况实行动态台账式管理，强化督导考核，推行月通报、季“亮相”、半年考核、年终总考机制，以月促季，以季促年。3.联审联批机制。进一步完善联审联批联推机制，建立招商项目联审工作群。招商项目洽谈成熟后，经县产业招商促进中心初审后，符合上会要求的，提请召开招商项目联审联批联批会议。4.归口统一签约机制。所有招商项目合作协议（一式四份）由县产业招商促进中心负责统一把关，经项目业主、洽谈对接单位和分包县级领导审定后，由县产业招商促进中心负责提交县政府常务会审定；经政府常务会议研究通过后，县产业招商促进中心组织签约并由相关部门存档。5.项目签约移交机制。招商项目签约完成后，由县产业招商促进中心统一移交给县发改局（重点项目服务中心）、审批局和帮办部门，推动项目早日落地开工。</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w:t>
      </w:r>
    </w:p>
    <w:p>
      <w:pPr>
        <w:numPr>
          <w:ilvl w:val="0"/>
          <w:numId w:val="0"/>
        </w:numPr>
        <w:spacing w:before="10" w:after="10" w:line="240" w:lineRule="auto"/>
        <w:ind w:firstLine="640" w:firstLineChars="200"/>
        <w:jc w:val="left"/>
        <w:outlineLvl w:val="0"/>
        <w:rPr>
          <w:rFonts w:hint="default"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10" w:after="10" w:line="240" w:lineRule="auto"/>
        <w:ind w:firstLine="640"/>
        <w:jc w:val="left"/>
        <w:outlineLvl w:val="0"/>
      </w:pPr>
      <w:bookmarkStart w:id="9" w:name="_Toc11000"/>
      <w:r>
        <w:rPr>
          <w:rFonts w:ascii="黑体" w:hAnsi="黑体" w:eastAsia="黑体" w:cs="黑体"/>
          <w:color w:val="000000"/>
          <w:sz w:val="32"/>
        </w:rPr>
        <w:t>六、政府采购预算情况</w:t>
      </w:r>
      <w:bookmarkEnd w:id="9"/>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2022年，魏县投资促进局本级安排政府采购预算0.00万元。具体内容见下表。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472001魏县投资促进局本级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0" w:name="_Toc27752"/>
      <w:r>
        <w:rPr>
          <w:rFonts w:ascii="黑体" w:hAnsi="黑体" w:eastAsia="黑体" w:cs="黑体"/>
          <w:color w:val="000000"/>
          <w:sz w:val="32"/>
        </w:rPr>
        <w:t>七、国有资产信息</w:t>
      </w:r>
      <w:bookmarkEnd w:id="10"/>
    </w:p>
    <w:p>
      <w:pPr>
        <w:spacing w:before="0" w:after="0" w:line="500" w:lineRule="exact"/>
        <w:ind w:firstLine="560"/>
        <w:jc w:val="left"/>
        <w:outlineLvl w:val="9"/>
      </w:pPr>
      <w:r>
        <w:rPr>
          <w:rFonts w:ascii="Times New Roman" w:hAnsi="Times New Roman" w:eastAsia="方正仿宋_GBK" w:cs="Times New Roman"/>
          <w:b w:val="0"/>
          <w:color w:val="000000"/>
          <w:sz w:val="28"/>
        </w:rPr>
        <w:t>魏县投资促进局本级上年末固定资产金额为28.12万元（详见下表）。本年度拟购置固定资产总额为0.00万元，已按要求列入政府采购预算，详见政府采购预算表。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472001魏县投资促进局本级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66</w:t>
            </w:r>
          </w:p>
        </w:tc>
        <w:tc>
          <w:tcPr>
            <w:tcW w:w="4933" w:type="dxa"/>
            <w:vAlign w:val="center"/>
          </w:tcPr>
          <w:p>
            <w:pPr>
              <w:pStyle w:val="15"/>
            </w:pPr>
            <w:r>
              <w:t>28.12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1" w:name="_Toc24893"/>
      <w:r>
        <w:rPr>
          <w:rFonts w:ascii="黑体" w:hAnsi="黑体" w:eastAsia="黑体" w:cs="黑体"/>
          <w:color w:val="000000"/>
          <w:sz w:val="32"/>
        </w:rPr>
        <w:t>八、名词解释</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0"/>
      </w:pPr>
      <w:bookmarkStart w:id="12" w:name="_Toc1026"/>
      <w:r>
        <w:rPr>
          <w:rFonts w:ascii="黑体" w:hAnsi="黑体" w:eastAsia="黑体" w:cs="黑体"/>
          <w:color w:val="000000"/>
          <w:sz w:val="32"/>
        </w:rPr>
        <w:t>九、其他需要说明的事项</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79414"/>
    <w:multiLevelType w:val="singleLevel"/>
    <w:tmpl w:val="52E7941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DI2MTA0MDgyZGI2ZWU4ZTRlMzY0NmVkODVjYTAifQ=="/>
  </w:docVars>
  <w:rsids>
    <w:rsidRoot w:val="00000000"/>
    <w:rsid w:val="022915CC"/>
    <w:rsid w:val="2BC322F3"/>
    <w:rsid w:val="2D9E5D6B"/>
    <w:rsid w:val="4E351083"/>
    <w:rsid w:val="687C4B09"/>
    <w:rsid w:val="79D268A4"/>
    <w:rsid w:val="7E564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2022-03-18T08:46:28Z</dcterms:created>
  <dcterms:modified xsi:type="dcterms:W3CDTF">2022-03-18T00:46:28Z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2022-03-18T08:46:32Z</dcterms:created>
  <dcterms:modified xsi:type="dcterms:W3CDTF">2022-03-18T00:46:32Z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2022-03-18T08:46:31Z</dcterms:created>
  <dcterms:modified xsi:type="dcterms:W3CDTF">2022-03-18T00:46:31Z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2022-03-18T08:46:29Z</dcterms:created>
  <dcterms:modified xsi:type="dcterms:W3CDTF">2022-03-18T00:46:29Z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2022-03-18T08:46:28Z</dcterms:created>
  <dcterms:modified xsi:type="dcterms:W3CDTF">2022-03-18T00:46:28Z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60db15-b4c4-43e9-ad95-3f9d3ebdbe07}">
  <ds:schemaRefs/>
</ds:datastoreItem>
</file>

<file path=customXml/itemProps11.xml><?xml version="1.0" encoding="utf-8"?>
<ds:datastoreItem xmlns:ds="http://schemas.openxmlformats.org/officeDocument/2006/customXml" ds:itemID="{55271698-9dbc-488a-8edc-92bc7a0a392e}">
  <ds:schemaRefs/>
</ds:datastoreItem>
</file>

<file path=customXml/itemProps2.xml><?xml version="1.0" encoding="utf-8"?>
<ds:datastoreItem xmlns:ds="http://schemas.openxmlformats.org/officeDocument/2006/customXml" ds:itemID="{839b7f53-b551-43c9-b7be-9758f07a5032}">
  <ds:schemaRefs/>
</ds:datastoreItem>
</file>

<file path=customXml/itemProps3.xml><?xml version="1.0" encoding="utf-8"?>
<ds:datastoreItem xmlns:ds="http://schemas.openxmlformats.org/officeDocument/2006/customXml" ds:itemID="{5cc8f43e-24e6-46e2-b77a-a4c8e7d29562}">
  <ds:schemaRefs/>
</ds:datastoreItem>
</file>

<file path=customXml/itemProps4.xml><?xml version="1.0" encoding="utf-8"?>
<ds:datastoreItem xmlns:ds="http://schemas.openxmlformats.org/officeDocument/2006/customXml" ds:itemID="{9fd5df98-2313-41c5-b974-13ef1e830a90}">
  <ds:schemaRefs/>
</ds:datastoreItem>
</file>

<file path=customXml/itemProps5.xml><?xml version="1.0" encoding="utf-8"?>
<ds:datastoreItem xmlns:ds="http://schemas.openxmlformats.org/officeDocument/2006/customXml" ds:itemID="{8318aabf-4f2a-4879-ab4c-b20d219a5a02}">
  <ds:schemaRefs/>
</ds:datastoreItem>
</file>

<file path=customXml/itemProps6.xml><?xml version="1.0" encoding="utf-8"?>
<ds:datastoreItem xmlns:ds="http://schemas.openxmlformats.org/officeDocument/2006/customXml" ds:itemID="{c4994404-5615-4f56-b0b4-edadc447c470}">
  <ds:schemaRefs/>
</ds:datastoreItem>
</file>

<file path=customXml/itemProps7.xml><?xml version="1.0" encoding="utf-8"?>
<ds:datastoreItem xmlns:ds="http://schemas.openxmlformats.org/officeDocument/2006/customXml" ds:itemID="{08fb7615-1890-443c-8962-fb5280350cd5}">
  <ds:schemaRefs/>
</ds:datastoreItem>
</file>

<file path=customXml/itemProps8.xml><?xml version="1.0" encoding="utf-8"?>
<ds:datastoreItem xmlns:ds="http://schemas.openxmlformats.org/officeDocument/2006/customXml" ds:itemID="{8da092d4-3e31-444d-8bb7-13ec00a8f515}">
  <ds:schemaRefs/>
</ds:datastoreItem>
</file>

<file path=customXml/itemProps9.xml><?xml version="1.0" encoding="utf-8"?>
<ds:datastoreItem xmlns:ds="http://schemas.openxmlformats.org/officeDocument/2006/customXml" ds:itemID="{c0c44099-530b-4c8a-9109-bb7e1959a736}">
  <ds:schemaRefs/>
</ds:datastoreItem>
</file>

<file path=docProps/app.xml><?xml version="1.0" encoding="utf-8"?>
<Properties xmlns="http://schemas.openxmlformats.org/officeDocument/2006/extended-properties" xmlns:vt="http://schemas.openxmlformats.org/officeDocument/2006/docPropsVTypes">
  <Pages>25</Pages>
  <Words>5534</Words>
  <Characters>6216</Characters>
  <TotalTime>0</TotalTime>
  <ScaleCrop>false</ScaleCrop>
  <LinksUpToDate>false</LinksUpToDate>
  <CharactersWithSpaces>6350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2022-03-18T08:46:00Z</dcterms:created>
  <dc:creator>Administrator</dc:creator>
  <cp:lastModifiedBy>魏县投促中心招商部</cp:lastModifiedBy>
  <dcterms:modified xsi:type="dcterms:W3CDTF">2023-08-17T02:41:20Z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39EAC501AB074B3BA038637B71477DDC_13</vt:lpwstr>
  </property>
</Properties>
</file>