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val="en-US" w:eastAsia="zh-CN"/>
        </w:rPr>
        <w:t>·</w:t>
      </w: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一、魏县审计局本级收支预算</w:t>
      </w:r>
      <w:r>
        <w:tab/>
      </w:r>
      <w:r>
        <w:rPr>
          <w:rFonts w:hint="eastAsia"/>
          <w:lang w:eastAsia="zh-CN"/>
        </w:rPr>
        <w:t>1</w:t>
      </w:r>
      <w:r>
        <w:rPr>
          <w:rFonts w:hint="eastAsia"/>
          <w:lang w:eastAsia="zh-CN"/>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672.27</w:t>
            </w:r>
          </w:p>
        </w:tc>
        <w:tc>
          <w:tcPr>
            <w:tcW w:w="4535" w:type="dxa"/>
            <w:vAlign w:val="center"/>
          </w:tcPr>
          <w:p>
            <w:pPr>
              <w:pStyle w:val="16"/>
            </w:pPr>
            <w:r>
              <w:rPr>
                <w:rFonts w:hint="eastAsia"/>
              </w:rPr>
              <w:t>一、一般公共服务支出</w:t>
            </w:r>
          </w:p>
        </w:tc>
        <w:tc>
          <w:tcPr>
            <w:tcW w:w="2126" w:type="dxa"/>
            <w:vAlign w:val="center"/>
          </w:tcPr>
          <w:p>
            <w:pPr>
              <w:pStyle w:val="15"/>
            </w:pPr>
            <w:r>
              <w:t>660.56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672.27</w:t>
            </w:r>
          </w:p>
        </w:tc>
        <w:tc>
          <w:tcPr>
            <w:tcW w:w="4535" w:type="dxa"/>
            <w:vAlign w:val="center"/>
          </w:tcPr>
          <w:p>
            <w:pPr>
              <w:pStyle w:val="18"/>
            </w:pPr>
            <w:r>
              <w:rPr>
                <w:rFonts w:hint="eastAsia"/>
              </w:rPr>
              <w:t>本年支出合计</w:t>
            </w:r>
          </w:p>
        </w:tc>
        <w:tc>
          <w:tcPr>
            <w:tcW w:w="2126" w:type="dxa"/>
            <w:vAlign w:val="center"/>
          </w:tcPr>
          <w:p>
            <w:pPr>
              <w:pStyle w:val="19"/>
            </w:pPr>
            <w:r>
              <w:t>672.27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672.27</w:t>
            </w:r>
          </w:p>
        </w:tc>
        <w:tc>
          <w:tcPr>
            <w:tcW w:w="4535" w:type="dxa"/>
            <w:vAlign w:val="center"/>
          </w:tcPr>
          <w:p>
            <w:pPr>
              <w:pStyle w:val="18"/>
            </w:pPr>
            <w:r>
              <w:rPr>
                <w:rFonts w:hint="eastAsia"/>
              </w:rPr>
              <w:t>支出总计</w:t>
            </w:r>
          </w:p>
        </w:tc>
        <w:tc>
          <w:tcPr>
            <w:tcW w:w="2126" w:type="dxa"/>
            <w:vAlign w:val="center"/>
          </w:tcPr>
          <w:p>
            <w:pPr>
              <w:pStyle w:val="19"/>
            </w:pPr>
            <w:r>
              <w:t>672.27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672.27</w:t>
            </w:r>
          </w:p>
        </w:tc>
        <w:tc>
          <w:tcPr>
            <w:tcW w:w="1134" w:type="dxa"/>
            <w:vAlign w:val="center"/>
          </w:tcPr>
          <w:p>
            <w:pPr>
              <w:pStyle w:val="19"/>
            </w:pPr>
            <w:r>
              <w:t>672.27</w:t>
            </w:r>
          </w:p>
        </w:tc>
        <w:tc>
          <w:tcPr>
            <w:tcW w:w="1134" w:type="dxa"/>
            <w:vAlign w:val="center"/>
          </w:tcPr>
          <w:p>
            <w:pPr>
              <w:pStyle w:val="19"/>
            </w:pPr>
            <w:r>
              <w:t>672.27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660.56</w:t>
            </w:r>
          </w:p>
        </w:tc>
        <w:tc>
          <w:tcPr>
            <w:tcW w:w="1134" w:type="dxa"/>
            <w:vAlign w:val="center"/>
          </w:tcPr>
          <w:p>
            <w:pPr>
              <w:pStyle w:val="15"/>
            </w:pPr>
            <w:r>
              <w:t>660.56</w:t>
            </w:r>
          </w:p>
        </w:tc>
        <w:tc>
          <w:tcPr>
            <w:tcW w:w="1134" w:type="dxa"/>
            <w:vAlign w:val="center"/>
          </w:tcPr>
          <w:p>
            <w:pPr>
              <w:pStyle w:val="15"/>
            </w:pPr>
            <w:r>
              <w:t>660.56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20108</w:t>
            </w:r>
          </w:p>
        </w:tc>
        <w:tc>
          <w:tcPr>
            <w:tcW w:w="1559" w:type="dxa"/>
            <w:vAlign w:val="center"/>
          </w:tcPr>
          <w:p>
            <w:pPr>
              <w:pStyle w:val="16"/>
            </w:pPr>
            <w:r>
              <w:rPr>
                <w:rFonts w:hint="eastAsia"/>
              </w:rPr>
              <w:t>审计事务</w:t>
            </w:r>
          </w:p>
        </w:tc>
        <w:tc>
          <w:tcPr>
            <w:tcW w:w="1134" w:type="dxa"/>
            <w:vAlign w:val="center"/>
          </w:tcPr>
          <w:p>
            <w:pPr>
              <w:pStyle w:val="15"/>
            </w:pPr>
            <w:r>
              <w:t>660.56</w:t>
            </w:r>
          </w:p>
        </w:tc>
        <w:tc>
          <w:tcPr>
            <w:tcW w:w="1134" w:type="dxa"/>
            <w:vAlign w:val="center"/>
          </w:tcPr>
          <w:p>
            <w:pPr>
              <w:pStyle w:val="15"/>
            </w:pPr>
            <w:r>
              <w:t>660.56</w:t>
            </w:r>
          </w:p>
        </w:tc>
        <w:tc>
          <w:tcPr>
            <w:tcW w:w="1134" w:type="dxa"/>
            <w:vAlign w:val="center"/>
          </w:tcPr>
          <w:p>
            <w:pPr>
              <w:pStyle w:val="15"/>
            </w:pPr>
            <w:r>
              <w:t>660.56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2010801</w:t>
            </w:r>
          </w:p>
        </w:tc>
        <w:tc>
          <w:tcPr>
            <w:tcW w:w="1559" w:type="dxa"/>
            <w:vAlign w:val="center"/>
          </w:tcPr>
          <w:p>
            <w:pPr>
              <w:pStyle w:val="16"/>
            </w:pPr>
            <w:r>
              <w:rPr>
                <w:rFonts w:hint="eastAsia"/>
              </w:rPr>
              <w:t>行政运行</w:t>
            </w:r>
          </w:p>
        </w:tc>
        <w:tc>
          <w:tcPr>
            <w:tcW w:w="1134" w:type="dxa"/>
            <w:vAlign w:val="center"/>
          </w:tcPr>
          <w:p>
            <w:pPr>
              <w:pStyle w:val="15"/>
            </w:pPr>
            <w:r>
              <w:t>525.56</w:t>
            </w:r>
          </w:p>
        </w:tc>
        <w:tc>
          <w:tcPr>
            <w:tcW w:w="1134" w:type="dxa"/>
            <w:vAlign w:val="center"/>
          </w:tcPr>
          <w:p>
            <w:pPr>
              <w:pStyle w:val="15"/>
            </w:pPr>
            <w:r>
              <w:t>525.56</w:t>
            </w:r>
          </w:p>
        </w:tc>
        <w:tc>
          <w:tcPr>
            <w:tcW w:w="1134" w:type="dxa"/>
            <w:vAlign w:val="center"/>
          </w:tcPr>
          <w:p>
            <w:pPr>
              <w:pStyle w:val="15"/>
            </w:pPr>
            <w:r>
              <w:t>525.56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2010803</w:t>
            </w:r>
          </w:p>
        </w:tc>
        <w:tc>
          <w:tcPr>
            <w:tcW w:w="1559" w:type="dxa"/>
            <w:vAlign w:val="center"/>
          </w:tcPr>
          <w:p>
            <w:pPr>
              <w:pStyle w:val="16"/>
            </w:pPr>
            <w:r>
              <w:rPr>
                <w:rFonts w:hint="eastAsia"/>
              </w:rPr>
              <w:t>机关服务</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2010804</w:t>
            </w:r>
          </w:p>
        </w:tc>
        <w:tc>
          <w:tcPr>
            <w:tcW w:w="1559" w:type="dxa"/>
            <w:vAlign w:val="center"/>
          </w:tcPr>
          <w:p>
            <w:pPr>
              <w:pStyle w:val="16"/>
            </w:pPr>
            <w:r>
              <w:rPr>
                <w:rFonts w:hint="eastAsia"/>
              </w:rPr>
              <w:t>审计业务</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r>
              <w:t>130.00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r>
              <w:t>5.01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2101199</w:t>
            </w:r>
          </w:p>
        </w:tc>
        <w:tc>
          <w:tcPr>
            <w:tcW w:w="1559" w:type="dxa"/>
            <w:vAlign w:val="center"/>
          </w:tcPr>
          <w:p>
            <w:pPr>
              <w:pStyle w:val="16"/>
            </w:pPr>
            <w:r>
              <w:rPr>
                <w:rFonts w:hint="eastAsia"/>
              </w:rPr>
              <w:t>其他行政事业单位医疗支出</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r>
              <w:t>6.70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672.27</w:t>
            </w:r>
          </w:p>
        </w:tc>
        <w:tc>
          <w:tcPr>
            <w:tcW w:w="1361" w:type="dxa"/>
            <w:vAlign w:val="center"/>
          </w:tcPr>
          <w:p>
            <w:pPr>
              <w:pStyle w:val="19"/>
            </w:pPr>
            <w:r>
              <w:t>537.27</w:t>
            </w:r>
          </w:p>
        </w:tc>
        <w:tc>
          <w:tcPr>
            <w:tcW w:w="1361" w:type="dxa"/>
            <w:vAlign w:val="center"/>
          </w:tcPr>
          <w:p>
            <w:pPr>
              <w:pStyle w:val="19"/>
            </w:pPr>
            <w:r>
              <w:t>135.00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660.56</w:t>
            </w:r>
          </w:p>
        </w:tc>
        <w:tc>
          <w:tcPr>
            <w:tcW w:w="1361" w:type="dxa"/>
            <w:vAlign w:val="center"/>
          </w:tcPr>
          <w:p>
            <w:pPr>
              <w:pStyle w:val="15"/>
            </w:pPr>
            <w:r>
              <w:t>525.56</w:t>
            </w:r>
          </w:p>
        </w:tc>
        <w:tc>
          <w:tcPr>
            <w:tcW w:w="1361" w:type="dxa"/>
            <w:vAlign w:val="center"/>
          </w:tcPr>
          <w:p>
            <w:pPr>
              <w:pStyle w:val="15"/>
            </w:pPr>
            <w:r>
              <w:t>135.00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20108</w:t>
            </w:r>
          </w:p>
        </w:tc>
        <w:tc>
          <w:tcPr>
            <w:tcW w:w="4535" w:type="dxa"/>
            <w:vAlign w:val="center"/>
          </w:tcPr>
          <w:p>
            <w:pPr>
              <w:pStyle w:val="16"/>
            </w:pPr>
            <w:r>
              <w:rPr>
                <w:rFonts w:hint="eastAsia"/>
              </w:rPr>
              <w:t>审计事务</w:t>
            </w:r>
          </w:p>
        </w:tc>
        <w:tc>
          <w:tcPr>
            <w:tcW w:w="1361" w:type="dxa"/>
            <w:vAlign w:val="center"/>
          </w:tcPr>
          <w:p>
            <w:pPr>
              <w:pStyle w:val="15"/>
            </w:pPr>
            <w:r>
              <w:t>660.56</w:t>
            </w:r>
          </w:p>
        </w:tc>
        <w:tc>
          <w:tcPr>
            <w:tcW w:w="1361" w:type="dxa"/>
            <w:vAlign w:val="center"/>
          </w:tcPr>
          <w:p>
            <w:pPr>
              <w:pStyle w:val="15"/>
            </w:pPr>
            <w:r>
              <w:t>525.56</w:t>
            </w:r>
          </w:p>
        </w:tc>
        <w:tc>
          <w:tcPr>
            <w:tcW w:w="1361" w:type="dxa"/>
            <w:vAlign w:val="center"/>
          </w:tcPr>
          <w:p>
            <w:pPr>
              <w:pStyle w:val="15"/>
            </w:pPr>
            <w:r>
              <w:t>135.00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2010801</w:t>
            </w:r>
          </w:p>
        </w:tc>
        <w:tc>
          <w:tcPr>
            <w:tcW w:w="4535" w:type="dxa"/>
            <w:vAlign w:val="center"/>
          </w:tcPr>
          <w:p>
            <w:pPr>
              <w:pStyle w:val="16"/>
            </w:pPr>
            <w:r>
              <w:rPr>
                <w:rFonts w:hint="eastAsia"/>
              </w:rPr>
              <w:t>行政运行</w:t>
            </w:r>
          </w:p>
        </w:tc>
        <w:tc>
          <w:tcPr>
            <w:tcW w:w="1361" w:type="dxa"/>
            <w:vAlign w:val="center"/>
          </w:tcPr>
          <w:p>
            <w:pPr>
              <w:pStyle w:val="15"/>
            </w:pPr>
            <w:r>
              <w:t>525.56</w:t>
            </w:r>
          </w:p>
        </w:tc>
        <w:tc>
          <w:tcPr>
            <w:tcW w:w="1361" w:type="dxa"/>
            <w:vAlign w:val="center"/>
          </w:tcPr>
          <w:p>
            <w:pPr>
              <w:pStyle w:val="15"/>
            </w:pPr>
            <w:r>
              <w:t>525.56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2010803</w:t>
            </w:r>
          </w:p>
        </w:tc>
        <w:tc>
          <w:tcPr>
            <w:tcW w:w="4535" w:type="dxa"/>
            <w:vAlign w:val="center"/>
          </w:tcPr>
          <w:p>
            <w:pPr>
              <w:pStyle w:val="16"/>
            </w:pPr>
            <w:r>
              <w:rPr>
                <w:rFonts w:hint="eastAsia"/>
              </w:rPr>
              <w:t>机关服务</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2010804</w:t>
            </w:r>
          </w:p>
        </w:tc>
        <w:tc>
          <w:tcPr>
            <w:tcW w:w="4535" w:type="dxa"/>
            <w:vAlign w:val="center"/>
          </w:tcPr>
          <w:p>
            <w:pPr>
              <w:pStyle w:val="16"/>
            </w:pPr>
            <w:r>
              <w:rPr>
                <w:rFonts w:hint="eastAsia"/>
              </w:rPr>
              <w:t>审计业务</w:t>
            </w: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r>
              <w:t>130.00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5.01</w:t>
            </w:r>
          </w:p>
        </w:tc>
        <w:tc>
          <w:tcPr>
            <w:tcW w:w="1361" w:type="dxa"/>
            <w:vAlign w:val="center"/>
          </w:tcPr>
          <w:p>
            <w:pPr>
              <w:pStyle w:val="15"/>
            </w:pPr>
            <w:r>
              <w:t>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5.01</w:t>
            </w:r>
          </w:p>
        </w:tc>
        <w:tc>
          <w:tcPr>
            <w:tcW w:w="1361" w:type="dxa"/>
            <w:vAlign w:val="center"/>
          </w:tcPr>
          <w:p>
            <w:pPr>
              <w:pStyle w:val="15"/>
            </w:pPr>
            <w:r>
              <w:t>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5.01</w:t>
            </w:r>
          </w:p>
        </w:tc>
        <w:tc>
          <w:tcPr>
            <w:tcW w:w="1361" w:type="dxa"/>
            <w:vAlign w:val="center"/>
          </w:tcPr>
          <w:p>
            <w:pPr>
              <w:pStyle w:val="15"/>
            </w:pPr>
            <w:r>
              <w:t>5.01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6.70</w:t>
            </w:r>
          </w:p>
        </w:tc>
        <w:tc>
          <w:tcPr>
            <w:tcW w:w="1361" w:type="dxa"/>
            <w:vAlign w:val="center"/>
          </w:tcPr>
          <w:p>
            <w:pPr>
              <w:pStyle w:val="15"/>
            </w:pPr>
            <w:r>
              <w:t>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6.70</w:t>
            </w:r>
          </w:p>
        </w:tc>
        <w:tc>
          <w:tcPr>
            <w:tcW w:w="1361" w:type="dxa"/>
            <w:vAlign w:val="center"/>
          </w:tcPr>
          <w:p>
            <w:pPr>
              <w:pStyle w:val="15"/>
            </w:pPr>
            <w:r>
              <w:t>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2101199</w:t>
            </w:r>
          </w:p>
        </w:tc>
        <w:tc>
          <w:tcPr>
            <w:tcW w:w="4535" w:type="dxa"/>
            <w:vAlign w:val="center"/>
          </w:tcPr>
          <w:p>
            <w:pPr>
              <w:pStyle w:val="16"/>
            </w:pPr>
            <w:r>
              <w:rPr>
                <w:rFonts w:hint="eastAsia"/>
              </w:rPr>
              <w:t>其他行政事业单位医疗支出</w:t>
            </w:r>
          </w:p>
        </w:tc>
        <w:tc>
          <w:tcPr>
            <w:tcW w:w="1361" w:type="dxa"/>
            <w:vAlign w:val="center"/>
          </w:tcPr>
          <w:p>
            <w:pPr>
              <w:pStyle w:val="15"/>
            </w:pPr>
            <w:r>
              <w:t>6.70</w:t>
            </w:r>
          </w:p>
        </w:tc>
        <w:tc>
          <w:tcPr>
            <w:tcW w:w="1361" w:type="dxa"/>
            <w:vAlign w:val="center"/>
          </w:tcPr>
          <w:p>
            <w:pPr>
              <w:pStyle w:val="15"/>
            </w:pPr>
            <w:r>
              <w:t>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672.27</w:t>
            </w:r>
          </w:p>
        </w:tc>
        <w:tc>
          <w:tcPr>
            <w:tcW w:w="3402" w:type="dxa"/>
            <w:vAlign w:val="center"/>
          </w:tcPr>
          <w:p>
            <w:pPr>
              <w:pStyle w:val="16"/>
            </w:pPr>
            <w:r>
              <w:rPr>
                <w:rFonts w:hint="eastAsia"/>
              </w:rPr>
              <w:t>一、一般公共服务支出</w:t>
            </w:r>
          </w:p>
        </w:tc>
        <w:tc>
          <w:tcPr>
            <w:tcW w:w="1474" w:type="dxa"/>
            <w:vAlign w:val="center"/>
          </w:tcPr>
          <w:p>
            <w:pPr>
              <w:pStyle w:val="15"/>
            </w:pPr>
            <w:r>
              <w:t>660.56</w:t>
            </w:r>
          </w:p>
        </w:tc>
        <w:tc>
          <w:tcPr>
            <w:tcW w:w="1474" w:type="dxa"/>
            <w:vAlign w:val="center"/>
          </w:tcPr>
          <w:p>
            <w:pPr>
              <w:pStyle w:val="15"/>
            </w:pPr>
            <w:r>
              <w:t>660.56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5.01</w:t>
            </w:r>
          </w:p>
        </w:tc>
        <w:tc>
          <w:tcPr>
            <w:tcW w:w="1474" w:type="dxa"/>
            <w:vAlign w:val="center"/>
          </w:tcPr>
          <w:p>
            <w:pPr>
              <w:pStyle w:val="15"/>
            </w:pPr>
            <w:r>
              <w:t>5.01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6.70</w:t>
            </w:r>
          </w:p>
        </w:tc>
        <w:tc>
          <w:tcPr>
            <w:tcW w:w="1474" w:type="dxa"/>
            <w:vAlign w:val="center"/>
          </w:tcPr>
          <w:p>
            <w:pPr>
              <w:pStyle w:val="15"/>
            </w:pPr>
            <w:r>
              <w:t>6.70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672.27</w:t>
            </w:r>
          </w:p>
        </w:tc>
        <w:tc>
          <w:tcPr>
            <w:tcW w:w="3402" w:type="dxa"/>
            <w:vAlign w:val="center"/>
          </w:tcPr>
          <w:p>
            <w:pPr>
              <w:pStyle w:val="18"/>
            </w:pPr>
            <w:r>
              <w:rPr>
                <w:rFonts w:hint="eastAsia"/>
              </w:rPr>
              <w:t>本年支出合计</w:t>
            </w:r>
          </w:p>
        </w:tc>
        <w:tc>
          <w:tcPr>
            <w:tcW w:w="1474" w:type="dxa"/>
            <w:vAlign w:val="center"/>
          </w:tcPr>
          <w:p>
            <w:pPr>
              <w:pStyle w:val="19"/>
            </w:pPr>
            <w:r>
              <w:t>672.27</w:t>
            </w:r>
          </w:p>
        </w:tc>
        <w:tc>
          <w:tcPr>
            <w:tcW w:w="1474" w:type="dxa"/>
            <w:vAlign w:val="center"/>
          </w:tcPr>
          <w:p>
            <w:pPr>
              <w:pStyle w:val="19"/>
            </w:pPr>
            <w:r>
              <w:t>672.27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672.27</w:t>
            </w:r>
          </w:p>
        </w:tc>
        <w:tc>
          <w:tcPr>
            <w:tcW w:w="3402" w:type="dxa"/>
            <w:vAlign w:val="center"/>
          </w:tcPr>
          <w:p>
            <w:pPr>
              <w:pStyle w:val="18"/>
            </w:pPr>
            <w:r>
              <w:rPr>
                <w:rFonts w:hint="eastAsia"/>
              </w:rPr>
              <w:t>支出总计</w:t>
            </w:r>
          </w:p>
        </w:tc>
        <w:tc>
          <w:tcPr>
            <w:tcW w:w="1474" w:type="dxa"/>
            <w:vAlign w:val="center"/>
          </w:tcPr>
          <w:p>
            <w:pPr>
              <w:pStyle w:val="19"/>
            </w:pPr>
            <w:r>
              <w:t>672.27</w:t>
            </w:r>
          </w:p>
        </w:tc>
        <w:tc>
          <w:tcPr>
            <w:tcW w:w="1474" w:type="dxa"/>
            <w:vAlign w:val="center"/>
          </w:tcPr>
          <w:p>
            <w:pPr>
              <w:pStyle w:val="19"/>
            </w:pPr>
            <w:r>
              <w:t>672.27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672.27</w:t>
            </w:r>
          </w:p>
        </w:tc>
        <w:tc>
          <w:tcPr>
            <w:tcW w:w="2551" w:type="dxa"/>
            <w:vAlign w:val="center"/>
          </w:tcPr>
          <w:p>
            <w:pPr>
              <w:pStyle w:val="19"/>
            </w:pPr>
            <w:r>
              <w:t>537.27</w:t>
            </w:r>
          </w:p>
        </w:tc>
        <w:tc>
          <w:tcPr>
            <w:tcW w:w="2551" w:type="dxa"/>
            <w:vAlign w:val="center"/>
          </w:tcPr>
          <w:p>
            <w:pPr>
              <w:pStyle w:val="19"/>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660.56</w:t>
            </w:r>
          </w:p>
        </w:tc>
        <w:tc>
          <w:tcPr>
            <w:tcW w:w="2551" w:type="dxa"/>
            <w:vAlign w:val="center"/>
          </w:tcPr>
          <w:p>
            <w:pPr>
              <w:pStyle w:val="15"/>
            </w:pPr>
            <w:r>
              <w:t>525.56</w:t>
            </w:r>
          </w:p>
        </w:tc>
        <w:tc>
          <w:tcPr>
            <w:tcW w:w="2551" w:type="dxa"/>
            <w:vAlign w:val="center"/>
          </w:tcPr>
          <w:p>
            <w:pPr>
              <w:pStyle w:val="15"/>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20108</w:t>
            </w:r>
          </w:p>
        </w:tc>
        <w:tc>
          <w:tcPr>
            <w:tcW w:w="4535" w:type="dxa"/>
            <w:vAlign w:val="center"/>
          </w:tcPr>
          <w:p>
            <w:pPr>
              <w:pStyle w:val="16"/>
            </w:pPr>
            <w:r>
              <w:rPr>
                <w:rFonts w:hint="eastAsia"/>
              </w:rPr>
              <w:t>审计事务</w:t>
            </w:r>
          </w:p>
        </w:tc>
        <w:tc>
          <w:tcPr>
            <w:tcW w:w="2551" w:type="dxa"/>
            <w:vAlign w:val="center"/>
          </w:tcPr>
          <w:p>
            <w:pPr>
              <w:pStyle w:val="15"/>
            </w:pPr>
            <w:r>
              <w:t>660.56</w:t>
            </w:r>
          </w:p>
        </w:tc>
        <w:tc>
          <w:tcPr>
            <w:tcW w:w="2551" w:type="dxa"/>
            <w:vAlign w:val="center"/>
          </w:tcPr>
          <w:p>
            <w:pPr>
              <w:pStyle w:val="15"/>
            </w:pPr>
            <w:r>
              <w:t>525.56</w:t>
            </w:r>
          </w:p>
        </w:tc>
        <w:tc>
          <w:tcPr>
            <w:tcW w:w="2551" w:type="dxa"/>
            <w:vAlign w:val="center"/>
          </w:tcPr>
          <w:p>
            <w:pPr>
              <w:pStyle w:val="15"/>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2010801</w:t>
            </w:r>
          </w:p>
        </w:tc>
        <w:tc>
          <w:tcPr>
            <w:tcW w:w="4535" w:type="dxa"/>
            <w:vAlign w:val="center"/>
          </w:tcPr>
          <w:p>
            <w:pPr>
              <w:pStyle w:val="16"/>
            </w:pPr>
            <w:r>
              <w:rPr>
                <w:rFonts w:hint="eastAsia"/>
              </w:rPr>
              <w:t>行政运行</w:t>
            </w:r>
          </w:p>
        </w:tc>
        <w:tc>
          <w:tcPr>
            <w:tcW w:w="2551" w:type="dxa"/>
            <w:vAlign w:val="center"/>
          </w:tcPr>
          <w:p>
            <w:pPr>
              <w:pStyle w:val="15"/>
            </w:pPr>
            <w:r>
              <w:t>525.56</w:t>
            </w:r>
          </w:p>
        </w:tc>
        <w:tc>
          <w:tcPr>
            <w:tcW w:w="2551" w:type="dxa"/>
            <w:vAlign w:val="center"/>
          </w:tcPr>
          <w:p>
            <w:pPr>
              <w:pStyle w:val="15"/>
            </w:pPr>
            <w:r>
              <w:t>525.56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2010803</w:t>
            </w:r>
          </w:p>
        </w:tc>
        <w:tc>
          <w:tcPr>
            <w:tcW w:w="4535" w:type="dxa"/>
            <w:vAlign w:val="center"/>
          </w:tcPr>
          <w:p>
            <w:pPr>
              <w:pStyle w:val="16"/>
            </w:pPr>
            <w:r>
              <w:rPr>
                <w:rFonts w:hint="eastAsia"/>
              </w:rPr>
              <w:t>机关服务</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2010804</w:t>
            </w:r>
          </w:p>
        </w:tc>
        <w:tc>
          <w:tcPr>
            <w:tcW w:w="4535" w:type="dxa"/>
            <w:vAlign w:val="center"/>
          </w:tcPr>
          <w:p>
            <w:pPr>
              <w:pStyle w:val="16"/>
            </w:pPr>
            <w:r>
              <w:rPr>
                <w:rFonts w:hint="eastAsia"/>
              </w:rPr>
              <w:t>审计业务</w:t>
            </w:r>
          </w:p>
        </w:tc>
        <w:tc>
          <w:tcPr>
            <w:tcW w:w="2551" w:type="dxa"/>
            <w:vAlign w:val="center"/>
          </w:tcPr>
          <w:p>
            <w:pPr>
              <w:pStyle w:val="15"/>
            </w:pPr>
            <w:r>
              <w:t>130.00</w:t>
            </w:r>
          </w:p>
        </w:tc>
        <w:tc>
          <w:tcPr>
            <w:tcW w:w="2551" w:type="dxa"/>
            <w:vAlign w:val="center"/>
          </w:tcPr>
          <w:p>
            <w:pPr>
              <w:pStyle w:val="15"/>
            </w:pPr>
          </w:p>
        </w:tc>
        <w:tc>
          <w:tcPr>
            <w:tcW w:w="2551"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6.70</w:t>
            </w:r>
          </w:p>
        </w:tc>
        <w:tc>
          <w:tcPr>
            <w:tcW w:w="2551" w:type="dxa"/>
            <w:vAlign w:val="center"/>
          </w:tcPr>
          <w:p>
            <w:pPr>
              <w:pStyle w:val="15"/>
            </w:pPr>
            <w:r>
              <w:t>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6.70</w:t>
            </w:r>
          </w:p>
        </w:tc>
        <w:tc>
          <w:tcPr>
            <w:tcW w:w="2551" w:type="dxa"/>
            <w:vAlign w:val="center"/>
          </w:tcPr>
          <w:p>
            <w:pPr>
              <w:pStyle w:val="15"/>
            </w:pPr>
            <w:r>
              <w:t>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2101199</w:t>
            </w:r>
          </w:p>
        </w:tc>
        <w:tc>
          <w:tcPr>
            <w:tcW w:w="4535" w:type="dxa"/>
            <w:vAlign w:val="center"/>
          </w:tcPr>
          <w:p>
            <w:pPr>
              <w:pStyle w:val="16"/>
            </w:pPr>
            <w:r>
              <w:rPr>
                <w:rFonts w:hint="eastAsia"/>
              </w:rPr>
              <w:t>其他行政事业单位医疗支出</w:t>
            </w:r>
          </w:p>
        </w:tc>
        <w:tc>
          <w:tcPr>
            <w:tcW w:w="2551" w:type="dxa"/>
            <w:vAlign w:val="center"/>
          </w:tcPr>
          <w:p>
            <w:pPr>
              <w:pStyle w:val="15"/>
            </w:pPr>
            <w:r>
              <w:t>6.70</w:t>
            </w:r>
          </w:p>
        </w:tc>
        <w:tc>
          <w:tcPr>
            <w:tcW w:w="2551" w:type="dxa"/>
            <w:vAlign w:val="center"/>
          </w:tcPr>
          <w:p>
            <w:pPr>
              <w:pStyle w:val="15"/>
            </w:pPr>
            <w:r>
              <w:t>6.70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537.27</w:t>
            </w:r>
          </w:p>
        </w:tc>
        <w:tc>
          <w:tcPr>
            <w:tcW w:w="2551" w:type="dxa"/>
            <w:vAlign w:val="center"/>
          </w:tcPr>
          <w:p>
            <w:pPr>
              <w:pStyle w:val="19"/>
            </w:pPr>
            <w:r>
              <w:t>516.19</w:t>
            </w:r>
          </w:p>
        </w:tc>
        <w:tc>
          <w:tcPr>
            <w:tcW w:w="2551" w:type="dxa"/>
            <w:vAlign w:val="center"/>
          </w:tcPr>
          <w:p>
            <w:pPr>
              <w:pStyle w:val="19"/>
            </w:pPr>
            <w: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511.18</w:t>
            </w:r>
          </w:p>
        </w:tc>
        <w:tc>
          <w:tcPr>
            <w:tcW w:w="2551" w:type="dxa"/>
            <w:vAlign w:val="center"/>
          </w:tcPr>
          <w:p>
            <w:pPr>
              <w:pStyle w:val="15"/>
            </w:pPr>
            <w:r>
              <w:t>511.18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247.85</w:t>
            </w:r>
          </w:p>
        </w:tc>
        <w:tc>
          <w:tcPr>
            <w:tcW w:w="2551" w:type="dxa"/>
            <w:vAlign w:val="center"/>
          </w:tcPr>
          <w:p>
            <w:pPr>
              <w:pStyle w:val="15"/>
            </w:pPr>
            <w:r>
              <w:t>247.85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3.70</w:t>
            </w:r>
          </w:p>
        </w:tc>
        <w:tc>
          <w:tcPr>
            <w:tcW w:w="2551" w:type="dxa"/>
            <w:vAlign w:val="center"/>
          </w:tcPr>
          <w:p>
            <w:pPr>
              <w:pStyle w:val="15"/>
            </w:pPr>
            <w:r>
              <w:t>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4.15</w:t>
            </w:r>
          </w:p>
        </w:tc>
        <w:tc>
          <w:tcPr>
            <w:tcW w:w="2551" w:type="dxa"/>
            <w:vAlign w:val="center"/>
          </w:tcPr>
          <w:p>
            <w:pPr>
              <w:pStyle w:val="15"/>
            </w:pPr>
            <w:r>
              <w:t>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1.05</w:t>
            </w:r>
          </w:p>
        </w:tc>
        <w:tc>
          <w:tcPr>
            <w:tcW w:w="2551" w:type="dxa"/>
            <w:vAlign w:val="center"/>
          </w:tcPr>
          <w:p>
            <w:pPr>
              <w:pStyle w:val="15"/>
            </w:pPr>
            <w:r>
              <w:t>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12.41</w:t>
            </w:r>
          </w:p>
        </w:tc>
        <w:tc>
          <w:tcPr>
            <w:tcW w:w="2551" w:type="dxa"/>
            <w:vAlign w:val="center"/>
          </w:tcPr>
          <w:p>
            <w:pPr>
              <w:pStyle w:val="15"/>
            </w:pPr>
            <w:r>
              <w:t>12.41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6.70</w:t>
            </w:r>
          </w:p>
        </w:tc>
        <w:tc>
          <w:tcPr>
            <w:tcW w:w="2551" w:type="dxa"/>
            <w:vAlign w:val="center"/>
          </w:tcPr>
          <w:p>
            <w:pPr>
              <w:pStyle w:val="15"/>
            </w:pPr>
            <w:r>
              <w:t>6.70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229.12</w:t>
            </w:r>
          </w:p>
        </w:tc>
        <w:tc>
          <w:tcPr>
            <w:tcW w:w="2551" w:type="dxa"/>
            <w:vAlign w:val="center"/>
          </w:tcPr>
          <w:p>
            <w:pPr>
              <w:pStyle w:val="15"/>
            </w:pPr>
            <w:r>
              <w:t>229.12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21.08</w:t>
            </w:r>
          </w:p>
        </w:tc>
        <w:tc>
          <w:tcPr>
            <w:tcW w:w="2551" w:type="dxa"/>
            <w:vAlign w:val="center"/>
          </w:tcPr>
          <w:p>
            <w:pPr>
              <w:pStyle w:val="15"/>
            </w:pPr>
          </w:p>
        </w:tc>
        <w:tc>
          <w:tcPr>
            <w:tcW w:w="2551" w:type="dxa"/>
            <w:vAlign w:val="center"/>
          </w:tcPr>
          <w:p>
            <w:pPr>
              <w:pStyle w:val="15"/>
            </w:pPr>
            <w: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7.08</w:t>
            </w:r>
          </w:p>
        </w:tc>
        <w:tc>
          <w:tcPr>
            <w:tcW w:w="2551" w:type="dxa"/>
            <w:vAlign w:val="center"/>
          </w:tcPr>
          <w:p>
            <w:pPr>
              <w:pStyle w:val="15"/>
            </w:pPr>
          </w:p>
        </w:tc>
        <w:tc>
          <w:tcPr>
            <w:tcW w:w="2551"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5.01</w:t>
            </w:r>
          </w:p>
        </w:tc>
        <w:tc>
          <w:tcPr>
            <w:tcW w:w="2551" w:type="dxa"/>
            <w:vAlign w:val="center"/>
          </w:tcPr>
          <w:p>
            <w:pPr>
              <w:pStyle w:val="15"/>
            </w:pPr>
            <w:r>
              <w:t>5.01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319001魏县审计局本级</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4.00</w:t>
            </w:r>
          </w:p>
        </w:tc>
        <w:tc>
          <w:tcPr>
            <w:tcW w:w="2381" w:type="dxa"/>
            <w:vAlign w:val="center"/>
          </w:tcPr>
          <w:p>
            <w:pPr>
              <w:pStyle w:val="19"/>
            </w:pPr>
            <w:r>
              <w:t>4.00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2.60</w:t>
            </w:r>
          </w:p>
        </w:tc>
        <w:tc>
          <w:tcPr>
            <w:tcW w:w="2381" w:type="dxa"/>
            <w:vAlign w:val="center"/>
          </w:tcPr>
          <w:p>
            <w:pPr>
              <w:pStyle w:val="15"/>
            </w:pPr>
            <w: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2.60</w:t>
            </w:r>
          </w:p>
        </w:tc>
        <w:tc>
          <w:tcPr>
            <w:tcW w:w="2381" w:type="dxa"/>
            <w:vAlign w:val="center"/>
          </w:tcPr>
          <w:p>
            <w:pPr>
              <w:pStyle w:val="15"/>
            </w:pPr>
            <w: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1.40</w:t>
            </w:r>
          </w:p>
        </w:tc>
        <w:tc>
          <w:tcPr>
            <w:tcW w:w="2381" w:type="dxa"/>
            <w:vAlign w:val="center"/>
          </w:tcPr>
          <w:p>
            <w:pPr>
              <w:pStyle w:val="15"/>
            </w:pPr>
            <w:r>
              <w:t>1.40</w:t>
            </w:r>
          </w:p>
        </w:tc>
        <w:tc>
          <w:tcPr>
            <w:tcW w:w="2381" w:type="dxa"/>
            <w:vAlign w:val="center"/>
          </w:tcPr>
          <w:p>
            <w:pPr>
              <w:pStyle w:val="15"/>
            </w:pPr>
          </w:p>
        </w:tc>
        <w:tc>
          <w:tcPr>
            <w:tcW w:w="2381" w:type="dxa"/>
            <w:vAlign w:val="center"/>
          </w:tcPr>
          <w:p>
            <w:pPr>
              <w:pStyle w:val="15"/>
            </w:pPr>
          </w:p>
        </w:tc>
      </w:tr>
    </w:tbl>
    <w:p>
      <w:pPr>
        <w:jc w:val="center"/>
        <w:outlineLvl w:val="4"/>
        <w:rPr>
          <w:rFonts w:hint="eastAsia" w:ascii="方正小标宋_GBK" w:hAnsi="方正小标宋_GBK" w:eastAsia="方正小标宋_GBK" w:cs="方正小标宋_GBK"/>
          <w:color w:val="000000"/>
          <w:sz w:val="44"/>
        </w:rPr>
      </w:pPr>
    </w:p>
    <w:p>
      <w:pPr>
        <w:jc w:val="both"/>
        <w:outlineLvl w:val="4"/>
        <w:rPr>
          <w:rFonts w:hint="eastAsia"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魏县审计局本级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按照《预算法》、《地方预决算公开操作规程》和《关于进一步推进预算公开工作的实施意见》规定，现将魏县审计局本级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pStyle w:val="21"/>
      </w:pPr>
      <w:r>
        <w:rPr>
          <w:rFonts w:hint="eastAsia" w:ascii="方正楷体_GBK" w:hAnsi="方正楷体_GBK" w:eastAsia="方正楷体_GBK" w:cs="方正楷体_GBK"/>
          <w:b/>
          <w:color w:val="000000"/>
          <w:sz w:val="32"/>
        </w:rPr>
        <w:t>单位职责：</w:t>
      </w:r>
      <w:r>
        <w:rPr>
          <w:rFonts w:hint="eastAsia"/>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县相关重大政策措施贯彻落实情况进行跟踪审计。对审计、专项审计调查和核查社会审计机构相关审计报告的结果承担责任，并负有督促被审计单位整改的责任。</w:t>
      </w:r>
    </w:p>
    <w:p>
      <w:pPr>
        <w:pStyle w:val="21"/>
      </w:pPr>
      <w:r>
        <w:rPr>
          <w:rFonts w:hint="eastAsia"/>
        </w:rP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pPr>
        <w:pStyle w:val="21"/>
      </w:pPr>
      <w:r>
        <w:rPr>
          <w:rFonts w:hint="eastAsia"/>
        </w:rPr>
        <w:t>（三）向中共魏县县委审计委员会提出年度县本级预算执行和其他财政收支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21"/>
      </w:pPr>
      <w:r>
        <w:rPr>
          <w:rFonts w:hint="eastAsia"/>
        </w:rP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政府</w:t>
      </w:r>
      <w:r>
        <w:t>(</w:t>
      </w:r>
      <w:r>
        <w:rPr>
          <w:rFonts w:hint="eastAsia"/>
        </w:rPr>
        <w:t>含街道办）预算执行情况、决算草案和其他财政收支；使用县级财政资金的事业单位和社会团体的财务收支；政府投资和以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市审计部门授权的国际组织和外国政府援助、贷款项目；法律法规规定的其他事项。</w:t>
      </w:r>
    </w:p>
    <w:p>
      <w:pPr>
        <w:pStyle w:val="21"/>
      </w:pPr>
      <w:r>
        <w:rPr>
          <w:rFonts w:hint="eastAsia"/>
        </w:rPr>
        <w:t>（五）按规定对县管党政主要领导干部及其他单位主要负责人实施经济责任审计和自然资源资产离任审计。</w:t>
      </w:r>
    </w:p>
    <w:p>
      <w:pPr>
        <w:pStyle w:val="21"/>
      </w:pPr>
      <w:r>
        <w:rPr>
          <w:rFonts w:hint="eastAsia"/>
        </w:rPr>
        <w:t>（六）组织实施对财经法律法规、规章、政策和宏观调控措施执行情况、财政预算管理及国有资产管理使用等与财政收支有关的特定事项进行专项审计调查。</w:t>
      </w:r>
    </w:p>
    <w:p>
      <w:pPr>
        <w:pStyle w:val="21"/>
      </w:pPr>
      <w:r>
        <w:rPr>
          <w:rFonts w:hint="eastAsia"/>
        </w:rPr>
        <w:t>（七）依法检查审计决定执行情况，督促整改审计查出的问题，依法办理被审计单位对审计决定提请行政复议、行政诉讼或县政府裁决中的有关事项，协助配合有关部门查处相关重大案件。</w:t>
      </w:r>
    </w:p>
    <w:p>
      <w:pPr>
        <w:pStyle w:val="21"/>
      </w:pPr>
      <w:r>
        <w:rPr>
          <w:rFonts w:hint="eastAsia"/>
        </w:rPr>
        <w:t>（八）指导和监督内部审计工作，核查社会审计机构对依法属于审计监督对象的单位出具的相关审计报告。</w:t>
      </w:r>
    </w:p>
    <w:p>
      <w:pPr>
        <w:pStyle w:val="21"/>
      </w:pPr>
      <w:r>
        <w:rPr>
          <w:rFonts w:hint="eastAsia"/>
        </w:rPr>
        <w:t>（九）组织开展审计领域的交流与合作，指导和推广信息技术在审计领域的应用。</w:t>
      </w:r>
    </w:p>
    <w:p>
      <w:pPr>
        <w:pStyle w:val="21"/>
      </w:pPr>
      <w:r>
        <w:rPr>
          <w:rFonts w:hint="eastAsia"/>
        </w:rPr>
        <w:t>（十）会同县委机构编制委员会办公室，做好党政机关及直属事业单位机构设置、编制使用以及有关规定的执行情况审计。</w:t>
      </w:r>
    </w:p>
    <w:p>
      <w:pPr>
        <w:pStyle w:val="21"/>
      </w:pPr>
      <w:r>
        <w:rPr>
          <w:rFonts w:hint="eastAsia"/>
        </w:rPr>
        <w:t>（十一）完成县委、县政府和上级审计机关交办的其他任务。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魏县审计局本级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pPr>
        <w:pStyle w:val="22"/>
      </w:pPr>
      <w:r>
        <w:t>1、收入说明：2022 年收入预算共计</w:t>
      </w:r>
      <w:r>
        <w:rPr>
          <w:rFonts w:hint="eastAsia"/>
          <w:lang w:eastAsia="zh-CN"/>
        </w:rPr>
        <w:t>672.27</w:t>
      </w:r>
      <w:r>
        <w:t>万元，全部为财政拨款收入。</w:t>
      </w:r>
    </w:p>
    <w:p>
      <w:pPr>
        <w:pStyle w:val="22"/>
      </w:pPr>
      <w:r>
        <w:t>2、支出说明：2022年支出预算共计</w:t>
      </w:r>
      <w:r>
        <w:rPr>
          <w:rFonts w:hint="eastAsia"/>
          <w:lang w:eastAsia="zh-CN"/>
        </w:rPr>
        <w:t>672.27</w:t>
      </w:r>
      <w:r>
        <w:t>万元，其中人员经费支出预算</w:t>
      </w:r>
      <w:r>
        <w:rPr>
          <w:rFonts w:hint="eastAsia"/>
          <w:lang w:eastAsia="zh-CN"/>
        </w:rPr>
        <w:t>516.19</w:t>
      </w:r>
      <w:r>
        <w:t>万元，日常公用经费支出预算</w:t>
      </w:r>
      <w:r>
        <w:rPr>
          <w:rFonts w:hint="eastAsia"/>
          <w:lang w:eastAsia="zh-CN"/>
        </w:rPr>
        <w:t>21.08</w:t>
      </w:r>
      <w:r>
        <w:t>万元，专项公用</w:t>
      </w:r>
      <w:r>
        <w:rPr>
          <w:rFonts w:hint="eastAsia"/>
          <w:lang w:eastAsia="zh-CN"/>
        </w:rPr>
        <w:t>135</w:t>
      </w:r>
      <w:r>
        <w:t>万元。</w:t>
      </w:r>
    </w:p>
    <w:p>
      <w:pPr>
        <w:pStyle w:val="22"/>
      </w:pPr>
      <w:r>
        <w:t>3、比上年增减情况：经过对比测算，2022年财政拨款预算比2021年增加</w:t>
      </w:r>
      <w:r>
        <w:rPr>
          <w:rFonts w:hint="eastAsia"/>
          <w:lang w:eastAsia="zh-CN"/>
        </w:rPr>
        <w:t>199.96</w:t>
      </w:r>
      <w:r>
        <w:t>万元，增加</w:t>
      </w:r>
      <w:r>
        <w:rPr>
          <w:rFonts w:hint="eastAsia"/>
          <w:lang w:eastAsia="zh-CN"/>
        </w:rPr>
        <w:t>42.3</w:t>
      </w:r>
      <w:r>
        <w:t>%。主要是：人员经费</w:t>
      </w:r>
      <w:r>
        <w:rPr>
          <w:rFonts w:hint="eastAsia"/>
          <w:lang w:eastAsia="zh-CN"/>
        </w:rPr>
        <w:t>增加190.88</w:t>
      </w:r>
      <w:r>
        <w:t>万元，原因是人员工资调整</w:t>
      </w:r>
      <w:r>
        <w:rPr>
          <w:rFonts w:hint="eastAsia"/>
          <w:lang w:eastAsia="zh-CN"/>
        </w:rPr>
        <w:t>、津补贴提高及养老保险增加等；</w:t>
      </w:r>
      <w:r>
        <w:t>专项公用经费增加</w:t>
      </w:r>
      <w:r>
        <w:rPr>
          <w:rFonts w:hint="eastAsia"/>
          <w:lang w:eastAsia="zh-CN"/>
        </w:rPr>
        <w:t>9.08</w:t>
      </w:r>
      <w:r>
        <w:t>万元，原因是</w:t>
      </w:r>
      <w:r>
        <w:rPr>
          <w:rFonts w:hint="eastAsia"/>
          <w:lang w:eastAsia="zh-CN"/>
        </w:rPr>
        <w:t>人员调动增加补助经</w:t>
      </w:r>
      <w:r>
        <w:t>费</w:t>
      </w:r>
      <w:r>
        <w:rPr>
          <w:rFonts w:hint="eastAsia"/>
          <w:lang w:eastAsia="zh-CN"/>
        </w:rPr>
        <w:t>；专项项目支出没有增减变动</w:t>
      </w:r>
      <w:r>
        <w:t>。</w:t>
      </w:r>
    </w:p>
    <w:p>
      <w:pPr>
        <w:spacing w:before="10" w:after="10" w:line="360" w:lineRule="auto"/>
        <w:ind w:firstLine="640"/>
        <w:outlineLvl w:val="2"/>
      </w:pPr>
      <w:r>
        <w:rPr>
          <w:rFonts w:hint="eastAsia"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rPr>
        <w:t>机关运行经费共计安排</w:t>
      </w:r>
      <w:r>
        <w:rPr>
          <w:rFonts w:hint="eastAsia" w:eastAsia="方正仿宋_GBK"/>
          <w:color w:val="000000"/>
          <w:sz w:val="28"/>
          <w:lang w:eastAsia="zh-CN"/>
        </w:rPr>
        <w:t>21.08</w:t>
      </w:r>
      <w:r>
        <w:rPr>
          <w:rFonts w:hint="eastAsia" w:eastAsia="方正仿宋_GBK"/>
          <w:color w:val="000000"/>
          <w:sz w:val="28"/>
        </w:rPr>
        <w:t>万元，主要用于保证机关工作人员工资福利支出以及正常办公的基本需要和维持单位日常业务运转，包括：办公费、邮电费、差旅费、印刷费、手续费、招待费、培训费、审计业务费、报刊费等。</w:t>
      </w:r>
    </w:p>
    <w:p>
      <w:pPr>
        <w:spacing w:line="500" w:lineRule="exact"/>
        <w:ind w:firstLine="560"/>
        <w:rPr>
          <w:rFonts w:eastAsia="方正仿宋_GBK"/>
          <w:color w:val="000000"/>
          <w:sz w:val="28"/>
          <w:lang w:eastAsia="zh-CN"/>
        </w:rPr>
      </w:pP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eastAsia="方正仿宋_GBK"/>
          <w:color w:val="000000"/>
          <w:sz w:val="28"/>
        </w:rPr>
        <w:t>2022</w:t>
      </w:r>
      <w:r>
        <w:rPr>
          <w:rFonts w:hint="eastAsia" w:eastAsia="方正仿宋_GBK"/>
          <w:color w:val="000000"/>
          <w:sz w:val="28"/>
        </w:rPr>
        <w:t>年，财政拨款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经费预算安排</w:t>
      </w:r>
      <w:r>
        <w:rPr>
          <w:rFonts w:hint="eastAsia" w:eastAsia="方正仿宋_GBK"/>
          <w:color w:val="000000"/>
          <w:sz w:val="28"/>
          <w:lang w:val="en-US" w:eastAsia="zh-CN"/>
        </w:rPr>
        <w:t>4</w:t>
      </w:r>
      <w:r>
        <w:rPr>
          <w:rFonts w:hint="eastAsia" w:eastAsia="方正仿宋_GBK"/>
          <w:color w:val="000000"/>
          <w:sz w:val="28"/>
        </w:rPr>
        <w:t>万元，其中因公出国</w:t>
      </w:r>
      <w:r>
        <w:rPr>
          <w:rFonts w:eastAsia="方正仿宋_GBK"/>
          <w:color w:val="000000"/>
          <w:sz w:val="28"/>
        </w:rPr>
        <w:t>(</w:t>
      </w:r>
      <w:r>
        <w:rPr>
          <w:rFonts w:hint="eastAsia" w:eastAsia="方正仿宋_GBK"/>
          <w:color w:val="000000"/>
          <w:sz w:val="28"/>
        </w:rPr>
        <w:t>境</w:t>
      </w:r>
      <w:r>
        <w:rPr>
          <w:rFonts w:eastAsia="方正仿宋_GBK"/>
          <w:color w:val="000000"/>
          <w:sz w:val="28"/>
        </w:rPr>
        <w:t>)</w:t>
      </w:r>
      <w:r>
        <w:rPr>
          <w:rFonts w:hint="eastAsia" w:eastAsia="方正仿宋_GBK"/>
          <w:color w:val="000000"/>
          <w:sz w:val="28"/>
        </w:rPr>
        <w:t>费</w:t>
      </w:r>
      <w:r>
        <w:rPr>
          <w:rFonts w:eastAsia="方正仿宋_GBK"/>
          <w:color w:val="000000"/>
          <w:sz w:val="28"/>
        </w:rPr>
        <w:t>0</w:t>
      </w:r>
      <w:r>
        <w:rPr>
          <w:rFonts w:hint="eastAsia" w:eastAsia="方正仿宋_GBK"/>
          <w:color w:val="000000"/>
          <w:sz w:val="28"/>
        </w:rPr>
        <w:t>万元；公务用车购置及运维费</w:t>
      </w:r>
      <w:r>
        <w:rPr>
          <w:rFonts w:hint="eastAsia" w:eastAsia="方正仿宋_GBK"/>
          <w:color w:val="000000"/>
          <w:sz w:val="28"/>
          <w:lang w:val="en-US" w:eastAsia="zh-CN"/>
        </w:rPr>
        <w:t>2.6</w:t>
      </w:r>
      <w:bookmarkStart w:id="0" w:name="_GoBack"/>
      <w:bookmarkEnd w:id="0"/>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其中：公务用车购置费</w:t>
      </w:r>
      <w:r>
        <w:rPr>
          <w:rFonts w:eastAsia="方正仿宋_GBK"/>
          <w:color w:val="000000"/>
          <w:sz w:val="28"/>
        </w:rPr>
        <w:t>0</w:t>
      </w:r>
      <w:r>
        <w:rPr>
          <w:rFonts w:hint="eastAsia" w:eastAsia="方正仿宋_GBK"/>
          <w:color w:val="000000"/>
          <w:sz w:val="28"/>
        </w:rPr>
        <w:t>万元，公务用车运行费</w:t>
      </w:r>
      <w:r>
        <w:rPr>
          <w:rFonts w:hint="eastAsia" w:eastAsia="方正仿宋_GBK"/>
          <w:color w:val="000000"/>
          <w:sz w:val="28"/>
          <w:lang w:val="en-US" w:eastAsia="zh-CN"/>
        </w:rPr>
        <w:t>2.6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hint="eastAsia" w:eastAsia="方正仿宋_GBK"/>
          <w:color w:val="000000"/>
          <w:sz w:val="28"/>
          <w:lang w:val="en-US" w:eastAsia="zh-CN"/>
        </w:rPr>
        <w:t>1.4</w:t>
      </w:r>
      <w:r>
        <w:rPr>
          <w:rFonts w:hint="eastAsia" w:eastAsia="方正仿宋_GBK"/>
          <w:color w:val="000000"/>
          <w:sz w:val="28"/>
        </w:rPr>
        <w:t>万元。与</w:t>
      </w:r>
      <w:r>
        <w:rPr>
          <w:rFonts w:eastAsia="方正仿宋_GBK"/>
          <w:color w:val="000000"/>
          <w:sz w:val="28"/>
        </w:rPr>
        <w:t>2021</w:t>
      </w:r>
      <w:r>
        <w:rPr>
          <w:rFonts w:hint="eastAsia" w:eastAsia="方正仿宋_GBK"/>
          <w:color w:val="000000"/>
          <w:sz w:val="28"/>
        </w:rPr>
        <w:t>年相比，因公出国</w:t>
      </w:r>
      <w:r>
        <w:rPr>
          <w:rFonts w:eastAsia="方正仿宋_GBK"/>
          <w:color w:val="000000"/>
          <w:sz w:val="28"/>
        </w:rPr>
        <w:t>(</w:t>
      </w:r>
      <w:r>
        <w:rPr>
          <w:rFonts w:hint="eastAsia" w:eastAsia="方正仿宋_GBK"/>
          <w:color w:val="000000"/>
          <w:sz w:val="28"/>
        </w:rPr>
        <w:t>境</w:t>
      </w:r>
      <w:r>
        <w:rPr>
          <w:rFonts w:eastAsia="方正仿宋_GBK"/>
          <w:color w:val="000000"/>
          <w:sz w:val="28"/>
        </w:rPr>
        <w:t>)</w:t>
      </w:r>
      <w:r>
        <w:rPr>
          <w:rFonts w:hint="eastAsia" w:eastAsia="方正仿宋_GBK"/>
          <w:color w:val="000000"/>
          <w:sz w:val="28"/>
        </w:rPr>
        <w:t>费</w:t>
      </w:r>
      <w:r>
        <w:rPr>
          <w:rFonts w:eastAsia="方正仿宋_GBK"/>
          <w:color w:val="000000"/>
          <w:sz w:val="28"/>
        </w:rPr>
        <w:t>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lang w:eastAsia="zh-CN"/>
        </w:rPr>
        <w:t>比上年增长</w:t>
      </w:r>
      <w:r>
        <w:rPr>
          <w:rFonts w:hint="eastAsia" w:eastAsia="方正仿宋_GBK"/>
          <w:color w:val="000000"/>
          <w:sz w:val="28"/>
          <w:lang w:val="en-US" w:eastAsia="zh-CN"/>
        </w:rPr>
        <w:t>0万元，增长0%</w:t>
      </w:r>
      <w:r>
        <w:rPr>
          <w:rFonts w:hint="eastAsia" w:eastAsia="方正仿宋_GBK"/>
          <w:color w:val="000000"/>
          <w:sz w:val="28"/>
        </w:rPr>
        <w:t>；公务用车运行费</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比上年增长</w:t>
      </w:r>
      <w:r>
        <w:rPr>
          <w:rFonts w:hint="eastAsia" w:eastAsia="方正仿宋_GBK"/>
          <w:color w:val="000000"/>
          <w:sz w:val="28"/>
          <w:lang w:val="en-US" w:eastAsia="zh-CN"/>
        </w:rPr>
        <w:t>0万元，增长0%</w:t>
      </w:r>
      <w:r>
        <w:rPr>
          <w:rFonts w:hint="eastAsia" w:eastAsia="方正仿宋_GBK"/>
          <w:color w:val="000000"/>
          <w:sz w:val="28"/>
        </w:rPr>
        <w:t>；公务接待费</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比上年增长</w:t>
      </w:r>
      <w:r>
        <w:rPr>
          <w:rFonts w:hint="eastAsia" w:eastAsia="方正仿宋_GBK"/>
          <w:color w:val="000000"/>
          <w:sz w:val="28"/>
          <w:lang w:val="en-US" w:eastAsia="zh-CN"/>
        </w:rPr>
        <w:t>0万元，增长0%</w:t>
      </w:r>
      <w:r>
        <w:rPr>
          <w:rFonts w:hint="eastAsia" w:eastAsia="方正仿宋_GBK"/>
          <w:color w:val="000000"/>
          <w:sz w:val="28"/>
          <w:lang w:eastAsia="zh-CN"/>
        </w:rPr>
        <w:t>。</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年审计工作专项经费绩效目标表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：按照年度审计计划，完成财务收支、政府投资、经济责任等审计项目</w:t>
            </w:r>
            <w:r>
              <w:t>52</w:t>
            </w:r>
            <w:r>
              <w:rPr>
                <w:rFonts w:hint="eastAsia"/>
              </w:rPr>
              <w:t>个，费用支出率达到</w:t>
            </w:r>
            <w:r>
              <w:t>100%</w:t>
            </w:r>
            <w:r>
              <w:rPr>
                <w:rFonts w:hint="eastAsia"/>
              </w:rPr>
              <w:t>，保障全年审计目标顺利完成。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实施项目数量（</w:t>
            </w:r>
            <w:r>
              <w:t>52</w:t>
            </w:r>
            <w:r>
              <w:rPr>
                <w:rFonts w:hint="eastAsia"/>
              </w:rPr>
              <w:t>个）</w:t>
            </w:r>
          </w:p>
        </w:tc>
        <w:tc>
          <w:tcPr>
            <w:tcW w:w="2835" w:type="dxa"/>
            <w:vAlign w:val="center"/>
          </w:tcPr>
          <w:p>
            <w:pPr>
              <w:pStyle w:val="16"/>
            </w:pPr>
            <w:r>
              <w:rPr>
                <w:rFonts w:hint="eastAsia"/>
              </w:rPr>
              <w:t>审计项目完成数量</w:t>
            </w:r>
          </w:p>
        </w:tc>
        <w:tc>
          <w:tcPr>
            <w:tcW w:w="2551" w:type="dxa"/>
            <w:vAlign w:val="center"/>
          </w:tcPr>
          <w:p>
            <w:pPr>
              <w:pStyle w:val="16"/>
            </w:pPr>
            <w:r>
              <w:t>52</w:t>
            </w:r>
            <w:r>
              <w:rPr>
                <w:rFonts w:hint="eastAsia"/>
              </w:rPr>
              <w:t>个</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开展项目支出（</w:t>
            </w:r>
            <w:r>
              <w:t>130</w:t>
            </w:r>
            <w:r>
              <w:rPr>
                <w:rFonts w:hint="eastAsia"/>
              </w:rPr>
              <w:t>万元）</w:t>
            </w:r>
          </w:p>
        </w:tc>
        <w:tc>
          <w:tcPr>
            <w:tcW w:w="2835" w:type="dxa"/>
            <w:vAlign w:val="center"/>
          </w:tcPr>
          <w:p>
            <w:pPr>
              <w:pStyle w:val="16"/>
            </w:pPr>
            <w:r>
              <w:rPr>
                <w:rFonts w:hint="eastAsia"/>
              </w:rPr>
              <w:t>审计项目开展产生的相关费用</w:t>
            </w:r>
          </w:p>
        </w:tc>
        <w:tc>
          <w:tcPr>
            <w:tcW w:w="2551" w:type="dxa"/>
            <w:vAlign w:val="center"/>
          </w:tcPr>
          <w:p>
            <w:pPr>
              <w:pStyle w:val="16"/>
            </w:pPr>
            <w:r>
              <w:t>130</w:t>
            </w:r>
            <w:r>
              <w:rPr>
                <w:rFonts w:hint="eastAsia"/>
              </w:rPr>
              <w:t>万元</w:t>
            </w:r>
          </w:p>
        </w:tc>
        <w:tc>
          <w:tcPr>
            <w:tcW w:w="2268" w:type="dxa"/>
            <w:vAlign w:val="center"/>
          </w:tcPr>
          <w:p>
            <w:pPr>
              <w:pStyle w:val="16"/>
            </w:pPr>
            <w:r>
              <w:rPr>
                <w:rFonts w:hint="eastAsia"/>
              </w:rPr>
              <w:t>项目费用报批手续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审计、绩效评价通过率</w:t>
            </w:r>
          </w:p>
        </w:tc>
        <w:tc>
          <w:tcPr>
            <w:tcW w:w="2835" w:type="dxa"/>
            <w:vAlign w:val="center"/>
          </w:tcPr>
          <w:p>
            <w:pPr>
              <w:pStyle w:val="16"/>
            </w:pPr>
            <w:r>
              <w:rPr>
                <w:rFonts w:hint="eastAsia"/>
              </w:rPr>
              <w:t>审计、绩效评价通过率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审计项目完成时间</w:t>
            </w:r>
          </w:p>
        </w:tc>
        <w:tc>
          <w:tcPr>
            <w:tcW w:w="2835" w:type="dxa"/>
            <w:vAlign w:val="center"/>
          </w:tcPr>
          <w:p>
            <w:pPr>
              <w:pStyle w:val="16"/>
            </w:pPr>
            <w:r>
              <w:rPr>
                <w:rFonts w:hint="eastAsia"/>
              </w:rPr>
              <w:t>按照审计计划规定的时间节点完成</w:t>
            </w:r>
          </w:p>
        </w:tc>
        <w:tc>
          <w:tcPr>
            <w:tcW w:w="2551" w:type="dxa"/>
            <w:vAlign w:val="center"/>
          </w:tcPr>
          <w:p>
            <w:pPr>
              <w:pStyle w:val="16"/>
            </w:pPr>
            <w:r>
              <w:t>100%</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挽回经济损失</w:t>
            </w:r>
          </w:p>
        </w:tc>
        <w:tc>
          <w:tcPr>
            <w:tcW w:w="2835" w:type="dxa"/>
            <w:vAlign w:val="center"/>
          </w:tcPr>
          <w:p>
            <w:pPr>
              <w:pStyle w:val="16"/>
            </w:pPr>
            <w:r>
              <w:rPr>
                <w:rFonts w:hint="eastAsia"/>
              </w:rPr>
              <w:t>通过项目查处所挽回的经济损失</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被审计单位根据审计建议制定的整</w:t>
            </w:r>
          </w:p>
        </w:tc>
        <w:tc>
          <w:tcPr>
            <w:tcW w:w="2835" w:type="dxa"/>
            <w:vAlign w:val="center"/>
          </w:tcPr>
          <w:p>
            <w:pPr>
              <w:pStyle w:val="16"/>
            </w:pPr>
            <w:r>
              <w:rPr>
                <w:rFonts w:hint="eastAsia"/>
              </w:rPr>
              <w:t>被审计单位根据审计建议制定的整改措施</w:t>
            </w:r>
          </w:p>
        </w:tc>
        <w:tc>
          <w:tcPr>
            <w:tcW w:w="2551" w:type="dxa"/>
            <w:vAlign w:val="center"/>
          </w:tcPr>
          <w:p>
            <w:pPr>
              <w:pStyle w:val="16"/>
            </w:pPr>
            <w:r>
              <w:t>50</w:t>
            </w:r>
            <w:r>
              <w:rPr>
                <w:rFonts w:hint="eastAsia"/>
              </w:rPr>
              <w:t>条</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被审计单位满意程度</w:t>
            </w:r>
          </w:p>
        </w:tc>
        <w:tc>
          <w:tcPr>
            <w:tcW w:w="2835" w:type="dxa"/>
            <w:vAlign w:val="center"/>
          </w:tcPr>
          <w:p>
            <w:pPr>
              <w:pStyle w:val="16"/>
            </w:pPr>
            <w:r>
              <w:rPr>
                <w:rFonts w:hint="eastAsia"/>
              </w:rPr>
              <w:t>被审计单位满意程度</w:t>
            </w:r>
          </w:p>
        </w:tc>
        <w:tc>
          <w:tcPr>
            <w:tcW w:w="2551" w:type="dxa"/>
            <w:vAlign w:val="center"/>
          </w:tcPr>
          <w:p>
            <w:pPr>
              <w:pStyle w:val="16"/>
            </w:pPr>
            <w:r>
              <w:t>100%</w:t>
            </w:r>
          </w:p>
        </w:tc>
        <w:tc>
          <w:tcPr>
            <w:tcW w:w="2268" w:type="dxa"/>
            <w:vAlign w:val="center"/>
          </w:tcPr>
          <w:p>
            <w:pPr>
              <w:pStyle w:val="16"/>
            </w:pPr>
            <w:r>
              <w:rPr>
                <w:rFonts w:hint="eastAsia"/>
              </w:rPr>
              <w:t>审计工作计划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[2021]98</w:t>
      </w:r>
      <w:r>
        <w:rPr>
          <w:rFonts w:hint="eastAsia" w:ascii="方正仿宋_GBK" w:hAnsi="方正仿宋_GBK" w:eastAsia="方正仿宋_GBK" w:cs="方正仿宋_GBK"/>
          <w:b/>
          <w:color w:val="000000"/>
          <w:sz w:val="28"/>
        </w:rPr>
        <w:t>号关于提前下达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年中央审计专项补助经费绩效目标表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按照年度审计计划，完成财务收支审计项目</w:t>
            </w:r>
            <w:r>
              <w:t>2</w:t>
            </w:r>
            <w:r>
              <w:rPr>
                <w:rFonts w:hint="eastAsia"/>
              </w:rPr>
              <w:t>个，费用支出小于等于</w:t>
            </w:r>
            <w:r>
              <w:t>5</w:t>
            </w:r>
            <w:r>
              <w:rPr>
                <w:rFonts w:hint="eastAsia"/>
              </w:rPr>
              <w:t>万元，支出率达到</w:t>
            </w:r>
            <w:r>
              <w:t>98%</w:t>
            </w:r>
            <w:r>
              <w:rPr>
                <w:rFonts w:hint="eastAsia"/>
              </w:rPr>
              <w:t>，审计项目能够顺利完成。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项目审计数量</w:t>
            </w:r>
          </w:p>
        </w:tc>
        <w:tc>
          <w:tcPr>
            <w:tcW w:w="2835" w:type="dxa"/>
            <w:vAlign w:val="center"/>
          </w:tcPr>
          <w:p>
            <w:pPr>
              <w:pStyle w:val="16"/>
            </w:pPr>
            <w:r>
              <w:rPr>
                <w:rFonts w:hint="eastAsia"/>
              </w:rPr>
              <w:t>完成两个财政财务收支审计项目</w:t>
            </w:r>
          </w:p>
        </w:tc>
        <w:tc>
          <w:tcPr>
            <w:tcW w:w="2551" w:type="dxa"/>
            <w:vAlign w:val="center"/>
          </w:tcPr>
          <w:p>
            <w:pPr>
              <w:pStyle w:val="16"/>
            </w:pPr>
            <w:r>
              <w:t>2</w:t>
            </w:r>
            <w:r>
              <w:rPr>
                <w:rFonts w:hint="eastAsia"/>
              </w:rPr>
              <w:t>个</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项目审计费用成本</w:t>
            </w:r>
          </w:p>
        </w:tc>
        <w:tc>
          <w:tcPr>
            <w:tcW w:w="2835" w:type="dxa"/>
            <w:vAlign w:val="center"/>
          </w:tcPr>
          <w:p>
            <w:pPr>
              <w:pStyle w:val="16"/>
            </w:pPr>
            <w:r>
              <w:rPr>
                <w:rFonts w:hint="eastAsia"/>
              </w:rPr>
              <w:t>审计项目开展产生的相关费用</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项目费用报批手续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审计、绩效评价通过率</w:t>
            </w:r>
          </w:p>
        </w:tc>
        <w:tc>
          <w:tcPr>
            <w:tcW w:w="2835" w:type="dxa"/>
            <w:vAlign w:val="center"/>
          </w:tcPr>
          <w:p>
            <w:pPr>
              <w:pStyle w:val="16"/>
            </w:pPr>
            <w:r>
              <w:rPr>
                <w:rFonts w:hint="eastAsia"/>
              </w:rPr>
              <w:t>审计、绩效评价通过率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审计项目完成时间</w:t>
            </w:r>
          </w:p>
        </w:tc>
        <w:tc>
          <w:tcPr>
            <w:tcW w:w="2835" w:type="dxa"/>
            <w:vAlign w:val="center"/>
          </w:tcPr>
          <w:p>
            <w:pPr>
              <w:pStyle w:val="16"/>
            </w:pPr>
            <w:r>
              <w:rPr>
                <w:rFonts w:hint="eastAsia"/>
              </w:rPr>
              <w:t>按照审计计划规定的时间节点完成</w:t>
            </w:r>
          </w:p>
        </w:tc>
        <w:tc>
          <w:tcPr>
            <w:tcW w:w="2551" w:type="dxa"/>
            <w:vAlign w:val="center"/>
          </w:tcPr>
          <w:p>
            <w:pPr>
              <w:pStyle w:val="16"/>
            </w:pPr>
            <w:r>
              <w:rPr>
                <w:rFonts w:hint="eastAsia"/>
              </w:rPr>
              <w:t>≥</w:t>
            </w:r>
            <w:r>
              <w:t>15</w:t>
            </w:r>
            <w:r>
              <w:rPr>
                <w:rFonts w:hint="eastAsia"/>
              </w:rPr>
              <w:t>天</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挽回经济损失</w:t>
            </w:r>
          </w:p>
        </w:tc>
        <w:tc>
          <w:tcPr>
            <w:tcW w:w="2835" w:type="dxa"/>
            <w:vAlign w:val="center"/>
          </w:tcPr>
          <w:p>
            <w:pPr>
              <w:pStyle w:val="16"/>
            </w:pPr>
            <w:r>
              <w:rPr>
                <w:rFonts w:hint="eastAsia"/>
              </w:rPr>
              <w:t>通过项目查处所挽回的经济损失</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被审计单位根据审计建议制定的整</w:t>
            </w:r>
          </w:p>
        </w:tc>
        <w:tc>
          <w:tcPr>
            <w:tcW w:w="2835" w:type="dxa"/>
            <w:vAlign w:val="center"/>
          </w:tcPr>
          <w:p>
            <w:pPr>
              <w:pStyle w:val="16"/>
            </w:pPr>
            <w:r>
              <w:rPr>
                <w:rFonts w:hint="eastAsia"/>
              </w:rPr>
              <w:t>被审计单位根据审计建议制定的整改措施</w:t>
            </w:r>
          </w:p>
        </w:tc>
        <w:tc>
          <w:tcPr>
            <w:tcW w:w="2551" w:type="dxa"/>
            <w:vAlign w:val="center"/>
          </w:tcPr>
          <w:p>
            <w:pPr>
              <w:pStyle w:val="16"/>
            </w:pPr>
            <w:r>
              <w:t>5</w:t>
            </w:r>
            <w:r>
              <w:rPr>
                <w:rFonts w:hint="eastAsia"/>
              </w:rPr>
              <w:t>条</w:t>
            </w:r>
          </w:p>
        </w:tc>
        <w:tc>
          <w:tcPr>
            <w:tcW w:w="2268" w:type="dxa"/>
            <w:vAlign w:val="center"/>
          </w:tcPr>
          <w:p>
            <w:pPr>
              <w:pStyle w:val="16"/>
            </w:pPr>
            <w:r>
              <w:rPr>
                <w:rFonts w:hint="eastAsia"/>
              </w:rPr>
              <w:t>年度审计计划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被审计单位满意程度</w:t>
            </w:r>
          </w:p>
        </w:tc>
        <w:tc>
          <w:tcPr>
            <w:tcW w:w="2835" w:type="dxa"/>
            <w:vAlign w:val="center"/>
          </w:tcPr>
          <w:p>
            <w:pPr>
              <w:pStyle w:val="16"/>
            </w:pPr>
            <w:r>
              <w:rPr>
                <w:rFonts w:hint="eastAsia"/>
              </w:rPr>
              <w:t>被审计单位满意程度</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审计工作计划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年，魏县审计局本级安排政府采购预算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魏县审计局本级上年末固定资产金额为46.8万元（详见下表）。本年度拟购置固定资产总额为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319001</w:t>
            </w:r>
            <w:r>
              <w:rPr>
                <w:rFonts w:hint="eastAsia"/>
              </w:rPr>
              <w:t>魏县审计局本级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通用设备及家具</w:t>
            </w:r>
          </w:p>
        </w:tc>
        <w:tc>
          <w:tcPr>
            <w:tcW w:w="2835" w:type="dxa"/>
            <w:vAlign w:val="center"/>
          </w:tcPr>
          <w:p>
            <w:pPr>
              <w:pStyle w:val="17"/>
            </w:pPr>
            <w:r>
              <w:rPr>
                <w:lang w:eastAsia="zh-CN"/>
              </w:rPr>
              <w:t>264</w:t>
            </w:r>
          </w:p>
        </w:tc>
        <w:tc>
          <w:tcPr>
            <w:tcW w:w="2835" w:type="dxa"/>
            <w:vAlign w:val="center"/>
          </w:tcPr>
          <w:p>
            <w:pPr>
              <w:pStyle w:val="15"/>
            </w:pPr>
            <w:r>
              <w:rPr>
                <w:lang w:eastAsia="zh-CN"/>
              </w:rPr>
              <w:t>46.8</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jc w:val="right"/>
                </w:pPr>
                <w:r>
                  <w:fldChar w:fldCharType="begin"/>
                </w:r>
                <w:r>
                  <w:instrText xml:space="preserve">PAGE "page number"</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3,4"/>
    </o:shapelayout>
  </w:hdrShapeDefaults>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wNTczNzAwNDJmYmM5NzU2ZWM1MGYzZGZiMTAwZWMifQ=="/>
  </w:docVars>
  <w:rsids>
    <w:rsidRoot w:val="00455ADB"/>
    <w:rsid w:val="001E229F"/>
    <w:rsid w:val="002D13C9"/>
    <w:rsid w:val="004461EF"/>
    <w:rsid w:val="0045313D"/>
    <w:rsid w:val="00455ADB"/>
    <w:rsid w:val="004D569D"/>
    <w:rsid w:val="00583790"/>
    <w:rsid w:val="00605101"/>
    <w:rsid w:val="00766ED2"/>
    <w:rsid w:val="00780814"/>
    <w:rsid w:val="00812E74"/>
    <w:rsid w:val="008D4E16"/>
    <w:rsid w:val="009812F8"/>
    <w:rsid w:val="009F2B87"/>
    <w:rsid w:val="00B119E5"/>
    <w:rsid w:val="00B218E9"/>
    <w:rsid w:val="00BD4DF8"/>
    <w:rsid w:val="00CA0ED9"/>
    <w:rsid w:val="00E06686"/>
    <w:rsid w:val="00EE4750"/>
    <w:rsid w:val="00FB104F"/>
    <w:rsid w:val="00FB2131"/>
    <w:rsid w:val="04915C2F"/>
    <w:rsid w:val="081859DF"/>
    <w:rsid w:val="09B70342"/>
    <w:rsid w:val="0A2F6454"/>
    <w:rsid w:val="0F20161D"/>
    <w:rsid w:val="17F46AE1"/>
    <w:rsid w:val="214E154F"/>
    <w:rsid w:val="23462DB6"/>
    <w:rsid w:val="23B95FDB"/>
    <w:rsid w:val="27286E69"/>
    <w:rsid w:val="29037B8D"/>
    <w:rsid w:val="32CB34CA"/>
    <w:rsid w:val="3DC15BF5"/>
    <w:rsid w:val="3FB77094"/>
    <w:rsid w:val="43D33A5E"/>
    <w:rsid w:val="50E13A61"/>
    <w:rsid w:val="5CA249EC"/>
    <w:rsid w:val="5E047EC2"/>
    <w:rsid w:val="5F667F53"/>
    <w:rsid w:val="670C5884"/>
    <w:rsid w:val="675E59B4"/>
    <w:rsid w:val="715A411F"/>
    <w:rsid w:val="7EEC1F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qFormat/>
    <w:locked/>
    <w:uiPriority w:val="99"/>
    <w:rPr>
      <w:rFonts w:cs="Times New Roman"/>
      <w:kern w:val="0"/>
      <w:sz w:val="18"/>
      <w:szCs w:val="18"/>
      <w:lang w:eastAsia="uk-UA"/>
    </w:rPr>
  </w:style>
  <w:style w:type="character" w:customStyle="1" w:styleId="34">
    <w:name w:val="页脚 Char"/>
    <w:basedOn w:val="10"/>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4720</Words>
  <Characters>2749</Characters>
  <Lines>22</Lines>
  <Paragraphs>14</Paragraphs>
  <TotalTime>12</TotalTime>
  <ScaleCrop>false</ScaleCrop>
  <LinksUpToDate>false</LinksUpToDate>
  <CharactersWithSpaces>7455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2022-03-04T01:11:00Z</dcterms:created>
  <dc:creator>Administrator</dc:creator>
  <cp:lastModifiedBy>Administrator</cp:lastModifiedBy>
  <dcterms:modified xsi:type="dcterms:W3CDTF">2023-08-17T02:50:32Z</dcterms:modified>
  <dc:title>2022年部门预算信息公开目录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318179B7DD164B53B3FE8200C6FFFBCD</vt:lpwstr>
  </property>
</Properties>
</file>