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pStyle w:val="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一、中共魏县县委网络安全和信息化委员会办公室本级收支预算</w:t>
      </w:r>
      <w:r>
        <w:tab/>
      </w:r>
      <w:r>
        <w:rPr>
          <w:rFonts w:hint="eastAsia"/>
        </w:rPr>
        <w:t>1</w:t>
      </w:r>
      <w:r>
        <w:rPr>
          <w:rFonts w:hint="eastAsia"/>
        </w:rP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9" w:type="default"/>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一、中共魏县县委网络安全和信息化委员会办公室本级收支预算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292.34</w:t>
            </w:r>
          </w:p>
        </w:tc>
        <w:tc>
          <w:tcPr>
            <w:tcW w:w="4535" w:type="dxa"/>
            <w:vAlign w:val="center"/>
          </w:tcPr>
          <w:p>
            <w:pPr>
              <w:pStyle w:val="12"/>
            </w:pPr>
            <w:r>
              <w:t>一、一般公共服务支出</w:t>
            </w:r>
          </w:p>
        </w:tc>
        <w:tc>
          <w:tcPr>
            <w:tcW w:w="2126" w:type="dxa"/>
            <w:vAlign w:val="center"/>
          </w:tcPr>
          <w:p>
            <w:pPr>
              <w:pStyle w:val="13"/>
            </w:pPr>
            <w:r>
              <w:t>288.06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4"/>
            </w:pPr>
            <w:r>
              <w:t>本年收入合计</w:t>
            </w:r>
          </w:p>
        </w:tc>
        <w:tc>
          <w:tcPr>
            <w:tcW w:w="2126" w:type="dxa"/>
            <w:vAlign w:val="center"/>
          </w:tcPr>
          <w:p>
            <w:pPr>
              <w:pStyle w:val="15"/>
            </w:pPr>
            <w:r>
              <w:t>292.34</w:t>
            </w:r>
          </w:p>
        </w:tc>
        <w:tc>
          <w:tcPr>
            <w:tcW w:w="4535" w:type="dxa"/>
            <w:vAlign w:val="center"/>
          </w:tcPr>
          <w:p>
            <w:pPr>
              <w:pStyle w:val="14"/>
            </w:pPr>
            <w:r>
              <w:t>本年支出合计</w:t>
            </w:r>
          </w:p>
        </w:tc>
        <w:tc>
          <w:tcPr>
            <w:tcW w:w="2126" w:type="dxa"/>
            <w:vAlign w:val="center"/>
          </w:tcPr>
          <w:p>
            <w:pPr>
              <w:pStyle w:val="15"/>
            </w:pPr>
            <w:r>
              <w:t>292.34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4"/>
            </w:pPr>
            <w:r>
              <w:t>收入总计</w:t>
            </w:r>
          </w:p>
        </w:tc>
        <w:tc>
          <w:tcPr>
            <w:tcW w:w="2126" w:type="dxa"/>
            <w:vAlign w:val="center"/>
          </w:tcPr>
          <w:p>
            <w:pPr>
              <w:pStyle w:val="15"/>
            </w:pPr>
            <w:r>
              <w:t>292.34</w:t>
            </w:r>
          </w:p>
        </w:tc>
        <w:tc>
          <w:tcPr>
            <w:tcW w:w="4535" w:type="dxa"/>
            <w:vAlign w:val="center"/>
          </w:tcPr>
          <w:p>
            <w:pPr>
              <w:pStyle w:val="14"/>
            </w:pPr>
            <w:r>
              <w:t>支出总计</w:t>
            </w:r>
          </w:p>
        </w:tc>
        <w:tc>
          <w:tcPr>
            <w:tcW w:w="2126" w:type="dxa"/>
            <w:vAlign w:val="center"/>
          </w:tcPr>
          <w:p>
            <w:pPr>
              <w:pStyle w:val="15"/>
            </w:pPr>
            <w:r>
              <w:t>292.34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r>
              <w:t>292.34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288.06</w:t>
            </w:r>
          </w:p>
        </w:tc>
        <w:tc>
          <w:tcPr>
            <w:tcW w:w="1134" w:type="dxa"/>
            <w:vAlign w:val="center"/>
          </w:tcPr>
          <w:p>
            <w:pPr>
              <w:pStyle w:val="13"/>
            </w:pPr>
            <w:r>
              <w:t>288.06</w:t>
            </w:r>
          </w:p>
        </w:tc>
        <w:tc>
          <w:tcPr>
            <w:tcW w:w="1134" w:type="dxa"/>
            <w:vAlign w:val="center"/>
          </w:tcPr>
          <w:p>
            <w:pPr>
              <w:pStyle w:val="13"/>
            </w:pPr>
            <w:r>
              <w:t>288.06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3"/>
            </w:pPr>
            <w:r>
              <w:t>288.06</w:t>
            </w:r>
          </w:p>
        </w:tc>
        <w:tc>
          <w:tcPr>
            <w:tcW w:w="1134" w:type="dxa"/>
            <w:vAlign w:val="center"/>
          </w:tcPr>
          <w:p>
            <w:pPr>
              <w:pStyle w:val="13"/>
            </w:pPr>
            <w:r>
              <w:t>288.06</w:t>
            </w:r>
          </w:p>
        </w:tc>
        <w:tc>
          <w:tcPr>
            <w:tcW w:w="1134" w:type="dxa"/>
            <w:vAlign w:val="center"/>
          </w:tcPr>
          <w:p>
            <w:pPr>
              <w:pStyle w:val="13"/>
            </w:pPr>
            <w:r>
              <w:t>288.06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3"/>
            </w:pPr>
            <w:r>
              <w:t>81.46</w:t>
            </w:r>
          </w:p>
        </w:tc>
        <w:tc>
          <w:tcPr>
            <w:tcW w:w="1134" w:type="dxa"/>
            <w:vAlign w:val="center"/>
          </w:tcPr>
          <w:p>
            <w:pPr>
              <w:pStyle w:val="13"/>
            </w:pPr>
            <w:r>
              <w:t>81.46</w:t>
            </w:r>
          </w:p>
        </w:tc>
        <w:tc>
          <w:tcPr>
            <w:tcW w:w="1134" w:type="dxa"/>
            <w:vAlign w:val="center"/>
          </w:tcPr>
          <w:p>
            <w:pPr>
              <w:pStyle w:val="13"/>
            </w:pPr>
            <w:r>
              <w:t>81.46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2013704</w:t>
            </w:r>
          </w:p>
        </w:tc>
        <w:tc>
          <w:tcPr>
            <w:tcW w:w="1559" w:type="dxa"/>
            <w:vAlign w:val="center"/>
          </w:tcPr>
          <w:p>
            <w:pPr>
              <w:pStyle w:val="12"/>
            </w:pPr>
            <w:r>
              <w:t>信息安全事务</w:t>
            </w:r>
          </w:p>
        </w:tc>
        <w:tc>
          <w:tcPr>
            <w:tcW w:w="1134" w:type="dxa"/>
            <w:vAlign w:val="center"/>
          </w:tcPr>
          <w:p>
            <w:pPr>
              <w:pStyle w:val="13"/>
            </w:pPr>
            <w:r>
              <w:t>111.60</w:t>
            </w:r>
          </w:p>
        </w:tc>
        <w:tc>
          <w:tcPr>
            <w:tcW w:w="1134" w:type="dxa"/>
            <w:vAlign w:val="center"/>
          </w:tcPr>
          <w:p>
            <w:pPr>
              <w:pStyle w:val="13"/>
            </w:pPr>
            <w:r>
              <w:t>111.60</w:t>
            </w:r>
          </w:p>
        </w:tc>
        <w:tc>
          <w:tcPr>
            <w:tcW w:w="1134" w:type="dxa"/>
            <w:vAlign w:val="center"/>
          </w:tcPr>
          <w:p>
            <w:pPr>
              <w:pStyle w:val="13"/>
            </w:pPr>
            <w:r>
              <w:t>111.60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2013799</w:t>
            </w:r>
          </w:p>
        </w:tc>
        <w:tc>
          <w:tcPr>
            <w:tcW w:w="1559" w:type="dxa"/>
            <w:vAlign w:val="center"/>
          </w:tcPr>
          <w:p>
            <w:pPr>
              <w:pStyle w:val="12"/>
            </w:pPr>
            <w:r>
              <w:t>其他网信事务支出</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r>
              <w:t>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4.28</w:t>
            </w:r>
          </w:p>
        </w:tc>
        <w:tc>
          <w:tcPr>
            <w:tcW w:w="1134" w:type="dxa"/>
            <w:vAlign w:val="center"/>
          </w:tcPr>
          <w:p>
            <w:pPr>
              <w:pStyle w:val="13"/>
            </w:pPr>
            <w:r>
              <w:t>4.28</w:t>
            </w:r>
          </w:p>
        </w:tc>
        <w:tc>
          <w:tcPr>
            <w:tcW w:w="1134" w:type="dxa"/>
            <w:vAlign w:val="center"/>
          </w:tcPr>
          <w:p>
            <w:pPr>
              <w:pStyle w:val="13"/>
            </w:pPr>
            <w:r>
              <w:t>4.28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4.28</w:t>
            </w:r>
          </w:p>
        </w:tc>
        <w:tc>
          <w:tcPr>
            <w:tcW w:w="1134" w:type="dxa"/>
            <w:vAlign w:val="center"/>
          </w:tcPr>
          <w:p>
            <w:pPr>
              <w:pStyle w:val="13"/>
            </w:pPr>
            <w:r>
              <w:t>4.28</w:t>
            </w:r>
          </w:p>
        </w:tc>
        <w:tc>
          <w:tcPr>
            <w:tcW w:w="1134" w:type="dxa"/>
            <w:vAlign w:val="center"/>
          </w:tcPr>
          <w:p>
            <w:pPr>
              <w:pStyle w:val="13"/>
            </w:pPr>
            <w:r>
              <w:t>4.28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3"/>
            </w:pPr>
            <w:r>
              <w:t>4.28</w:t>
            </w:r>
          </w:p>
        </w:tc>
        <w:tc>
          <w:tcPr>
            <w:tcW w:w="1134" w:type="dxa"/>
            <w:vAlign w:val="center"/>
          </w:tcPr>
          <w:p>
            <w:pPr>
              <w:pStyle w:val="13"/>
            </w:pPr>
            <w:r>
              <w:t>4.28</w:t>
            </w:r>
          </w:p>
        </w:tc>
        <w:tc>
          <w:tcPr>
            <w:tcW w:w="1134" w:type="dxa"/>
            <w:vAlign w:val="center"/>
          </w:tcPr>
          <w:p>
            <w:pPr>
              <w:pStyle w:val="13"/>
            </w:pPr>
            <w:r>
              <w:t>4.28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292.34</w:t>
            </w:r>
          </w:p>
        </w:tc>
        <w:tc>
          <w:tcPr>
            <w:tcW w:w="1361" w:type="dxa"/>
            <w:vAlign w:val="center"/>
          </w:tcPr>
          <w:p>
            <w:pPr>
              <w:pStyle w:val="15"/>
            </w:pPr>
            <w:r>
              <w:t>85.74</w:t>
            </w:r>
          </w:p>
        </w:tc>
        <w:tc>
          <w:tcPr>
            <w:tcW w:w="1361" w:type="dxa"/>
            <w:vAlign w:val="center"/>
          </w:tcPr>
          <w:p>
            <w:pPr>
              <w:pStyle w:val="15"/>
            </w:pPr>
            <w:r>
              <w:t>206.60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288.06</w:t>
            </w:r>
          </w:p>
        </w:tc>
        <w:tc>
          <w:tcPr>
            <w:tcW w:w="1361" w:type="dxa"/>
            <w:vAlign w:val="center"/>
          </w:tcPr>
          <w:p>
            <w:pPr>
              <w:pStyle w:val="13"/>
            </w:pPr>
            <w:r>
              <w:t>81.46</w:t>
            </w:r>
          </w:p>
        </w:tc>
        <w:tc>
          <w:tcPr>
            <w:tcW w:w="1361" w:type="dxa"/>
            <w:vAlign w:val="center"/>
          </w:tcPr>
          <w:p>
            <w:pPr>
              <w:pStyle w:val="13"/>
            </w:pPr>
            <w:r>
              <w:t>206.60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3"/>
            </w:pPr>
            <w:r>
              <w:t>288.06</w:t>
            </w:r>
          </w:p>
        </w:tc>
        <w:tc>
          <w:tcPr>
            <w:tcW w:w="1361" w:type="dxa"/>
            <w:vAlign w:val="center"/>
          </w:tcPr>
          <w:p>
            <w:pPr>
              <w:pStyle w:val="13"/>
            </w:pPr>
            <w:r>
              <w:t>81.46</w:t>
            </w:r>
          </w:p>
        </w:tc>
        <w:tc>
          <w:tcPr>
            <w:tcW w:w="1361" w:type="dxa"/>
            <w:vAlign w:val="center"/>
          </w:tcPr>
          <w:p>
            <w:pPr>
              <w:pStyle w:val="13"/>
            </w:pPr>
            <w:r>
              <w:t>206.60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3"/>
            </w:pPr>
            <w:r>
              <w:t>81.46</w:t>
            </w:r>
          </w:p>
        </w:tc>
        <w:tc>
          <w:tcPr>
            <w:tcW w:w="1361" w:type="dxa"/>
            <w:vAlign w:val="center"/>
          </w:tcPr>
          <w:p>
            <w:pPr>
              <w:pStyle w:val="13"/>
            </w:pPr>
            <w:r>
              <w:t>81.46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2013704</w:t>
            </w:r>
          </w:p>
        </w:tc>
        <w:tc>
          <w:tcPr>
            <w:tcW w:w="4535" w:type="dxa"/>
            <w:vAlign w:val="center"/>
          </w:tcPr>
          <w:p>
            <w:pPr>
              <w:pStyle w:val="12"/>
            </w:pPr>
            <w:r>
              <w:t>信息安全事务</w:t>
            </w:r>
          </w:p>
        </w:tc>
        <w:tc>
          <w:tcPr>
            <w:tcW w:w="1361" w:type="dxa"/>
            <w:vAlign w:val="center"/>
          </w:tcPr>
          <w:p>
            <w:pPr>
              <w:pStyle w:val="13"/>
            </w:pPr>
            <w:r>
              <w:t>111.60</w:t>
            </w:r>
          </w:p>
        </w:tc>
        <w:tc>
          <w:tcPr>
            <w:tcW w:w="1361" w:type="dxa"/>
            <w:vAlign w:val="center"/>
          </w:tcPr>
          <w:p>
            <w:pPr>
              <w:pStyle w:val="13"/>
            </w:pPr>
          </w:p>
        </w:tc>
        <w:tc>
          <w:tcPr>
            <w:tcW w:w="1361" w:type="dxa"/>
            <w:vAlign w:val="center"/>
          </w:tcPr>
          <w:p>
            <w:pPr>
              <w:pStyle w:val="13"/>
            </w:pPr>
            <w:r>
              <w:t>111.60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2013799</w:t>
            </w:r>
          </w:p>
        </w:tc>
        <w:tc>
          <w:tcPr>
            <w:tcW w:w="4535" w:type="dxa"/>
            <w:vAlign w:val="center"/>
          </w:tcPr>
          <w:p>
            <w:pPr>
              <w:pStyle w:val="12"/>
            </w:pPr>
            <w:r>
              <w:t>其他网信事务支出</w:t>
            </w: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r>
              <w:t>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4.28</w:t>
            </w:r>
          </w:p>
        </w:tc>
        <w:tc>
          <w:tcPr>
            <w:tcW w:w="1361" w:type="dxa"/>
            <w:vAlign w:val="center"/>
          </w:tcPr>
          <w:p>
            <w:pPr>
              <w:pStyle w:val="13"/>
            </w:pPr>
            <w:r>
              <w:t>4.28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4.28</w:t>
            </w:r>
          </w:p>
        </w:tc>
        <w:tc>
          <w:tcPr>
            <w:tcW w:w="1361" w:type="dxa"/>
            <w:vAlign w:val="center"/>
          </w:tcPr>
          <w:p>
            <w:pPr>
              <w:pStyle w:val="13"/>
            </w:pPr>
            <w:r>
              <w:t>4.28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3"/>
            </w:pPr>
            <w:r>
              <w:t>4.28</w:t>
            </w:r>
          </w:p>
        </w:tc>
        <w:tc>
          <w:tcPr>
            <w:tcW w:w="1361" w:type="dxa"/>
            <w:vAlign w:val="center"/>
          </w:tcPr>
          <w:p>
            <w:pPr>
              <w:pStyle w:val="13"/>
            </w:pPr>
            <w:r>
              <w:t>4.28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292.34</w:t>
            </w:r>
          </w:p>
        </w:tc>
        <w:tc>
          <w:tcPr>
            <w:tcW w:w="3402" w:type="dxa"/>
            <w:vAlign w:val="center"/>
          </w:tcPr>
          <w:p>
            <w:pPr>
              <w:pStyle w:val="12"/>
            </w:pPr>
            <w:r>
              <w:t>一、一般公共服务支出</w:t>
            </w:r>
          </w:p>
        </w:tc>
        <w:tc>
          <w:tcPr>
            <w:tcW w:w="1474" w:type="dxa"/>
            <w:vAlign w:val="center"/>
          </w:tcPr>
          <w:p>
            <w:pPr>
              <w:pStyle w:val="13"/>
            </w:pPr>
            <w:r>
              <w:t>288.06</w:t>
            </w:r>
          </w:p>
        </w:tc>
        <w:tc>
          <w:tcPr>
            <w:tcW w:w="1474" w:type="dxa"/>
            <w:vAlign w:val="center"/>
          </w:tcPr>
          <w:p>
            <w:pPr>
              <w:pStyle w:val="13"/>
            </w:pPr>
            <w:r>
              <w:t>288.06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4.28</w:t>
            </w:r>
          </w:p>
        </w:tc>
        <w:tc>
          <w:tcPr>
            <w:tcW w:w="1474" w:type="dxa"/>
            <w:vAlign w:val="center"/>
          </w:tcPr>
          <w:p>
            <w:pPr>
              <w:pStyle w:val="13"/>
            </w:pPr>
            <w:r>
              <w:t>4.28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4"/>
            </w:pPr>
            <w:r>
              <w:t>本年收入合计</w:t>
            </w:r>
          </w:p>
        </w:tc>
        <w:tc>
          <w:tcPr>
            <w:tcW w:w="1474" w:type="dxa"/>
            <w:vAlign w:val="center"/>
          </w:tcPr>
          <w:p>
            <w:pPr>
              <w:pStyle w:val="15"/>
            </w:pPr>
            <w:r>
              <w:t>292.34</w:t>
            </w:r>
          </w:p>
        </w:tc>
        <w:tc>
          <w:tcPr>
            <w:tcW w:w="3402" w:type="dxa"/>
            <w:vAlign w:val="center"/>
          </w:tcPr>
          <w:p>
            <w:pPr>
              <w:pStyle w:val="14"/>
            </w:pPr>
            <w:r>
              <w:t>本年支出合计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4"/>
            </w:pPr>
            <w:r>
              <w:t>收入总计</w:t>
            </w:r>
          </w:p>
        </w:tc>
        <w:tc>
          <w:tcPr>
            <w:tcW w:w="1474" w:type="dxa"/>
            <w:vAlign w:val="center"/>
          </w:tcPr>
          <w:p>
            <w:pPr>
              <w:pStyle w:val="15"/>
            </w:pPr>
            <w:r>
              <w:t>292.34</w:t>
            </w:r>
          </w:p>
        </w:tc>
        <w:tc>
          <w:tcPr>
            <w:tcW w:w="3402" w:type="dxa"/>
            <w:vAlign w:val="center"/>
          </w:tcPr>
          <w:p>
            <w:pPr>
              <w:pStyle w:val="14"/>
            </w:pPr>
            <w:r>
              <w:t>支出总计</w:t>
            </w:r>
          </w:p>
        </w:tc>
        <w:tc>
          <w:tcPr>
            <w:tcW w:w="1474" w:type="dxa"/>
            <w:vAlign w:val="center"/>
          </w:tcPr>
          <w:p>
            <w:pPr>
              <w:pStyle w:val="15"/>
            </w:pPr>
            <w:r>
              <w:t>292.34</w:t>
            </w:r>
          </w:p>
        </w:tc>
        <w:tc>
          <w:tcPr>
            <w:tcW w:w="1474" w:type="dxa"/>
            <w:vAlign w:val="center"/>
          </w:tcPr>
          <w:p>
            <w:pPr>
              <w:pStyle w:val="15"/>
            </w:pPr>
            <w:r>
              <w:t>292.34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292.34</w:t>
            </w:r>
          </w:p>
        </w:tc>
        <w:tc>
          <w:tcPr>
            <w:tcW w:w="2551" w:type="dxa"/>
            <w:vAlign w:val="center"/>
          </w:tcPr>
          <w:p>
            <w:pPr>
              <w:pStyle w:val="15"/>
            </w:pPr>
            <w:r>
              <w:t>85.74</w:t>
            </w:r>
          </w:p>
        </w:tc>
        <w:tc>
          <w:tcPr>
            <w:tcW w:w="2551" w:type="dxa"/>
            <w:vAlign w:val="center"/>
          </w:tcPr>
          <w:p>
            <w:pPr>
              <w:pStyle w:val="15"/>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288.06</w:t>
            </w:r>
          </w:p>
        </w:tc>
        <w:tc>
          <w:tcPr>
            <w:tcW w:w="2551" w:type="dxa"/>
            <w:vAlign w:val="center"/>
          </w:tcPr>
          <w:p>
            <w:pPr>
              <w:pStyle w:val="13"/>
            </w:pPr>
            <w:r>
              <w:t>81.46</w:t>
            </w:r>
          </w:p>
        </w:tc>
        <w:tc>
          <w:tcPr>
            <w:tcW w:w="2551" w:type="dxa"/>
            <w:vAlign w:val="center"/>
          </w:tcPr>
          <w:p>
            <w:pPr>
              <w:pStyle w:val="13"/>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3"/>
            </w:pPr>
            <w:r>
              <w:t>288.06</w:t>
            </w:r>
          </w:p>
        </w:tc>
        <w:tc>
          <w:tcPr>
            <w:tcW w:w="2551" w:type="dxa"/>
            <w:vAlign w:val="center"/>
          </w:tcPr>
          <w:p>
            <w:pPr>
              <w:pStyle w:val="13"/>
            </w:pPr>
            <w:r>
              <w:t>81.46</w:t>
            </w:r>
          </w:p>
        </w:tc>
        <w:tc>
          <w:tcPr>
            <w:tcW w:w="2551" w:type="dxa"/>
            <w:vAlign w:val="center"/>
          </w:tcPr>
          <w:p>
            <w:pPr>
              <w:pStyle w:val="13"/>
            </w:pPr>
            <w:r>
              <w:t>206.60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3"/>
            </w:pPr>
            <w:r>
              <w:t>81.46</w:t>
            </w:r>
          </w:p>
        </w:tc>
        <w:tc>
          <w:tcPr>
            <w:tcW w:w="2551" w:type="dxa"/>
            <w:vAlign w:val="center"/>
          </w:tcPr>
          <w:p>
            <w:pPr>
              <w:pStyle w:val="13"/>
            </w:pPr>
            <w:r>
              <w:t>81.46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2013704</w:t>
            </w:r>
          </w:p>
        </w:tc>
        <w:tc>
          <w:tcPr>
            <w:tcW w:w="4535" w:type="dxa"/>
            <w:vAlign w:val="center"/>
          </w:tcPr>
          <w:p>
            <w:pPr>
              <w:pStyle w:val="12"/>
            </w:pPr>
            <w:r>
              <w:t>信息安全事务</w:t>
            </w:r>
          </w:p>
        </w:tc>
        <w:tc>
          <w:tcPr>
            <w:tcW w:w="2551" w:type="dxa"/>
            <w:vAlign w:val="center"/>
          </w:tcPr>
          <w:p>
            <w:pPr>
              <w:pStyle w:val="13"/>
            </w:pPr>
            <w:r>
              <w:t>111.60</w:t>
            </w:r>
          </w:p>
        </w:tc>
        <w:tc>
          <w:tcPr>
            <w:tcW w:w="2551" w:type="dxa"/>
            <w:vAlign w:val="center"/>
          </w:tcPr>
          <w:p>
            <w:pPr>
              <w:pStyle w:val="13"/>
            </w:pPr>
          </w:p>
        </w:tc>
        <w:tc>
          <w:tcPr>
            <w:tcW w:w="2551" w:type="dxa"/>
            <w:vAlign w:val="center"/>
          </w:tcPr>
          <w:p>
            <w:pPr>
              <w:pStyle w:val="13"/>
            </w:pPr>
            <w:r>
              <w:t>111.60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2013799</w:t>
            </w:r>
          </w:p>
        </w:tc>
        <w:tc>
          <w:tcPr>
            <w:tcW w:w="4535" w:type="dxa"/>
            <w:vAlign w:val="center"/>
          </w:tcPr>
          <w:p>
            <w:pPr>
              <w:pStyle w:val="12"/>
            </w:pPr>
            <w:r>
              <w:t>其他网信事务支出</w:t>
            </w:r>
          </w:p>
        </w:tc>
        <w:tc>
          <w:tcPr>
            <w:tcW w:w="2551" w:type="dxa"/>
            <w:vAlign w:val="center"/>
          </w:tcPr>
          <w:p>
            <w:pPr>
              <w:pStyle w:val="13"/>
            </w:pPr>
            <w:r>
              <w:t>95.00</w:t>
            </w:r>
          </w:p>
        </w:tc>
        <w:tc>
          <w:tcPr>
            <w:tcW w:w="2551" w:type="dxa"/>
            <w:vAlign w:val="center"/>
          </w:tcPr>
          <w:p>
            <w:pPr>
              <w:pStyle w:val="13"/>
            </w:pPr>
          </w:p>
        </w:tc>
        <w:tc>
          <w:tcPr>
            <w:tcW w:w="2551"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85.74</w:t>
            </w:r>
          </w:p>
        </w:tc>
        <w:tc>
          <w:tcPr>
            <w:tcW w:w="2551" w:type="dxa"/>
            <w:vAlign w:val="center"/>
          </w:tcPr>
          <w:p>
            <w:pPr>
              <w:pStyle w:val="15"/>
            </w:pPr>
            <w:r>
              <w:t>72.54</w:t>
            </w:r>
          </w:p>
        </w:tc>
        <w:tc>
          <w:tcPr>
            <w:tcW w:w="2551" w:type="dxa"/>
            <w:vAlign w:val="center"/>
          </w:tcPr>
          <w:p>
            <w:pPr>
              <w:pStyle w:val="15"/>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72.54</w:t>
            </w:r>
          </w:p>
        </w:tc>
        <w:tc>
          <w:tcPr>
            <w:tcW w:w="2551" w:type="dxa"/>
            <w:vAlign w:val="center"/>
          </w:tcPr>
          <w:p>
            <w:pPr>
              <w:pStyle w:val="13"/>
            </w:pPr>
            <w:r>
              <w:t>72.54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44.67</w:t>
            </w:r>
          </w:p>
        </w:tc>
        <w:tc>
          <w:tcPr>
            <w:tcW w:w="2551" w:type="dxa"/>
            <w:vAlign w:val="center"/>
          </w:tcPr>
          <w:p>
            <w:pPr>
              <w:pStyle w:val="13"/>
            </w:pPr>
            <w:r>
              <w:t>44.67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2.14</w:t>
            </w:r>
          </w:p>
        </w:tc>
        <w:tc>
          <w:tcPr>
            <w:tcW w:w="2551" w:type="dxa"/>
            <w:vAlign w:val="center"/>
          </w:tcPr>
          <w:p>
            <w:pPr>
              <w:pStyle w:val="13"/>
            </w:pPr>
            <w:r>
              <w:t>2.14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1.55</w:t>
            </w:r>
          </w:p>
        </w:tc>
        <w:tc>
          <w:tcPr>
            <w:tcW w:w="2551" w:type="dxa"/>
            <w:vAlign w:val="center"/>
          </w:tcPr>
          <w:p>
            <w:pPr>
              <w:pStyle w:val="13"/>
            </w:pPr>
            <w:r>
              <w:t>1.55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7.71</w:t>
            </w:r>
          </w:p>
        </w:tc>
        <w:tc>
          <w:tcPr>
            <w:tcW w:w="2551" w:type="dxa"/>
            <w:vAlign w:val="center"/>
          </w:tcPr>
          <w:p>
            <w:pPr>
              <w:pStyle w:val="13"/>
            </w:pPr>
            <w:r>
              <w:t>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3.85</w:t>
            </w:r>
          </w:p>
        </w:tc>
        <w:tc>
          <w:tcPr>
            <w:tcW w:w="2551" w:type="dxa"/>
            <w:vAlign w:val="center"/>
          </w:tcPr>
          <w:p>
            <w:pPr>
              <w:pStyle w:val="13"/>
            </w:pPr>
            <w:r>
              <w:t>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4.28</w:t>
            </w:r>
          </w:p>
        </w:tc>
        <w:tc>
          <w:tcPr>
            <w:tcW w:w="2551" w:type="dxa"/>
            <w:vAlign w:val="center"/>
          </w:tcPr>
          <w:p>
            <w:pPr>
              <w:pStyle w:val="13"/>
            </w:pPr>
            <w:r>
              <w:t>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8.34</w:t>
            </w:r>
          </w:p>
        </w:tc>
        <w:tc>
          <w:tcPr>
            <w:tcW w:w="2551" w:type="dxa"/>
            <w:vAlign w:val="center"/>
          </w:tcPr>
          <w:p>
            <w:pPr>
              <w:pStyle w:val="13"/>
            </w:pPr>
            <w:r>
              <w:t>8.34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4.20</w:t>
            </w:r>
          </w:p>
        </w:tc>
        <w:tc>
          <w:tcPr>
            <w:tcW w:w="2551" w:type="dxa"/>
            <w:vAlign w:val="center"/>
          </w:tcPr>
          <w:p>
            <w:pPr>
              <w:pStyle w:val="13"/>
            </w:pPr>
          </w:p>
        </w:tc>
        <w:tc>
          <w:tcPr>
            <w:tcW w:w="2551" w:type="dxa"/>
            <w:vAlign w:val="center"/>
          </w:tcPr>
          <w:p>
            <w:pPr>
              <w:pStyle w:val="13"/>
            </w:pPr>
            <w:r>
              <w:t>4.20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3798" w:type="dxa"/>
            <w:vAlign w:val="center"/>
          </w:tcPr>
          <w:p>
            <w:pPr>
              <w:pStyle w:val="14"/>
              <w:rPr>
                <w:rFonts w:ascii="方正书宋_GBK" w:hAnsi="方正书宋_GBK" w:eastAsia="方正书宋_GBK" w:cs="方正书宋_GBK"/>
                <w:b/>
                <w:kern w:val="2"/>
                <w:sz w:val="21"/>
                <w:szCs w:val="24"/>
                <w:lang w:val="en-US" w:eastAsia="uk-UA" w:bidi="ar-SA"/>
              </w:rPr>
            </w:pPr>
            <w:r>
              <w:t>合计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2</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“三公”经费小计</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3</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4</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 xml:space="preserve">    其中：教学科研人员因公出国（境）</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5</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 xml:space="preserve">          其他因公出国（境）费</w:t>
            </w:r>
          </w:p>
        </w:tc>
        <w:tc>
          <w:tcPr>
            <w:tcW w:w="2382" w:type="dxa"/>
            <w:vAlign w:val="center"/>
          </w:tcPr>
          <w:p>
            <w:pPr>
              <w:pStyle w:val="13"/>
            </w:pPr>
            <w:bookmarkStart w:id="1" w:name="_GoBack"/>
            <w:bookmarkEnd w:id="1"/>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6</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7</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8</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 xml:space="preserve">          公务用车运行维护费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ascii="方正书宋_GBK" w:hAnsi="方正书宋_GBK" w:eastAsia="方正书宋_GBK" w:cs="方正书宋_GBK"/>
                <w:kern w:val="2"/>
                <w:sz w:val="21"/>
                <w:szCs w:val="24"/>
                <w:lang w:val="en-US" w:eastAsia="zh-CN" w:bidi="ar-SA"/>
              </w:rPr>
            </w:pPr>
            <w:r>
              <w:rPr>
                <w:rFonts w:hint="eastAsia"/>
                <w:lang w:val="en-US" w:eastAsia="zh-CN"/>
              </w:rPr>
              <w:t>9</w:t>
            </w:r>
          </w:p>
        </w:tc>
        <w:tc>
          <w:tcPr>
            <w:tcW w:w="3798" w:type="dxa"/>
            <w:vAlign w:val="center"/>
          </w:tcPr>
          <w:p>
            <w:pPr>
              <w:pStyle w:val="12"/>
              <w:rPr>
                <w:rFonts w:ascii="方正书宋_GBK" w:hAnsi="方正书宋_GBK" w:eastAsia="方正书宋_GBK" w:cs="方正书宋_GBK"/>
                <w:kern w:val="2"/>
                <w:sz w:val="21"/>
                <w:szCs w:val="24"/>
                <w:lang w:val="en-US" w:eastAsia="uk-UA" w:bidi="ar-SA"/>
              </w:rPr>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中共魏县县委网络安全和信息化委员会办公室本级2022年单位预算信息公开情况说明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按照《预算法》、《地方预决算公开操作规程》和《关于进一步推进预算公开工作的实施意见》规定，现将中共魏县县委网络安全和信息化委员会办公室本级2022年单位预算公开如下：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根据《中共魏县县委网络安全和信息化委员会办公室职能配置、内设机构和人员编制规定》， 中共魏县县委网络安全和信息化委员会办公室的主要职责是：</w:t>
      </w:r>
    </w:p>
    <w:p>
      <w:pPr>
        <w:pStyle w:val="17"/>
      </w:pPr>
      <w:r>
        <w:t>处理好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统筹协调全县网络安全保障体系和可信体系建设,牵头协调有关部门制定相关行业网络安全规划及保障评价指标体系,协调信息安全保护工作;指导推进全县党政军部门,重点行业网络安全保障和信惠化工作;统筹推进网络安全和信患化军民融合深度发展;协调推进网络强县建设,推动全县公共服务和社会治理信息化做好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强化舆论引导，走好网上群众路线。强化舆情监测，搞好处置工作。开展专项行动，切实维护好网络意识形态安全。是进一步加强网信基础设施建设、网信工作队伍建设和提高网络执法水平。做强做大网上正面宣传。围绕县委、县政府重点工作主动设置议题，统筹做好县委、县政府重大会议、活动的网上报道，加大对我县经济发展、乡村振兴、精准脱贫、污染防治等网上宣传力度，营造网上浓厚氛围。谋划建立联合辟谣工作机制和推进IPv6规模部署和智慧城市建设。推动下一代互联网(IPv6)在县级政府门户网站、新闻、广播电视媒体升级改造。全面落实国家智慧城市建设的重大部署，按照《智慧邯郸建设总体规划（2019-2023年）》要求，积极推进智慧魏县建设，提升服务质量和服务水平。</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中共魏县县委网络安全和信息化委员会办公室本级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rPr>
        <w:t>县</w:t>
      </w:r>
      <w:r>
        <w:rPr>
          <w:rFonts w:eastAsia="方正仿宋_GBK"/>
          <w:color w:val="000000"/>
          <w:sz w:val="28"/>
        </w:rPr>
        <w:t>单位预算的编制实行综合预算管理，即全部收入和支出都反映在预算中。</w:t>
      </w:r>
    </w:p>
    <w:p>
      <w:pPr>
        <w:pStyle w:val="18"/>
      </w:pPr>
      <w:r>
        <w:t>按照预算管理有关规定，目前我县部门预算的编制实行综合预算管理，即全部收入和支出都反映在预算中。中共魏县县委网络安全和信息化委员会办公室机关及所属事业单位的收支包含在部门预算中。</w:t>
      </w:r>
    </w:p>
    <w:p>
      <w:pPr>
        <w:pStyle w:val="18"/>
      </w:pPr>
      <w:r>
        <w:t>1、收入说明：2022年收入预算共计292.34万元，全部为财政拨款。其中：一般公共预算收入292.34万元，基金预算收入0万元，财政专户核拨收入0万元，其他来源收入（单位资金）0万元，上年结转0万元。</w:t>
      </w:r>
    </w:p>
    <w:p>
      <w:pPr>
        <w:pStyle w:val="18"/>
      </w:pPr>
      <w:r>
        <w:t>2、支出说明：收支预算总表支出栏、基本支出表、项目支出表按经济分类和支出功能分类科目编制，反映年度部门预算中支出预算的总体情况。2022年支出预算292.34万元，其中：基本支出85.74万元（包括人员经费72.54万元和日常公用经费13.2万元）；项目支出206.6万元，主要为县舆情监测和网络安全服务费等。</w:t>
      </w:r>
    </w:p>
    <w:p>
      <w:pPr>
        <w:pStyle w:val="18"/>
      </w:pPr>
      <w:r>
        <w:t>3、比上年增减情况：经过对比测算，2022年财政拨款预算比2021年增加104.56万元。主要是：人员经费减少0.44元，人员经费减少的主要原因是人员调动；日常公用经费无变化；项目经费增加105万元，主要原因是网络技术监管项目服务费、舆情监测能力建设资金、网络安全宣传周经费增加。</w:t>
      </w:r>
    </w:p>
    <w:p>
      <w:pPr>
        <w:spacing w:before="10" w:after="10"/>
        <w:ind w:firstLine="640"/>
        <w:outlineLvl w:val="5"/>
      </w:pPr>
      <w:r>
        <w:rPr>
          <w:rFonts w:ascii="黑体" w:hAnsi="黑体" w:eastAsia="黑体" w:cs="黑体"/>
          <w:color w:val="000000"/>
          <w:sz w:val="32"/>
        </w:rPr>
        <w:t>三、机关运行经费安排情况</w:t>
      </w:r>
    </w:p>
    <w:p>
      <w:pPr>
        <w:pStyle w:val="19"/>
      </w:pPr>
      <w:r>
        <w:t>2022年，我办机关运行经费共计安排</w:t>
      </w:r>
      <w:r>
        <w:rPr>
          <w:rFonts w:hint="eastAsia"/>
        </w:rPr>
        <w:t>13.2</w:t>
      </w:r>
      <w:r>
        <w:t>万元，主要用于保证正常办公的基本需要和维持单位日常业务运转，包括：办公费、邮电费等费用。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2022年，财政拨款“三公”经费预算总额0万元，其中：因公出国(境)费0万元；公务用车购置及运维费0元，公务接待费0元，较上无增减变化，各项均与上年持平。主要原因是我单位按照上级政府“过紧日子”思想要求，根据我县单位实际情况，对相关经费进行大幅压减，未安排“三公”经费相关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1、2022年网络安全及舆情培训经费绩效目标表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1.开展培训工作三次以上</w:t>
            </w:r>
          </w:p>
          <w:p>
            <w:pPr>
              <w:pStyle w:val="12"/>
            </w:pPr>
            <w:r>
              <w:t>2.培训人员盖率95%以上</w:t>
            </w:r>
          </w:p>
          <w:p>
            <w:pPr>
              <w:pStyle w:val="12"/>
            </w:pPr>
            <w:r>
              <w:t>3.提高业务水平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2835" w:type="dxa"/>
            <w:vAlign w:val="center"/>
          </w:tcPr>
          <w:p>
            <w:pPr>
              <w:pStyle w:val="12"/>
            </w:pPr>
            <w:r>
              <w:t>培训次数三次以上</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2835" w:type="dxa"/>
            <w:vAlign w:val="center"/>
          </w:tcPr>
          <w:p>
            <w:pPr>
              <w:pStyle w:val="12"/>
            </w:pPr>
            <w:r>
              <w:t>培训覆盖率95%以上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2835" w:type="dxa"/>
            <w:vAlign w:val="center"/>
          </w:tcPr>
          <w:p>
            <w:pPr>
              <w:pStyle w:val="12"/>
            </w:pPr>
            <w:r>
              <w:t>及时性</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运转率</w:t>
            </w:r>
          </w:p>
        </w:tc>
        <w:tc>
          <w:tcPr>
            <w:tcW w:w="2835" w:type="dxa"/>
            <w:vAlign w:val="center"/>
          </w:tcPr>
          <w:p>
            <w:pPr>
              <w:pStyle w:val="12"/>
            </w:pPr>
            <w:r>
              <w:t>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培训覆盖率</w:t>
            </w:r>
          </w:p>
        </w:tc>
        <w:tc>
          <w:tcPr>
            <w:tcW w:w="2835" w:type="dxa"/>
            <w:vAlign w:val="center"/>
          </w:tcPr>
          <w:p>
            <w:pPr>
              <w:pStyle w:val="12"/>
            </w:pPr>
            <w:r>
              <w:t>培训覆盖率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2、2022年网络安全技术保障监管服务费绩效目标表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1.保障网络安全，全年8760小时以上监控,服务系统</w:t>
            </w:r>
          </w:p>
          <w:p>
            <w:pPr>
              <w:pStyle w:val="12"/>
            </w:pPr>
            <w:r>
              <w:t>2.覆盖全县网络</w:t>
            </w:r>
          </w:p>
          <w:p>
            <w:pPr>
              <w:pStyle w:val="12"/>
            </w:pPr>
            <w:r>
              <w:t>3.避免出现网络安全事故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网络安全监管保障范围</w:t>
            </w:r>
          </w:p>
        </w:tc>
        <w:tc>
          <w:tcPr>
            <w:tcW w:w="2835" w:type="dxa"/>
            <w:vAlign w:val="center"/>
          </w:tcPr>
          <w:p>
            <w:pPr>
              <w:pStyle w:val="12"/>
            </w:pPr>
            <w:r>
              <w:t>魏县全县范围保障</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保障时间</w:t>
            </w:r>
          </w:p>
        </w:tc>
        <w:tc>
          <w:tcPr>
            <w:tcW w:w="2835" w:type="dxa"/>
            <w:vAlign w:val="center"/>
          </w:tcPr>
          <w:p>
            <w:pPr>
              <w:pStyle w:val="12"/>
            </w:pPr>
            <w:r>
              <w:t>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系统数量</w:t>
            </w:r>
          </w:p>
        </w:tc>
        <w:tc>
          <w:tcPr>
            <w:tcW w:w="2835" w:type="dxa"/>
            <w:vAlign w:val="center"/>
          </w:tcPr>
          <w:p>
            <w:pPr>
              <w:pStyle w:val="12"/>
            </w:pPr>
            <w:r>
              <w:t>系统1个</w:t>
            </w:r>
          </w:p>
        </w:tc>
        <w:tc>
          <w:tcPr>
            <w:tcW w:w="2551" w:type="dxa"/>
            <w:vAlign w:val="center"/>
          </w:tcPr>
          <w:p>
            <w:pPr>
              <w:pStyle w:val="12"/>
            </w:pPr>
            <w:r>
              <w:t>1个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w:t>
            </w:r>
          </w:p>
        </w:tc>
        <w:tc>
          <w:tcPr>
            <w:tcW w:w="2551" w:type="dxa"/>
            <w:vAlign w:val="center"/>
          </w:tcPr>
          <w:p>
            <w:pPr>
              <w:pStyle w:val="12"/>
            </w:pPr>
            <w:r>
              <w:t>20万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保障网络安全</w:t>
            </w:r>
          </w:p>
        </w:tc>
        <w:tc>
          <w:tcPr>
            <w:tcW w:w="2835" w:type="dxa"/>
            <w:vAlign w:val="center"/>
          </w:tcPr>
          <w:p>
            <w:pPr>
              <w:pStyle w:val="12"/>
            </w:pPr>
            <w:r>
              <w:t>网络安全工作运转率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网络安全问题处置率</w:t>
            </w:r>
          </w:p>
        </w:tc>
        <w:tc>
          <w:tcPr>
            <w:tcW w:w="2835" w:type="dxa"/>
            <w:vAlign w:val="center"/>
          </w:tcPr>
          <w:p>
            <w:pPr>
              <w:pStyle w:val="12"/>
            </w:pPr>
            <w:r>
              <w:t>处置率100%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3、2022年网络安全宣传周经费绩效目标表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1.开展网络宣传活动</w:t>
            </w:r>
          </w:p>
          <w:p>
            <w:pPr>
              <w:pStyle w:val="12"/>
            </w:pPr>
            <w:r>
              <w:t>2.形成浓厚的网络安全活动氛围</w:t>
            </w:r>
          </w:p>
          <w:p>
            <w:pPr>
              <w:pStyle w:val="12"/>
            </w:pPr>
            <w:r>
              <w:t>3.网络安全观念深入每个人心中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2835" w:type="dxa"/>
            <w:vAlign w:val="center"/>
          </w:tcPr>
          <w:p>
            <w:pPr>
              <w:pStyle w:val="12"/>
            </w:pPr>
            <w:r>
              <w:t>组织主题宣传活动场次</w:t>
            </w:r>
          </w:p>
        </w:tc>
        <w:tc>
          <w:tcPr>
            <w:tcW w:w="2551" w:type="dxa"/>
            <w:vAlign w:val="center"/>
          </w:tcPr>
          <w:p>
            <w:pPr>
              <w:pStyle w:val="12"/>
            </w:pPr>
            <w:r>
              <w:t>≥7场</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2835" w:type="dxa"/>
            <w:vAlign w:val="center"/>
          </w:tcPr>
          <w:p>
            <w:pPr>
              <w:pStyle w:val="12"/>
            </w:pPr>
            <w:r>
              <w:t>宣传目标完成率</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2835" w:type="dxa"/>
            <w:vAlign w:val="center"/>
          </w:tcPr>
          <w:p>
            <w:pPr>
              <w:pStyle w:val="12"/>
            </w:pPr>
            <w:r>
              <w:t>工作完成的时效</w:t>
            </w:r>
          </w:p>
          <w:p>
            <w:pPr>
              <w:pStyle w:val="12"/>
            </w:pPr>
          </w:p>
          <w:p>
            <w:pPr>
              <w:pStyle w:val="12"/>
            </w:pPr>
          </w:p>
        </w:tc>
        <w:tc>
          <w:tcPr>
            <w:tcW w:w="2551" w:type="dxa"/>
            <w:vAlign w:val="center"/>
          </w:tcPr>
          <w:p>
            <w:pPr>
              <w:pStyle w:val="12"/>
            </w:pPr>
            <w:r>
              <w:t>≥7天</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≤10万元</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网络安全保障</w:t>
            </w:r>
          </w:p>
        </w:tc>
        <w:tc>
          <w:tcPr>
            <w:tcW w:w="2835" w:type="dxa"/>
            <w:vAlign w:val="center"/>
          </w:tcPr>
          <w:p>
            <w:pPr>
              <w:pStyle w:val="12"/>
            </w:pPr>
            <w:r>
              <w:t>网络安全保障</w:t>
            </w:r>
          </w:p>
        </w:tc>
        <w:tc>
          <w:tcPr>
            <w:tcW w:w="2551" w:type="dxa"/>
            <w:vAlign w:val="center"/>
          </w:tcPr>
          <w:p>
            <w:pPr>
              <w:pStyle w:val="12"/>
            </w:pPr>
            <w:r>
              <w:t>≥95%</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覆盖服务人口</w:t>
            </w:r>
          </w:p>
        </w:tc>
        <w:tc>
          <w:tcPr>
            <w:tcW w:w="2835" w:type="dxa"/>
            <w:vAlign w:val="center"/>
          </w:tcPr>
          <w:p>
            <w:pPr>
              <w:pStyle w:val="12"/>
            </w:pPr>
            <w:r>
              <w:t>覆盖服务人口</w:t>
            </w:r>
          </w:p>
        </w:tc>
        <w:tc>
          <w:tcPr>
            <w:tcW w:w="2551" w:type="dxa"/>
            <w:vAlign w:val="center"/>
          </w:tcPr>
          <w:p>
            <w:pPr>
              <w:pStyle w:val="12"/>
            </w:pPr>
            <w:r>
              <w:t>≥30万</w:t>
            </w:r>
          </w:p>
        </w:tc>
        <w:tc>
          <w:tcPr>
            <w:tcW w:w="2268" w:type="dxa"/>
            <w:vAlign w:val="center"/>
          </w:tcPr>
          <w:p>
            <w:pPr>
              <w:pStyle w:val="12"/>
            </w:pPr>
            <w:r>
              <w:t>职能要求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2835" w:type="dxa"/>
            <w:vAlign w:val="center"/>
          </w:tcPr>
          <w:p>
            <w:pPr>
              <w:pStyle w:val="12"/>
            </w:pPr>
            <w:r>
              <w:t>群众满意率</w:t>
            </w:r>
          </w:p>
        </w:tc>
        <w:tc>
          <w:tcPr>
            <w:tcW w:w="2551" w:type="dxa"/>
            <w:vAlign w:val="center"/>
          </w:tcPr>
          <w:p>
            <w:pPr>
              <w:pStyle w:val="12"/>
            </w:pPr>
            <w:r>
              <w:t>≥95%</w:t>
            </w:r>
          </w:p>
        </w:tc>
        <w:tc>
          <w:tcPr>
            <w:tcW w:w="2268" w:type="dxa"/>
            <w:vAlign w:val="center"/>
          </w:tcPr>
          <w:p>
            <w:pPr>
              <w:pStyle w:val="12"/>
            </w:pPr>
            <w:r>
              <w:t>职能要求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4、2022年网络评论队伍经费绩效目标表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1.加强网络评论员队伍建设和网上舆论引导</w:t>
            </w:r>
          </w:p>
          <w:p>
            <w:pPr>
              <w:pStyle w:val="12"/>
            </w:pPr>
            <w:r>
              <w:t>2.网评员参与度95%以上</w:t>
            </w:r>
          </w:p>
          <w:p>
            <w:pPr>
              <w:pStyle w:val="12"/>
            </w:pPr>
            <w:r>
              <w:t>3.网评员评论时间365天，营造良好的网络舆论氛围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网络评论员建设</w:t>
            </w:r>
          </w:p>
        </w:tc>
        <w:tc>
          <w:tcPr>
            <w:tcW w:w="2835" w:type="dxa"/>
            <w:vAlign w:val="center"/>
          </w:tcPr>
          <w:p>
            <w:pPr>
              <w:pStyle w:val="12"/>
            </w:pPr>
            <w:r>
              <w:t>网评员参与程度95%以上</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网评员培评论时间</w:t>
            </w:r>
          </w:p>
        </w:tc>
        <w:tc>
          <w:tcPr>
            <w:tcW w:w="2835" w:type="dxa"/>
            <w:vAlign w:val="center"/>
          </w:tcPr>
          <w:p>
            <w:pPr>
              <w:pStyle w:val="12"/>
            </w:pPr>
            <w:r>
              <w:t>评论时间365天</w:t>
            </w:r>
          </w:p>
        </w:tc>
        <w:tc>
          <w:tcPr>
            <w:tcW w:w="2551" w:type="dxa"/>
            <w:vAlign w:val="center"/>
          </w:tcPr>
          <w:p>
            <w:pPr>
              <w:pStyle w:val="12"/>
            </w:pPr>
            <w:r>
              <w:t>365天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网评数量</w:t>
            </w:r>
          </w:p>
        </w:tc>
        <w:tc>
          <w:tcPr>
            <w:tcW w:w="2835" w:type="dxa"/>
            <w:vAlign w:val="center"/>
          </w:tcPr>
          <w:p>
            <w:pPr>
              <w:pStyle w:val="12"/>
            </w:pPr>
            <w:r>
              <w:t>完成上级网评数量任务</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6.6万元</w:t>
            </w:r>
          </w:p>
        </w:tc>
        <w:tc>
          <w:tcPr>
            <w:tcW w:w="2551" w:type="dxa"/>
            <w:vAlign w:val="center"/>
          </w:tcPr>
          <w:p>
            <w:pPr>
              <w:pStyle w:val="12"/>
            </w:pPr>
            <w:r>
              <w:t>6.6万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舆论引导力</w:t>
            </w:r>
          </w:p>
        </w:tc>
        <w:tc>
          <w:tcPr>
            <w:tcW w:w="2835" w:type="dxa"/>
            <w:vAlign w:val="center"/>
          </w:tcPr>
          <w:p>
            <w:pPr>
              <w:pStyle w:val="12"/>
            </w:pPr>
            <w:r>
              <w:t>引导正面舆论</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正面舆论影响力</w:t>
            </w:r>
          </w:p>
        </w:tc>
        <w:tc>
          <w:tcPr>
            <w:tcW w:w="2835" w:type="dxa"/>
            <w:vAlign w:val="center"/>
          </w:tcPr>
          <w:p>
            <w:pPr>
              <w:pStyle w:val="12"/>
            </w:pPr>
            <w:r>
              <w:t>营造正面舆论氛围</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5、2022年网络生态综合管理平台服务资金绩效目标表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1.包含六大子业务模块，更好的发挥网络生态治理功能，全面清理违法信息</w:t>
            </w:r>
          </w:p>
          <w:p>
            <w:pPr>
              <w:pStyle w:val="12"/>
            </w:pPr>
            <w:r>
              <w:t>2.27*24小时运行监测</w:t>
            </w:r>
          </w:p>
          <w:p>
            <w:pPr>
              <w:pStyle w:val="12"/>
            </w:pPr>
            <w:r>
              <w:t>3.引导鼓励属地网站、微博、微信公众号、贴吧及论坛发布正确导向内容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业务模块</w:t>
            </w:r>
          </w:p>
        </w:tc>
        <w:tc>
          <w:tcPr>
            <w:tcW w:w="2835" w:type="dxa"/>
            <w:vAlign w:val="center"/>
          </w:tcPr>
          <w:p>
            <w:pPr>
              <w:pStyle w:val="12"/>
            </w:pPr>
            <w:r>
              <w:t>包含六大子业务模块</w:t>
            </w:r>
          </w:p>
        </w:tc>
        <w:tc>
          <w:tcPr>
            <w:tcW w:w="2551" w:type="dxa"/>
            <w:vAlign w:val="center"/>
          </w:tcPr>
          <w:p>
            <w:pPr>
              <w:pStyle w:val="12"/>
            </w:pPr>
            <w:r>
              <w:t>6个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覆盖魏县属地网站、微博、微信公众号、论坛贴吧100%</w:t>
            </w:r>
          </w:p>
        </w:tc>
        <w:tc>
          <w:tcPr>
            <w:tcW w:w="2551" w:type="dxa"/>
            <w:vAlign w:val="center"/>
          </w:tcPr>
          <w:p>
            <w:pPr>
              <w:pStyle w:val="12"/>
            </w:pPr>
            <w:r>
              <w:t>100%</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全年8760小时以上</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32万元</w:t>
            </w:r>
          </w:p>
        </w:tc>
        <w:tc>
          <w:tcPr>
            <w:tcW w:w="2551" w:type="dxa"/>
            <w:vAlign w:val="center"/>
          </w:tcPr>
          <w:p>
            <w:pPr>
              <w:pStyle w:val="12"/>
            </w:pPr>
            <w:r>
              <w:t>32万</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建成网络综合治理体系</w:t>
            </w:r>
          </w:p>
        </w:tc>
        <w:tc>
          <w:tcPr>
            <w:tcW w:w="2835" w:type="dxa"/>
            <w:vAlign w:val="center"/>
          </w:tcPr>
          <w:p>
            <w:pPr>
              <w:pStyle w:val="12"/>
            </w:pPr>
            <w:r>
              <w:t>建成网络综合治理体系</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6、2022年网络信息工作执法费用绩效目标表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1.营造清朗网络空间，正面环境95%以上</w:t>
            </w:r>
          </w:p>
          <w:p>
            <w:pPr>
              <w:pStyle w:val="12"/>
            </w:pPr>
            <w:r>
              <w:t>2.展执法检查覆盖率95%以上</w:t>
            </w:r>
          </w:p>
          <w:p>
            <w:pPr>
              <w:pStyle w:val="12"/>
            </w:pPr>
            <w:r>
              <w:t>3.打击网络违法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执法检查次数</w:t>
            </w:r>
          </w:p>
        </w:tc>
        <w:tc>
          <w:tcPr>
            <w:tcW w:w="2835" w:type="dxa"/>
            <w:vAlign w:val="center"/>
          </w:tcPr>
          <w:p>
            <w:pPr>
              <w:pStyle w:val="12"/>
            </w:pPr>
            <w:r>
              <w:t>开展执法检查次数</w:t>
            </w:r>
          </w:p>
        </w:tc>
        <w:tc>
          <w:tcPr>
            <w:tcW w:w="2551" w:type="dxa"/>
            <w:vAlign w:val="center"/>
          </w:tcPr>
          <w:p>
            <w:pPr>
              <w:pStyle w:val="12"/>
            </w:pPr>
            <w:r>
              <w:t>≥3次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执法检查覆盖率</w:t>
            </w:r>
          </w:p>
        </w:tc>
        <w:tc>
          <w:tcPr>
            <w:tcW w:w="2835" w:type="dxa"/>
            <w:vAlign w:val="center"/>
          </w:tcPr>
          <w:p>
            <w:pPr>
              <w:pStyle w:val="12"/>
            </w:pPr>
            <w:r>
              <w:t>执法检查覆盖率</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有效保障时间</w:t>
            </w:r>
          </w:p>
        </w:tc>
        <w:tc>
          <w:tcPr>
            <w:tcW w:w="2835" w:type="dxa"/>
            <w:vAlign w:val="center"/>
          </w:tcPr>
          <w:p>
            <w:pPr>
              <w:pStyle w:val="12"/>
            </w:pPr>
            <w:r>
              <w:t>有效保障时间</w:t>
            </w:r>
          </w:p>
        </w:tc>
        <w:tc>
          <w:tcPr>
            <w:tcW w:w="2551" w:type="dxa"/>
            <w:vAlign w:val="center"/>
          </w:tcPr>
          <w:p>
            <w:pPr>
              <w:pStyle w:val="12"/>
            </w:pPr>
            <w:r>
              <w:t>1年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3万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打击网络违法行为</w:t>
            </w:r>
          </w:p>
        </w:tc>
        <w:tc>
          <w:tcPr>
            <w:tcW w:w="2835" w:type="dxa"/>
            <w:vAlign w:val="center"/>
          </w:tcPr>
          <w:p>
            <w:pPr>
              <w:pStyle w:val="12"/>
            </w:pPr>
            <w:r>
              <w:t>打击网络违法行为</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营造清朗网络空间</w:t>
            </w:r>
          </w:p>
        </w:tc>
        <w:tc>
          <w:tcPr>
            <w:tcW w:w="2835" w:type="dxa"/>
            <w:vAlign w:val="center"/>
          </w:tcPr>
          <w:p>
            <w:pPr>
              <w:pStyle w:val="12"/>
            </w:pPr>
            <w:r>
              <w:t>营造清朗网络空间</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7、2022年网络舆情处置经费绩效目标表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1.处置负面舆情事件20次以上</w:t>
            </w:r>
          </w:p>
          <w:p>
            <w:pPr>
              <w:pStyle w:val="12"/>
            </w:pPr>
            <w:r>
              <w:t>2.负面舆情处置率达到100%</w:t>
            </w:r>
          </w:p>
          <w:p>
            <w:pPr>
              <w:pStyle w:val="12"/>
            </w:pPr>
            <w:r>
              <w:t>3.营造清朗网络空间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质量指标</w:t>
            </w:r>
          </w:p>
        </w:tc>
        <w:tc>
          <w:tcPr>
            <w:tcW w:w="2835" w:type="dxa"/>
            <w:vAlign w:val="center"/>
          </w:tcPr>
          <w:p>
            <w:pPr>
              <w:pStyle w:val="12"/>
            </w:pPr>
            <w:r>
              <w:t>负面舆情处置率</w:t>
            </w:r>
          </w:p>
        </w:tc>
        <w:tc>
          <w:tcPr>
            <w:tcW w:w="2835" w:type="dxa"/>
            <w:vAlign w:val="center"/>
          </w:tcPr>
          <w:p>
            <w:pPr>
              <w:pStyle w:val="12"/>
            </w:pPr>
            <w:r>
              <w:t>负面舆情处置覆盖率100%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处置时间</w:t>
            </w:r>
          </w:p>
        </w:tc>
        <w:tc>
          <w:tcPr>
            <w:tcW w:w="2835" w:type="dxa"/>
            <w:vAlign w:val="center"/>
          </w:tcPr>
          <w:p>
            <w:pPr>
              <w:pStyle w:val="12"/>
            </w:pPr>
            <w:r>
              <w:t>全年8760小时以上</w:t>
            </w:r>
          </w:p>
        </w:tc>
        <w:tc>
          <w:tcPr>
            <w:tcW w:w="2551" w:type="dxa"/>
            <w:vAlign w:val="center"/>
          </w:tcPr>
          <w:p>
            <w:pPr>
              <w:pStyle w:val="12"/>
            </w:pPr>
            <w:r>
              <w:t>8760个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处置次数</w:t>
            </w:r>
          </w:p>
        </w:tc>
        <w:tc>
          <w:tcPr>
            <w:tcW w:w="2835" w:type="dxa"/>
            <w:vAlign w:val="center"/>
          </w:tcPr>
          <w:p>
            <w:pPr>
              <w:pStyle w:val="12"/>
            </w:pPr>
            <w:r>
              <w:t>20以上</w:t>
            </w:r>
          </w:p>
        </w:tc>
        <w:tc>
          <w:tcPr>
            <w:tcW w:w="2551" w:type="dxa"/>
            <w:vAlign w:val="center"/>
          </w:tcPr>
          <w:p>
            <w:pPr>
              <w:pStyle w:val="12"/>
            </w:pPr>
            <w:r>
              <w:t>≥20次</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10万元</w:t>
            </w:r>
          </w:p>
        </w:tc>
        <w:tc>
          <w:tcPr>
            <w:tcW w:w="2551" w:type="dxa"/>
            <w:vAlign w:val="center"/>
          </w:tcPr>
          <w:p>
            <w:pPr>
              <w:pStyle w:val="12"/>
            </w:pPr>
            <w:r>
              <w:t>10万</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突发负面舆情事件全部得到有效处置</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舆情工作正常运转</w:t>
            </w:r>
          </w:p>
        </w:tc>
        <w:tc>
          <w:tcPr>
            <w:tcW w:w="2835" w:type="dxa"/>
            <w:vAlign w:val="center"/>
          </w:tcPr>
          <w:p>
            <w:pPr>
              <w:pStyle w:val="12"/>
            </w:pPr>
            <w:r>
              <w:t>运转率100%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8、2022年网络舆情监测软件技术服务费绩效目标表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1.对我县进行网上舆情全年8760小时监测</w:t>
            </w:r>
          </w:p>
          <w:p>
            <w:pPr>
              <w:pStyle w:val="12"/>
            </w:pPr>
            <w:r>
              <w:t>2.7*24小时处置负面舆情</w:t>
            </w:r>
          </w:p>
          <w:p>
            <w:pPr>
              <w:pStyle w:val="12"/>
            </w:pPr>
            <w:r>
              <w:t>3.不发生舆情事故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监控系统数量</w:t>
            </w:r>
          </w:p>
        </w:tc>
        <w:tc>
          <w:tcPr>
            <w:tcW w:w="2835" w:type="dxa"/>
            <w:vAlign w:val="center"/>
          </w:tcPr>
          <w:p>
            <w:pPr>
              <w:pStyle w:val="12"/>
            </w:pPr>
            <w:r>
              <w:t>监控系统2个</w:t>
            </w:r>
          </w:p>
        </w:tc>
        <w:tc>
          <w:tcPr>
            <w:tcW w:w="2551" w:type="dxa"/>
            <w:vAlign w:val="center"/>
          </w:tcPr>
          <w:p>
            <w:pPr>
              <w:pStyle w:val="12"/>
            </w:pPr>
            <w:r>
              <w:t>2个</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监控覆盖率</w:t>
            </w:r>
          </w:p>
        </w:tc>
        <w:tc>
          <w:tcPr>
            <w:tcW w:w="2835" w:type="dxa"/>
            <w:vAlign w:val="center"/>
          </w:tcPr>
          <w:p>
            <w:pPr>
              <w:pStyle w:val="12"/>
            </w:pPr>
            <w:r>
              <w:t>监控率90%以上</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监控时间</w:t>
            </w:r>
          </w:p>
        </w:tc>
        <w:tc>
          <w:tcPr>
            <w:tcW w:w="2835" w:type="dxa"/>
            <w:vAlign w:val="center"/>
          </w:tcPr>
          <w:p>
            <w:pPr>
              <w:pStyle w:val="12"/>
            </w:pPr>
            <w:r>
              <w:t>全年监控8760小时以上</w:t>
            </w:r>
          </w:p>
        </w:tc>
        <w:tc>
          <w:tcPr>
            <w:tcW w:w="2551" w:type="dxa"/>
            <w:vAlign w:val="center"/>
          </w:tcPr>
          <w:p>
            <w:pPr>
              <w:pStyle w:val="12"/>
            </w:pPr>
            <w:r>
              <w:t>8760小时</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w:t>
            </w:r>
          </w:p>
        </w:tc>
        <w:tc>
          <w:tcPr>
            <w:tcW w:w="2835" w:type="dxa"/>
            <w:vAlign w:val="center"/>
          </w:tcPr>
          <w:p>
            <w:pPr>
              <w:pStyle w:val="12"/>
            </w:pPr>
            <w:r>
              <w:t>20万元</w:t>
            </w:r>
          </w:p>
        </w:tc>
        <w:tc>
          <w:tcPr>
            <w:tcW w:w="2551" w:type="dxa"/>
            <w:vAlign w:val="center"/>
          </w:tcPr>
          <w:p>
            <w:pPr>
              <w:pStyle w:val="12"/>
            </w:pPr>
            <w:r>
              <w:t>20万元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传播正能量</w:t>
            </w:r>
          </w:p>
        </w:tc>
        <w:tc>
          <w:tcPr>
            <w:tcW w:w="2835" w:type="dxa"/>
            <w:vAlign w:val="center"/>
          </w:tcPr>
          <w:p>
            <w:pPr>
              <w:pStyle w:val="12"/>
            </w:pPr>
            <w:r>
              <w:t>传播正能量</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突发事件处置完成率</w:t>
            </w:r>
          </w:p>
        </w:tc>
        <w:tc>
          <w:tcPr>
            <w:tcW w:w="2835" w:type="dxa"/>
            <w:vAlign w:val="center"/>
          </w:tcPr>
          <w:p>
            <w:pPr>
              <w:pStyle w:val="12"/>
            </w:pPr>
            <w:r>
              <w:t>突发事件处置完成率100%</w:t>
            </w:r>
          </w:p>
        </w:tc>
        <w:tc>
          <w:tcPr>
            <w:tcW w:w="2551" w:type="dxa"/>
            <w:vAlign w:val="center"/>
          </w:tcPr>
          <w:p>
            <w:pPr>
              <w:pStyle w:val="12"/>
            </w:pPr>
            <w:r>
              <w:t>100%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群众满意程度95%以上</w:t>
            </w:r>
          </w:p>
        </w:tc>
        <w:tc>
          <w:tcPr>
            <w:tcW w:w="2551" w:type="dxa"/>
            <w:vAlign w:val="center"/>
          </w:tcPr>
          <w:p>
            <w:pPr>
              <w:pStyle w:val="12"/>
            </w:pPr>
            <w:r>
              <w:t>≥95%</w:t>
            </w:r>
          </w:p>
        </w:tc>
        <w:tc>
          <w:tcPr>
            <w:tcW w:w="2268" w:type="dxa"/>
            <w:vAlign w:val="center"/>
          </w:tcPr>
          <w:p>
            <w:pPr>
              <w:pStyle w:val="12"/>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9、2022年舆情监测能力建设资金绩效目标表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1.对属地抖音快手今日头条微博信息进行监管</w:t>
            </w:r>
          </w:p>
          <w:p>
            <w:pPr>
              <w:pStyle w:val="12"/>
            </w:pPr>
            <w:r>
              <w:t>2.屏蔽负面信息</w:t>
            </w:r>
          </w:p>
          <w:p>
            <w:pPr>
              <w:pStyle w:val="12"/>
            </w:pPr>
            <w:r>
              <w:t>3.净化网上舆论环境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自动采集率</w:t>
            </w:r>
          </w:p>
        </w:tc>
        <w:tc>
          <w:tcPr>
            <w:tcW w:w="2835" w:type="dxa"/>
            <w:vAlign w:val="center"/>
          </w:tcPr>
          <w:p>
            <w:pPr>
              <w:pStyle w:val="12"/>
            </w:pPr>
            <w:r>
              <w:t>支持7*24小时采集</w:t>
            </w:r>
          </w:p>
        </w:tc>
        <w:tc>
          <w:tcPr>
            <w:tcW w:w="2551" w:type="dxa"/>
            <w:vAlign w:val="center"/>
          </w:tcPr>
          <w:p>
            <w:pPr>
              <w:pStyle w:val="12"/>
            </w:pPr>
            <w:r>
              <w:t>≥8760小时</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实现效果</w:t>
            </w:r>
          </w:p>
        </w:tc>
        <w:tc>
          <w:tcPr>
            <w:tcW w:w="2835" w:type="dxa"/>
            <w:vAlign w:val="center"/>
          </w:tcPr>
          <w:p>
            <w:pPr>
              <w:pStyle w:val="12"/>
            </w:pPr>
            <w:r>
              <w:t>属地抖音快手今日头条及内容信息监管和论坛贴吧沉贴锁帖系统经费</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≤85万元</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负面信息处置率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舆情处置</w:t>
            </w:r>
          </w:p>
        </w:tc>
        <w:tc>
          <w:tcPr>
            <w:tcW w:w="2835" w:type="dxa"/>
            <w:vAlign w:val="center"/>
          </w:tcPr>
          <w:p>
            <w:pPr>
              <w:pStyle w:val="12"/>
            </w:pPr>
            <w:r>
              <w:t>舆情处置工作效率</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网络生态环境</w:t>
            </w:r>
          </w:p>
        </w:tc>
        <w:tc>
          <w:tcPr>
            <w:tcW w:w="2835" w:type="dxa"/>
            <w:vAlign w:val="center"/>
          </w:tcPr>
          <w:p>
            <w:pPr>
              <w:pStyle w:val="12"/>
            </w:pPr>
            <w:r>
              <w:t>网络生态环境</w:t>
            </w:r>
          </w:p>
        </w:tc>
        <w:tc>
          <w:tcPr>
            <w:tcW w:w="2551" w:type="dxa"/>
            <w:vAlign w:val="center"/>
          </w:tcPr>
          <w:p>
            <w:pPr>
              <w:pStyle w:val="12"/>
            </w:pPr>
            <w:r>
              <w:t>≥95%</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≥95%</w:t>
            </w:r>
          </w:p>
        </w:tc>
        <w:tc>
          <w:tcPr>
            <w:tcW w:w="2268"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2022年，中共魏县县委网络安全和信息化委员会办公室本级安排政府采购预算0.00万元。具体内容见下表。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中共魏县县委网络安全和信息化委员会办公室本级上年末固定资产金额为8.85万元（详见下表）。本年度拟购置固定资产总额为0.00万元，已按要求列入政府采购预算，详见政府采购预算表。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224001中共魏县县委网络安全和信息化委员会办公室本级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pPr>
          </w:p>
        </w:tc>
        <w:tc>
          <w:tcPr>
            <w:tcW w:w="2835" w:type="dxa"/>
            <w:vAlign w:val="center"/>
          </w:tcPr>
          <w:p>
            <w:pPr>
              <w:pStyle w:val="13"/>
            </w:pPr>
            <w:r>
              <w:t>8.85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4458" w:leftChars="688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4458" w:leftChars="688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5570" cy="139700"/>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pt;mso-position-horizontal:right;mso-position-horizontal-relative:margin;mso-wrap-style:none;z-index:251659264;mso-width-relative:page;mso-height-relative:page;" filled="f" stroked="f" coordsize="21600,21600" o:gfxdata="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NRp6zwAAAAMBAAAPAAAAAAAAAAEAIAAAACIAAABkcnMvZG93&#10;bnJldi54bWxQSwECFAAUAAAACACHTuJAQq0QzwkCAAACBAAADgAAAAAAAAABACAAAAAeAQAAZHJz&#10;L2Uyb0RvYy54bWxQSwUGAAAAAAYABgBZAQAAm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YTQ0MGI4ZDA5NDFhOWYwZjkyNmUwOWE4OGZiMDEifQ=="/>
  </w:docVars>
  <w:rsids>
    <w:rsidRoot w:val="001950EF"/>
    <w:rsid w:val="001950EF"/>
    <w:rsid w:val="008261C6"/>
    <w:rsid w:val="00BC0C7D"/>
    <w:rsid w:val="00BD6E9A"/>
    <w:rsid w:val="00C91A45"/>
    <w:rsid w:val="0C9801C7"/>
    <w:rsid w:val="180B4D7E"/>
    <w:rsid w:val="43611364"/>
    <w:rsid w:val="4ACB1E2C"/>
    <w:rsid w:val="4F780D70"/>
    <w:rsid w:val="58FF18EE"/>
    <w:rsid w:val="735F30A6"/>
    <w:rsid w:val="75BB2A7B"/>
    <w:rsid w:val="7BF2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目录 11"/>
    <w:basedOn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7564</Words>
  <Characters>3221</Characters>
  <Lines>26</Lines>
  <Paragraphs>21</Paragraphs>
  <TotalTime>0</TotalTime>
  <ScaleCrop>false</ScaleCrop>
  <LinksUpToDate>false</LinksUpToDate>
  <CharactersWithSpaces>10764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2023-04-24T06:43:00Z</dcterms:created>
  <dc:creator>Administrator</dc:creator>
  <cp:lastModifiedBy>微信用户</cp:lastModifiedBy>
  <dcterms:modified xsi:type="dcterms:W3CDTF">2023-08-17T07:48:53Z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BC4435FB431A423084F48E889FE3ADAB</vt:lpwstr>
  </property>
</Properties>
</file>