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left="0" w:left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魏县农业农村局</w:t>
      </w:r>
    </w:p>
    <w:p>
      <w:pPr>
        <w:pStyle w:val="3"/>
        <w:keepNext w:val="0"/>
        <w:keepLines w:val="0"/>
        <w:pageBreakBefore w:val="0"/>
        <w:kinsoku/>
        <w:wordWrap/>
        <w:topLinePunct w:val="0"/>
        <w:bidi w:val="0"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2023年魏县省级农业招商引资奖补项目建设实施方案</w:t>
      </w:r>
    </w:p>
    <w:p>
      <w:pPr>
        <w:pStyle w:val="3"/>
        <w:keepNext w:val="0"/>
        <w:keepLines w:val="0"/>
        <w:pageBreakBefore w:val="0"/>
        <w:kinsoku/>
        <w:wordWrap/>
        <w:topLinePunct w:val="0"/>
        <w:bidi w:val="0"/>
        <w:snapToGrid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一、项目概况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根据河北省农业农村厅《2023年省级农业产业化发展项目实施方案》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val="en-US" w:eastAsia="zh-CN"/>
        </w:rPr>
        <w:t>2023年，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eastAsia="zh-CN"/>
        </w:rPr>
        <w:t>省级安排奖补资金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</w:rPr>
        <w:t>100万元，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 w:color="auto"/>
          <w:lang w:eastAsia="zh-CN"/>
        </w:rPr>
        <w:t>对</w:t>
      </w:r>
      <w:r>
        <w:rPr>
          <w:rFonts w:hint="eastAsia" w:ascii="仿宋_GB2312" w:hAnsi="仿宋_GB2312" w:eastAsia="仿宋_GB2312"/>
          <w:color w:val="auto"/>
          <w:sz w:val="32"/>
          <w:u w:val="none" w:color="auto"/>
          <w:lang w:val="en-US" w:eastAsia="zh-CN"/>
        </w:rPr>
        <w:t>符合条件（2022年度签约引资额2亿元以上且完成投资500万元的科技含量高、带动产业转型升级能力强、推动区域经济发展作用明显的招商引资项目）的重大招商引资项目进行奖补，支持魏县1个招商引资项目建设。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经专家论证，魏县农业农村局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党组会研究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确定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河北魏福现代食品有限公司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魏福绿色食品产业园项目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符合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奖补资金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主要用于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魏福绿色食品产业园项目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在202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年项目建设过程中产生的费用补助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包括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生产加工设施建设、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基础设施建设、生产加工设备</w:t>
      </w:r>
      <w:r>
        <w:rPr>
          <w:rFonts w:hint="default" w:ascii="仿宋_GB2312" w:hAns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及配套等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的费用。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二、绩效目标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 w:color="auto"/>
        </w:rPr>
        <w:t>通过实施项目奖补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 w:color="auto"/>
        </w:rPr>
        <w:t>充分激发企业投资热情，切实发挥财政资金杠杆作用，引导撬动社会资本投资招商项目建设，项目撬动社会资本投资不少于</w:t>
      </w:r>
      <w:r>
        <w:rPr>
          <w:rFonts w:hint="eastAsia" w:ascii="仿宋_GB2312" w:hAnsi="仿宋_GB2312" w:eastAsia="仿宋_GB2312" w:cs="楷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500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 w:color="auto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支持农业企业在我县投资建设农业项目，激发农业项目建设主体积极性，加快农业重点项目建设进度，促进农业重点项目和招商引资项目早落地早开工早投产，为农业高质量发展提供项目支撑，助力乡村振兴。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三、建设内容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（一）承担主体：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河北魏福现代食品有限公司。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（二）实施地点：</w:t>
      </w:r>
      <w:r>
        <w:rPr>
          <w:rFonts w:hint="eastAsia" w:ascii="仿宋" w:hAnsi="仿宋" w:eastAsia="仿宋"/>
          <w:sz w:val="32"/>
          <w:szCs w:val="32"/>
          <w:lang w:eastAsia="zh-CN"/>
        </w:rPr>
        <w:t>魏县</w:t>
      </w:r>
      <w:r>
        <w:rPr>
          <w:rFonts w:hint="eastAsia" w:ascii="仿宋" w:hAnsi="仿宋" w:eastAsia="仿宋"/>
          <w:sz w:val="32"/>
          <w:szCs w:val="32"/>
        </w:rPr>
        <w:t>农业园区长安大道南段路东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楷体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（三）建设内容：</w:t>
      </w:r>
      <w:r>
        <w:rPr>
          <w:rFonts w:hint="eastAsia" w:ascii="仿宋_GB2312" w:hAnsi="仿宋_GB2312" w:eastAsia="仿宋_GB2312" w:cs="楷体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450机械手米饭线设备、消防配套工程及设备、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 w:color="auto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检测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 w:color="auto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实验室设备、锅炉设备、水处理设备、压缩机设备等。且</w:t>
      </w:r>
      <w:r>
        <w:rPr>
          <w:rFonts w:hint="eastAsia" w:ascii="仿宋_GB2312" w:hAnsi="仿宋_GB2312" w:eastAsia="仿宋_GB2312" w:cs="楷体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符合《河北省2022年农业产业化发展项目实施方案》的相关要求。以上项目投资完成额超过5</w:t>
      </w:r>
      <w:r>
        <w:rPr>
          <w:rFonts w:hint="default" w:ascii="仿宋_GB2312" w:hAnsi="仿宋_GB2312" w:eastAsia="仿宋_GB2312" w:cs="楷体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楷体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万元以上。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资金使用和进度安排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楷体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（一）支持方向。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u w:val="none" w:color="auto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u w:val="none" w:color="auto"/>
          <w:lang w:eastAsia="zh-CN"/>
          <w14:textFill>
            <w14:solidFill>
              <w14:schemeClr w14:val="tx1"/>
            </w14:solidFill>
          </w14:textFill>
        </w:rPr>
        <w:t>安排奖补资金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highlight w:val="none"/>
          <w:u w:val="none" w:color="auto"/>
          <w14:textFill>
            <w14:solidFill>
              <w14:schemeClr w14:val="tx1"/>
            </w14:solidFill>
          </w14:textFill>
        </w:rPr>
        <w:t>100万元，</w:t>
      </w:r>
      <w:r>
        <w:rPr>
          <w:rFonts w:hint="eastAsia" w:ascii="仿宋_GB2312" w:hAnsi="仿宋_GB2312" w:eastAsia="仿宋_GB2312" w:cs="楷体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撬动资金投入500万元以上。按照先建后补的原则，支持魏福绿色食品产业园项目建设。建设内容包括：450机械手米饭线设备、消防配套工程及设备、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 w:color="auto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检测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w w:val="100"/>
          <w:kern w:val="2"/>
          <w:sz w:val="32"/>
          <w:szCs w:val="32"/>
          <w:highlight w:val="none"/>
          <w:u w:val="none" w:color="auto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实验室设备、锅炉设备、水处理设备、压缩机设备等。且</w:t>
      </w:r>
      <w:r>
        <w:rPr>
          <w:rFonts w:hint="eastAsia" w:ascii="仿宋_GB2312" w:hAnsi="仿宋_GB2312" w:eastAsia="仿宋_GB2312" w:cs="楷体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符合《河北省2022年农业产业化发展项目实施方案》的相关要求。以上项目投资完成额超过5</w:t>
      </w:r>
      <w:r>
        <w:rPr>
          <w:rFonts w:hint="default" w:ascii="仿宋_GB2312" w:hAnsi="仿宋_GB2312" w:eastAsia="仿宋_GB2312" w:cs="楷体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楷体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万元以上。</w:t>
      </w:r>
    </w:p>
    <w:p>
      <w:pPr>
        <w:pStyle w:val="5"/>
        <w:rPr>
          <w:rFonts w:hint="eastAsia" w:ascii="仿宋_GB2312" w:hAnsi="仿宋_GB2312" w:eastAsia="仿宋_GB2312" w:cs="楷体"/>
          <w:b w:val="0"/>
          <w:bCs w:val="0"/>
          <w:color w:val="000000" w:themeColor="text1"/>
          <w:kern w:val="0"/>
          <w:sz w:val="32"/>
          <w:szCs w:val="32"/>
          <w:highlight w:val="none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（二）实施进度。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制定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实施方案，上报市农业农村部门审批备案;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待批复后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,开展项目培训、建设、验收、2023年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月30前完成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Calibri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审计验收。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2023年度，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该项目完成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投资500万元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河北魏福现代食品有限公司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可以提出验收申请。经有资质的会计师事务所审计后，出具专项审计报告。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县农业农村局成立专门验收机构，对整个工程质量、资金使用和落实进行审计验收，严格执行资金使用计划，对发现问题限时整改，整改不到位的对相关责任人予以追责。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验收合格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之后拨付项目奖补资金100万元。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Toc30348"/>
      <w:bookmarkStart w:id="1" w:name="_Toc267"/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bookmarkEnd w:id="0"/>
      <w:bookmarkEnd w:id="1"/>
      <w:r>
        <w:rPr>
          <w:rFonts w:hint="eastAsia" w:ascii="黑体" w:hAnsi="黑体" w:eastAsia="黑体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立魏县农业农村局党组书记（局长）蒿要领同志任组长、房志勇同志为副组长，相关科室主要负责人为成员的领导小组，明确任务分工，统筹协调推进落实。领导小组定期进行项目调度，及时分析处理项目实施过程中的问题困难，确保在规定的时间内高标准完成所有目标任务，确保项目实施有成效，资金使用效益充分发挥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（二）强化项目管理。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魏县农业农村局负责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项目实施方案制定、组织实施、督导检查、验收总结、资金拨付和绩效考核等工作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。在项目实施过程中做好各阶段信息填报工作，及时填报项目执行情况和资金使用情况等内容。魏县农业农村局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建立健全项目工作档案，及时将有关文件、工作总结、绩效考核报告等立案归档，形成完整、齐全的项目实施档案。项目完成后及时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将备案材料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报市农业农村局备案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（三）规范资金管理。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严格按照国家有关规定和项目实施方案内容使用资金，切实加强资金监管，发现问题及时纠正，确保资金使用安全高效，严禁截留、挪用和超范围支出，做到专款专用。对虚报冒领、骗取套取、挤占、截留、挪用项目资金等违法违纪行为，按照国家有关规定追究有关单位和人员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指导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河北魏福现代食品有限公司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项目建设单位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建立项目资金使用台账，做到有章可循、有据可查。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（四）严肃工作纪</w:t>
      </w:r>
      <w:bookmarkStart w:id="2" w:name="_GoBack"/>
      <w:bookmarkEnd w:id="2"/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律。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河北魏福现代食品有限公司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（项目建设主体）对申报材料的真实性负责并落实保障安全生产主体责任，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县农业农村部门对申报材料的真实性、有效性、合规性进行审核确认。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农业农村局严格按照实施方案进行认真审核，必要时就申报主体情况向有关部门进行核实，确保提供材料完整真实。对项目申报主体有以下行为的，列入黑名单，取消其申报资格，而且三年内不得申报农业产业化项目：一是提供虚假情况、证明资料的；二是拒不提供有关证明资料的；三是对有关证明资料进行涂改、毁损的；四是被举报或投诉反映申报项目虚假并经证实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eastAsia"/>
          <w:lang w:val="zh-CN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（五）做好宣传总结。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及时总结试点经验，树立示范典型，开展经验交流。充分发挥电视、网络、报纸和广播等现代主流媒体的作用，加大对本项目重大意义、先进典型的宣传与示范，营造良好的社会舆论氛围。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2RjYjY4MzJhYzQ3MWM4MmVhODQ1MGJkOTkwMTcifQ=="/>
  </w:docVars>
  <w:rsids>
    <w:rsidRoot w:val="00000000"/>
    <w:rsid w:val="656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3">
    <w:name w:val="index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paragraph" w:customStyle="1" w:styleId="8">
    <w:name w:val="无间隔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1886</Words>
  <Characters>1940</Characters>
  <Lines>0</Lines>
  <Paragraphs>0</Paragraphs>
  <TotalTime>0</TotalTime>
  <ScaleCrop>false</ScaleCrop>
  <LinksUpToDate>false</LinksUpToDate>
  <CharactersWithSpaces>1943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2023-04-07T06:51:00Z</dcterms:created>
  <dc:creator>Administrator</dc:creator>
  <cp:lastModifiedBy>顺风顺水</cp:lastModifiedBy>
  <dcterms:modified xsi:type="dcterms:W3CDTF">2023-04-07T06:51:51Z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9E7D7A88ECD94E649286368335720625_12</vt:lpwstr>
  </property>
</Properties>
</file>