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after="31" w:afterLines="10" w:line="640" w:lineRule="exact"/>
        <w:jc w:val="center"/>
        <w:rPr>
          <w:rFonts w:eastAsia="仿宋_GB2312"/>
          <w:sz w:val="32"/>
          <w:szCs w:val="32"/>
        </w:rPr>
      </w:pPr>
      <w:r>
        <w:rPr>
          <w:rFonts w:hint="eastAsia" w:eastAsia="仿宋_GB2312"/>
          <w:sz w:val="32"/>
          <w:szCs w:val="32"/>
        </w:rPr>
        <w:t xml:space="preserve"> </w:t>
      </w: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p>
    <w:p>
      <w:pPr>
        <w:keepNext w:val="0"/>
        <w:keepLines w:val="0"/>
        <w:pageBreakBefore w:val="0"/>
        <w:widowControl w:val="0"/>
        <w:kinsoku/>
        <w:wordWrap/>
        <w:overflowPunct/>
        <w:topLinePunct w:val="0"/>
        <w:bidi w:val="0"/>
        <w:spacing w:after="31" w:afterLines="10" w:line="640" w:lineRule="exact"/>
        <w:jc w:val="both"/>
        <w:rPr>
          <w:rFonts w:eastAsia="仿宋_GB2312"/>
          <w:b/>
          <w:bCs/>
          <w:sz w:val="32"/>
          <w:szCs w:val="32"/>
        </w:rPr>
      </w:pPr>
      <w:bookmarkStart w:id="0" w:name="_GoBack"/>
      <w:bookmarkEnd w:id="0"/>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p>
    <w:p>
      <w:pPr>
        <w:keepNext w:val="0"/>
        <w:keepLines w:val="0"/>
        <w:pageBreakBefore w:val="0"/>
        <w:widowControl w:val="0"/>
        <w:kinsoku/>
        <w:wordWrap/>
        <w:overflowPunct/>
        <w:topLinePunct w:val="0"/>
        <w:bidi w:val="0"/>
        <w:spacing w:after="31" w:afterLines="10" w:line="640" w:lineRule="exact"/>
        <w:jc w:val="center"/>
        <w:rPr>
          <w:rFonts w:eastAsia="仿宋_GB2312"/>
          <w:b/>
          <w:bCs/>
          <w:sz w:val="32"/>
          <w:szCs w:val="32"/>
        </w:rPr>
      </w:pPr>
      <w:r>
        <w:rPr>
          <w:rFonts w:eastAsia="仿宋_GB2312"/>
          <w:b/>
          <w:bCs/>
          <w:sz w:val="32"/>
          <w:szCs w:val="32"/>
        </w:rPr>
        <w:t>魏审批环书〔202</w:t>
      </w:r>
      <w:r>
        <w:rPr>
          <w:rFonts w:hint="eastAsia" w:eastAsia="仿宋_GB2312"/>
          <w:b/>
          <w:bCs/>
          <w:sz w:val="32"/>
          <w:szCs w:val="32"/>
          <w:lang w:val="en-US" w:eastAsia="zh-CN"/>
        </w:rPr>
        <w:t>2</w:t>
      </w:r>
      <w:r>
        <w:rPr>
          <w:rFonts w:eastAsia="仿宋_GB2312"/>
          <w:b/>
          <w:bCs/>
          <w:sz w:val="32"/>
          <w:szCs w:val="32"/>
        </w:rPr>
        <w:t>〕</w:t>
      </w:r>
      <w:r>
        <w:rPr>
          <w:rFonts w:hint="eastAsia" w:eastAsia="仿宋_GB2312"/>
          <w:b/>
          <w:bCs/>
          <w:color w:val="auto"/>
          <w:sz w:val="32"/>
          <w:szCs w:val="32"/>
        </w:rPr>
        <w:t>0</w:t>
      </w:r>
      <w:r>
        <w:rPr>
          <w:rFonts w:hint="eastAsia" w:eastAsia="仿宋_GB2312"/>
          <w:b/>
          <w:bCs/>
          <w:color w:val="auto"/>
          <w:sz w:val="32"/>
          <w:szCs w:val="32"/>
          <w:lang w:val="en-US" w:eastAsia="zh-CN"/>
        </w:rPr>
        <w:t>1</w:t>
      </w:r>
      <w:r>
        <w:rPr>
          <w:rFonts w:eastAsia="仿宋_GB2312"/>
          <w:b/>
          <w:bCs/>
          <w:sz w:val="32"/>
          <w:szCs w:val="32"/>
        </w:rPr>
        <w:t>号</w:t>
      </w:r>
    </w:p>
    <w:p>
      <w:pPr>
        <w:keepNext w:val="0"/>
        <w:keepLines w:val="0"/>
        <w:pageBreakBefore w:val="0"/>
        <w:widowControl w:val="0"/>
        <w:kinsoku/>
        <w:wordWrap/>
        <w:overflowPunct/>
        <w:topLinePunct w:val="0"/>
        <w:bidi w:val="0"/>
        <w:spacing w:line="640" w:lineRule="exact"/>
        <w:rPr>
          <w:rFonts w:eastAsia="仿宋_GB2312"/>
          <w:sz w:val="32"/>
          <w:szCs w:val="32"/>
        </w:rPr>
      </w:pPr>
      <w:r>
        <w:rPr>
          <w:sz w:val="32"/>
        </w:rPr>
        <w:pict>
          <v:line id="_x0000_s1026" o:spid="_x0000_s1026" o:spt="20" style="position:absolute;left:0pt;margin-left:1.35pt;margin-top:10.95pt;height:0.05pt;width:441pt;z-index:251659264;mso-width-relative:page;mso-height-relative:page;" stroked="t" coordsize="21600,21600" o:gfxdata="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NpE1QAAAAcBAAAPAAAA&#10;AAAAAAEAIAAAACIAAABkcnMvZG93bnJldi54bWxQSwECFAAUAAAACACHTuJAOFqzbN8BAACZAwAA&#10;DgAAAAAAAAABACAAAAAkAQAAZHJzL2Uyb0RvYy54bWxQSwUGAAAAAAYABgBZAQAAdQUAAAAA&#10;">
            <v:path arrowok="t"/>
            <v:fill focussize="0,0"/>
            <v:stroke weight="1.25pt" color="#FFFFFF"/>
            <v:imagedata o:title=""/>
            <o:lock v:ext="edit"/>
          </v:line>
        </w:pict>
      </w:r>
    </w:p>
    <w:p>
      <w:pPr>
        <w:keepNext w:val="0"/>
        <w:keepLines w:val="0"/>
        <w:pageBreakBefore w:val="0"/>
        <w:widowControl w:val="0"/>
        <w:kinsoku/>
        <w:wordWrap/>
        <w:overflowPunct/>
        <w:topLinePunct w:val="0"/>
        <w:bidi w:val="0"/>
        <w:spacing w:line="64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魏县行政审批局</w:t>
      </w:r>
    </w:p>
    <w:p>
      <w:pPr>
        <w:spacing w:line="560" w:lineRule="exact"/>
        <w:jc w:val="both"/>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关于魏县绿环循环经济产业园有限公司2000吨污水处理站改扩建项目环境影响报告书的批复</w:t>
      </w:r>
    </w:p>
    <w:p>
      <w:pPr>
        <w:keepNext w:val="0"/>
        <w:keepLines w:val="0"/>
        <w:pageBreakBefore w:val="0"/>
        <w:widowControl w:val="0"/>
        <w:kinsoku/>
        <w:wordWrap/>
        <w:overflowPunct/>
        <w:topLinePunct w:val="0"/>
        <w:bidi w:val="0"/>
        <w:spacing w:line="640" w:lineRule="exact"/>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魏县绿环循环经济产业园有限公司：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你公司所报《魏县绿环循环经济产业园有限公司2000吨污水处理站改扩建项目环境影响报告</w:t>
      </w:r>
      <w:r>
        <w:rPr>
          <w:rFonts w:hint="eastAsia" w:ascii="仿宋" w:hAnsi="仿宋" w:eastAsia="仿宋" w:cs="仿宋"/>
          <w:sz w:val="30"/>
          <w:szCs w:val="30"/>
          <w:lang w:eastAsia="zh-CN"/>
        </w:rPr>
        <w:t>书</w:t>
      </w:r>
      <w:r>
        <w:rPr>
          <w:rFonts w:hint="eastAsia" w:ascii="仿宋" w:hAnsi="仿宋" w:eastAsia="仿宋" w:cs="仿宋"/>
          <w:sz w:val="30"/>
          <w:szCs w:val="30"/>
        </w:rPr>
        <w:t>》及公众参与材料收悉，经研究，现批复如下：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一、项目建设主要内容和总体要求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该项目位于魏县张二庄镇循环经济产业园区内，魏县绿环循环经济产业园有限公司现有厂区内，</w:t>
      </w:r>
      <w:r>
        <w:rPr>
          <w:rFonts w:hint="eastAsia" w:ascii="仿宋" w:hAnsi="仿宋" w:eastAsia="仿宋" w:cs="仿宋"/>
          <w:sz w:val="30"/>
          <w:szCs w:val="30"/>
          <w:lang w:val="zh-CN"/>
        </w:rPr>
        <w:t>扩建项目中心地理坐标为东经114°57'5.251"，北纬36°6'40.705"。总投资2883.94万元，属于环境保护工程，项目投资均属环保投资，即环保投资占总投资的100%。</w:t>
      </w:r>
      <w:r>
        <w:rPr>
          <w:rFonts w:hint="eastAsia" w:ascii="仿宋" w:hAnsi="仿宋" w:eastAsia="仿宋" w:cs="仿宋"/>
          <w:sz w:val="30"/>
          <w:szCs w:val="30"/>
        </w:rPr>
        <w:t>项目在魏县绿环循环经济产业园有限公司现有厂区内进行建设，占地面积4680</w:t>
      </w:r>
      <w:r>
        <w:rPr>
          <w:rFonts w:hint="eastAsia" w:ascii="仿宋" w:hAnsi="仿宋" w:eastAsia="仿宋" w:cs="仿宋"/>
          <w:sz w:val="30"/>
          <w:szCs w:val="30"/>
          <w:lang w:eastAsia="zh-CN"/>
        </w:rPr>
        <w:t>㎡</w:t>
      </w:r>
      <w:r>
        <w:rPr>
          <w:rFonts w:hint="eastAsia" w:ascii="仿宋" w:hAnsi="仿宋" w:eastAsia="仿宋" w:cs="仿宋"/>
          <w:sz w:val="30"/>
          <w:szCs w:val="30"/>
        </w:rPr>
        <w:t>。项目污水处理站设计规模为2000m³/d，采用“格栅+调节+气浮+预处理混凝沉淀+水解酸化+A2/O+二沉池+深度处理混凝沉淀+臭氧消毒”的处理工艺。建设内容主要包括调节池、一体化气浮装置、预处理混合反应池、预处理混凝沉淀池、水解酸化池、A2/O池、二沉池、深度处理混凝沉淀池、臭氧消毒池、出水泵房、污泥浓缩池、污泥调理池、脱水机房、废水池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在项目符合产业政策、选址符合规划等前提下，我局认为从环境影响角度分析项目可行。你</w:t>
      </w:r>
      <w:r>
        <w:rPr>
          <w:rFonts w:hint="eastAsia" w:ascii="仿宋" w:hAnsi="仿宋" w:eastAsia="仿宋" w:cs="仿宋"/>
          <w:sz w:val="30"/>
          <w:szCs w:val="30"/>
          <w:lang w:eastAsia="zh-CN"/>
        </w:rPr>
        <w:t>公司</w:t>
      </w:r>
      <w:r>
        <w:rPr>
          <w:rFonts w:hint="eastAsia" w:ascii="仿宋" w:hAnsi="仿宋" w:eastAsia="仿宋" w:cs="仿宋"/>
          <w:sz w:val="30"/>
          <w:szCs w:val="30"/>
        </w:rPr>
        <w:t>须严格按照环评文件中规定的性质、规模、原辅料、设备、地点、采用的工艺和防止污染措施进行建设生产并严格落实到位。经批准后，建设项目的性质、规模、地点、采用的生产工艺或者防治污染、防止生态破坏的措施发生重大变动的，你</w:t>
      </w:r>
      <w:r>
        <w:rPr>
          <w:rFonts w:hint="eastAsia" w:ascii="仿宋" w:hAnsi="仿宋" w:eastAsia="仿宋" w:cs="仿宋"/>
          <w:sz w:val="30"/>
          <w:szCs w:val="30"/>
          <w:lang w:eastAsia="zh-CN"/>
        </w:rPr>
        <w:t>公司</w:t>
      </w:r>
      <w:r>
        <w:rPr>
          <w:rFonts w:hint="eastAsia" w:ascii="仿宋" w:hAnsi="仿宋" w:eastAsia="仿宋" w:cs="仿宋"/>
          <w:sz w:val="30"/>
          <w:szCs w:val="30"/>
        </w:rPr>
        <w:t>需重新报批建设项目环评文件。自批复之日起5年</w:t>
      </w:r>
      <w:r>
        <w:rPr>
          <w:rFonts w:hint="eastAsia" w:ascii="仿宋" w:hAnsi="仿宋" w:eastAsia="仿宋" w:cs="仿宋"/>
          <w:sz w:val="30"/>
          <w:szCs w:val="30"/>
          <w:lang w:eastAsia="zh-CN"/>
        </w:rPr>
        <w:t>内未</w:t>
      </w:r>
      <w:r>
        <w:rPr>
          <w:rFonts w:hint="eastAsia" w:ascii="仿宋" w:hAnsi="仿宋" w:eastAsia="仿宋" w:cs="仿宋"/>
          <w:sz w:val="30"/>
          <w:szCs w:val="30"/>
        </w:rPr>
        <w:t>开工建设的，需将环评文件应当报我局重新审核。在项目建设、运行过程中产生不符合经审批的环境影响评价文件的情形的，建设单位应当组织环境影响的后评价，采取改进措施，并报原环境影响评价文件审批部门和建设项目审批部门备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二、项目建设及运营期中应重点做好以下工作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（一）加强风险防范管理</w:t>
      </w:r>
      <w:r>
        <w:rPr>
          <w:rFonts w:hint="eastAsia" w:ascii="仿宋" w:hAnsi="仿宋" w:eastAsia="仿宋" w:cs="仿宋"/>
          <w:sz w:val="30"/>
          <w:szCs w:val="30"/>
          <w:lang w:eastAsia="zh-CN"/>
        </w:rPr>
        <w:t>。</w:t>
      </w:r>
      <w:r>
        <w:rPr>
          <w:rFonts w:hint="eastAsia" w:ascii="仿宋" w:hAnsi="仿宋" w:eastAsia="仿宋" w:cs="仿宋"/>
          <w:sz w:val="30"/>
          <w:szCs w:val="30"/>
        </w:rPr>
        <w:t>项目建设和运行过程中要认真落实报告书提出的各项污染防治和风险防范措施，加强环保和风险防范设施管理，确保项目在建设期间和建成运营期间各项污染物稳定达标排放。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（二）加强施工期管理</w:t>
      </w:r>
      <w:r>
        <w:rPr>
          <w:rFonts w:hint="eastAsia" w:ascii="仿宋" w:hAnsi="仿宋" w:eastAsia="仿宋" w:cs="仿宋"/>
          <w:sz w:val="30"/>
          <w:szCs w:val="30"/>
          <w:lang w:eastAsia="zh-CN"/>
        </w:rPr>
        <w:t>。</w:t>
      </w:r>
      <w:r>
        <w:rPr>
          <w:rFonts w:hint="eastAsia" w:ascii="仿宋" w:hAnsi="仿宋" w:eastAsia="仿宋" w:cs="仿宋"/>
          <w:sz w:val="30"/>
          <w:szCs w:val="30"/>
        </w:rPr>
        <w:t>严格落实报告书中有关施工期污染物防治措施，确保落实到位。合理安排施工进度，缩短施工期，大风天气禁止施工，施工场地洒水降尘，选用低噪声设备、规范设备操作、设备定期维护、合理安排时间（夜间禁止施工）、加强施工管理，有效控制施工粉尘，妥善处理施工废水、废土、废渣和固投废物，防止施工废水、扬尘、固废、噪声等污染环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（三）加强项目运营期管理。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本项目废气污染源主要为污水及污泥处理工程产生的恶臭气体。采用离子除臭系统进行除臭处理，对主要的产臭单元进行密闭，将废气集中收集后通过管道引入离子除臭系统，经处理达标后，由15m高排气筒排放。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本项目营运期废水</w:t>
      </w:r>
      <w:r>
        <w:rPr>
          <w:rFonts w:hint="eastAsia" w:ascii="仿宋" w:hAnsi="仿宋" w:eastAsia="仿宋" w:cs="仿宋"/>
          <w:sz w:val="30"/>
          <w:szCs w:val="30"/>
          <w:lang w:eastAsia="zh-CN"/>
        </w:rPr>
        <w:t>主要为</w:t>
      </w:r>
      <w:r>
        <w:rPr>
          <w:rFonts w:hint="eastAsia" w:ascii="仿宋" w:hAnsi="仿宋" w:eastAsia="仿宋" w:cs="仿宋"/>
          <w:sz w:val="30"/>
          <w:szCs w:val="30"/>
        </w:rPr>
        <w:t>园区内企业工业废水和职工生活污水</w:t>
      </w:r>
      <w:r>
        <w:rPr>
          <w:rFonts w:hint="eastAsia" w:ascii="仿宋" w:hAnsi="仿宋" w:eastAsia="仿宋" w:cs="仿宋"/>
          <w:sz w:val="30"/>
          <w:szCs w:val="30"/>
          <w:lang w:eastAsia="zh-CN"/>
        </w:rPr>
        <w:t>。</w:t>
      </w:r>
      <w:r>
        <w:rPr>
          <w:rFonts w:hint="eastAsia" w:ascii="仿宋" w:hAnsi="仿宋" w:eastAsia="仿宋" w:cs="仿宋"/>
          <w:sz w:val="30"/>
          <w:szCs w:val="30"/>
        </w:rPr>
        <w:t>项目建设污水处理站1座，</w:t>
      </w:r>
      <w:r>
        <w:rPr>
          <w:rFonts w:hint="eastAsia" w:ascii="仿宋" w:hAnsi="仿宋" w:eastAsia="仿宋" w:cs="仿宋"/>
          <w:sz w:val="30"/>
          <w:szCs w:val="30"/>
          <w:lang w:eastAsia="zh-CN"/>
        </w:rPr>
        <w:t>采用</w:t>
      </w:r>
      <w:r>
        <w:rPr>
          <w:rFonts w:hint="eastAsia" w:ascii="仿宋" w:hAnsi="仿宋" w:eastAsia="仿宋" w:cs="仿宋"/>
          <w:sz w:val="30"/>
          <w:szCs w:val="30"/>
        </w:rPr>
        <w:t>预处理工艺以气浮+混凝沉淀+水解酸化为主，生化处理工艺采用厌氧-缺氧-好氧工艺，深度处理采用混凝沉淀，消毒方式为臭氧消毒，满足《城市污水再生利用工业用水水质》（GB/T 19923-2005）中表1再生水用作工业用水水源的水质标准。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本项目营运期噪声主要为泵类、搅拌机、空压机、螺旋输送机、风机等。工程所用设备尽可能采用低噪声设备；各产噪设备均布置于设备间内，并且泵类为半地下布置或潜水方式；在鼓风机进、出口安装消音器，在风机底部安装减振基座，将风机布置于独立操作间内；加强厂区绿化。采取上述噪声防治措施，满足《工业企业厂界环境噪声排放标准》（GB12348-2008）4类标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本项目固体废物主要</w:t>
      </w:r>
      <w:r>
        <w:rPr>
          <w:rFonts w:hint="eastAsia" w:ascii="仿宋" w:hAnsi="仿宋" w:eastAsia="仿宋" w:cs="仿宋"/>
          <w:sz w:val="30"/>
          <w:szCs w:val="30"/>
          <w:lang w:eastAsia="zh-CN"/>
        </w:rPr>
        <w:t>为</w:t>
      </w:r>
      <w:r>
        <w:rPr>
          <w:rFonts w:hint="eastAsia" w:ascii="仿宋" w:hAnsi="仿宋" w:eastAsia="仿宋" w:cs="仿宋"/>
          <w:sz w:val="30"/>
          <w:szCs w:val="30"/>
        </w:rPr>
        <w:t>污水处理系统产生的栅渣、泥饼，化验及在线监测废液、废含汞灯管和职工生活垃圾</w:t>
      </w:r>
      <w:r>
        <w:rPr>
          <w:rFonts w:hint="eastAsia" w:ascii="仿宋" w:hAnsi="仿宋" w:eastAsia="仿宋" w:cs="仿宋"/>
          <w:sz w:val="30"/>
          <w:szCs w:val="30"/>
          <w:lang w:eastAsia="zh-CN"/>
        </w:rPr>
        <w:t>。</w:t>
      </w:r>
      <w:r>
        <w:rPr>
          <w:rFonts w:hint="eastAsia" w:ascii="仿宋" w:hAnsi="仿宋" w:eastAsia="仿宋" w:cs="仿宋"/>
          <w:sz w:val="30"/>
          <w:szCs w:val="30"/>
        </w:rPr>
        <w:t>栅渣主要含有塑料、纤维、茶叶、纸屑</w:t>
      </w:r>
      <w:r>
        <w:rPr>
          <w:rFonts w:hint="eastAsia" w:ascii="仿宋" w:hAnsi="仿宋" w:eastAsia="仿宋" w:cs="仿宋"/>
          <w:sz w:val="30"/>
          <w:szCs w:val="30"/>
          <w:lang w:eastAsia="zh-CN"/>
        </w:rPr>
        <w:t>，</w:t>
      </w:r>
      <w:r>
        <w:rPr>
          <w:rFonts w:hint="eastAsia" w:ascii="仿宋" w:hAnsi="仿宋" w:eastAsia="仿宋" w:cs="仿宋"/>
          <w:sz w:val="30"/>
          <w:szCs w:val="30"/>
        </w:rPr>
        <w:t>定期运至垃圾填埋场填埋。处理池产生的污泥经密闭管道泵送至污泥浓缩池内储存浓缩，浓缩后的污泥通过泵提升至污泥调理池，并往污泥调理池中投加CaO，调理后的污泥再用泵打入现有压滤机中进行机械脱水</w:t>
      </w:r>
      <w:r>
        <w:rPr>
          <w:rFonts w:hint="eastAsia" w:ascii="仿宋" w:hAnsi="仿宋" w:eastAsia="仿宋" w:cs="仿宋"/>
          <w:sz w:val="30"/>
          <w:szCs w:val="30"/>
          <w:lang w:eastAsia="zh-CN"/>
        </w:rPr>
        <w:t>。</w:t>
      </w:r>
      <w:r>
        <w:rPr>
          <w:rFonts w:hint="eastAsia" w:ascii="仿宋" w:hAnsi="仿宋" w:eastAsia="仿宋" w:cs="仿宋"/>
          <w:sz w:val="30"/>
          <w:szCs w:val="30"/>
        </w:rPr>
        <w:t>项目污水处理站投入运营后，企业应委托有资质单位对污泥进行检测，若污泥鉴别为危险废物，应作为危险废物，暂存危废间，定期交有资质单位进行处理，否则作为一般固废，暂存于脱水机房，定期运至垃圾填埋场填埋。化验及在线监测废液和废含汞灯管收集后暂存于危废间，定期委托有资质单位处理。职工生活垃圾收集后由环卫部门统一处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（四）要严格落实环评文件中有关环境风险控制防范和清洁生产的要求，要制定有针对性事故风险应急预案，定期组织应急培训和演练，认真落实风险防范措施，有效防范和应对环境风险。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（五）本项目重点污染物排放总量控制指标为：COD：</w:t>
      </w:r>
      <w:r>
        <w:rPr>
          <w:rFonts w:hint="eastAsia" w:ascii="仿宋" w:hAnsi="仿宋" w:eastAsia="仿宋" w:cs="仿宋"/>
          <w:sz w:val="30"/>
          <w:szCs w:val="30"/>
          <w:lang w:val="en-US" w:eastAsia="zh-CN"/>
        </w:rPr>
        <w:t>0</w:t>
      </w:r>
      <w:r>
        <w:rPr>
          <w:rFonts w:hint="eastAsia" w:ascii="仿宋" w:hAnsi="仿宋" w:eastAsia="仿宋" w:cs="仿宋"/>
          <w:sz w:val="30"/>
          <w:szCs w:val="30"/>
        </w:rPr>
        <w:t>t/a；氨氮：0t/a；SO2：0t/a；NOx：0t/a。</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制定本项目环境监测方案并严格落实，及时跟踪本项目污染物对环境的影响，定期向公众公布相关环保信息和监测结果。在施工和运行过程中，应建立畅通的公众参与平台，及时解决公众担忧的环境问题，满足公众合理的环境诉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0"/>
        <w:rPr>
          <w:rFonts w:hint="eastAsia" w:ascii="黑体" w:hAnsi="黑体" w:eastAsia="黑体" w:cs="黑体"/>
          <w:sz w:val="30"/>
          <w:szCs w:val="30"/>
        </w:rPr>
      </w:pPr>
      <w:r>
        <w:rPr>
          <w:rFonts w:hint="eastAsia" w:ascii="黑体" w:hAnsi="黑体" w:eastAsia="黑体" w:cs="黑体"/>
          <w:sz w:val="30"/>
          <w:szCs w:val="30"/>
        </w:rPr>
        <w:t>三、严格落实各项建设项目环境管理要求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按照《建设项目环境保护管理条例》（2017年7月16日《国务院关于修改〈建设项目环境保护管理条例〉的决定》修订），项目建设必须严格执行配套建设的环境保护设施与主体工程同时设计、同时施工、同时投产用的环境保护“三同时”制度。项目竣工后须按相关规定申请排污许可证、环保竣工验收。取得排污许可证、环保验收合格后，方可正式投入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二）按照关于印发《建设项目环境保护事中事后监督管理办法（试行）》（环发﹝2015﹞163号）及其他文件要求，本项目环保方面的事中事后监督管理由邯郸市生态环境局魏县分局负责。你单位在接到本批复后5个工作日内，将批准后的环评文件及批复文件送邯郸市生态环境局魏县分局，并按规定接受各级环境保护行政主管部门的日常监督管理。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（三）本批复仅代表环评方面意见，按照法律规定，项目开工建设和投产使用还需土地、规划等其他方面手续，请你</w:t>
      </w:r>
      <w:r>
        <w:rPr>
          <w:rFonts w:hint="eastAsia" w:ascii="仿宋" w:hAnsi="仿宋" w:eastAsia="仿宋" w:cs="仿宋"/>
          <w:sz w:val="30"/>
          <w:szCs w:val="30"/>
          <w:lang w:eastAsia="zh-CN"/>
        </w:rPr>
        <w:t>公司</w:t>
      </w:r>
      <w:r>
        <w:rPr>
          <w:rFonts w:hint="eastAsia" w:ascii="仿宋" w:hAnsi="仿宋" w:eastAsia="仿宋" w:cs="仿宋"/>
          <w:sz w:val="30"/>
          <w:szCs w:val="30"/>
        </w:rPr>
        <w:t>尽快到相关部门办理其他相关手续，相关部门出具意见之前不得开工建设</w:t>
      </w:r>
      <w:r>
        <w:rPr>
          <w:rFonts w:hint="eastAsia" w:ascii="仿宋" w:hAnsi="仿宋" w:eastAsia="仿宋" w:cs="仿宋"/>
          <w:sz w:val="30"/>
          <w:szCs w:val="30"/>
          <w:lang w:eastAsia="zh-CN"/>
        </w:rPr>
        <w:t>。</w:t>
      </w:r>
    </w:p>
    <w:p>
      <w:pPr>
        <w:pStyle w:val="9"/>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rPr>
          <w:rFonts w:hint="eastAsia" w:ascii="仿宋" w:hAnsi="仿宋" w:eastAsia="仿宋" w:cs="仿宋"/>
          <w:sz w:val="30"/>
          <w:szCs w:val="30"/>
        </w:rPr>
      </w:pPr>
    </w:p>
    <w:p>
      <w:pPr>
        <w:pStyle w:val="2"/>
        <w:rPr>
          <w:rFonts w:hint="eastAsia"/>
        </w:rPr>
      </w:pP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pStyle w:val="2"/>
        <w:keepNext w:val="0"/>
        <w:keepLines w:val="0"/>
        <w:pageBreakBefore w:val="0"/>
        <w:widowControl w:val="0"/>
        <w:kinsoku/>
        <w:wordWrap/>
        <w:overflowPunct/>
        <w:topLinePunct w:val="0"/>
        <w:bidi w:val="0"/>
        <w:spacing w:line="560" w:lineRule="exact"/>
        <w:rPr>
          <w:rFonts w:hint="eastAsia"/>
        </w:rPr>
      </w:pP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魏县行政审批局</w:t>
      </w: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w:t>
      </w:r>
    </w:p>
    <w:p>
      <w:pPr>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pStyle w:val="2"/>
        <w:keepNext w:val="0"/>
        <w:keepLines w:val="0"/>
        <w:pageBreakBefore w:val="0"/>
        <w:widowControl w:val="0"/>
        <w:kinsoku/>
        <w:wordWrap/>
        <w:overflowPunct/>
        <w:topLinePunct w:val="0"/>
        <w:bidi w:val="0"/>
        <w:spacing w:line="560" w:lineRule="exact"/>
        <w:rPr>
          <w:rFonts w:hint="eastAsia" w:ascii="仿宋" w:hAnsi="仿宋" w:eastAsia="仿宋" w:cs="仿宋"/>
          <w:sz w:val="30"/>
          <w:szCs w:val="30"/>
        </w:rPr>
      </w:pPr>
    </w:p>
    <w:p>
      <w:pPr>
        <w:pStyle w:val="3"/>
        <w:numPr>
          <w:ilvl w:val="3"/>
          <w:numId w:val="0"/>
        </w:numPr>
        <w:ind w:leftChars="0"/>
        <w:rPr>
          <w:rFonts w:hint="eastAsia"/>
        </w:rPr>
      </w:pPr>
    </w:p>
    <w:p>
      <w:pPr>
        <w:pStyle w:val="2"/>
        <w:keepNext w:val="0"/>
        <w:keepLines w:val="0"/>
        <w:pageBreakBefore w:val="0"/>
        <w:widowControl w:val="0"/>
        <w:kinsoku/>
        <w:wordWrap/>
        <w:overflowPunct/>
        <w:topLinePunct w:val="0"/>
        <w:bidi w:val="0"/>
        <w:spacing w:line="560" w:lineRule="exact"/>
      </w:pPr>
    </w:p>
    <w:p>
      <w:pPr>
        <w:keepNext w:val="0"/>
        <w:keepLines w:val="0"/>
        <w:pageBreakBefore w:val="0"/>
        <w:widowControl w:val="0"/>
        <w:kinsoku/>
        <w:wordWrap/>
        <w:overflowPunct/>
        <w:topLinePunct w:val="0"/>
        <w:bidi w:val="0"/>
        <w:spacing w:line="560" w:lineRule="exact"/>
        <w:rPr>
          <w:rFonts w:eastAsia="仿宋_GB2312"/>
          <w:sz w:val="32"/>
          <w:szCs w:val="32"/>
        </w:rPr>
      </w:pPr>
      <w:r>
        <w:rPr>
          <w:rFonts w:eastAsia="仿宋_GB2312"/>
          <w:sz w:val="32"/>
          <w:szCs w:val="32"/>
        </w:rPr>
        <w:t>抄送：县大气办、邯郸市生态环境局魏县分局</w:t>
      </w:r>
    </w:p>
    <w:p>
      <w:pPr>
        <w:keepNext w:val="0"/>
        <w:keepLines w:val="0"/>
        <w:pageBreakBefore w:val="0"/>
        <w:widowControl w:val="0"/>
        <w:kinsoku/>
        <w:wordWrap/>
        <w:overflowPunct/>
        <w:topLinePunct w:val="0"/>
        <w:bidi w:val="0"/>
        <w:spacing w:line="560" w:lineRule="exact"/>
        <w:rPr>
          <w:rFonts w:eastAsia="仿宋_GB2312"/>
          <w:sz w:val="28"/>
          <w:szCs w:val="28"/>
        </w:rPr>
      </w:pPr>
      <w:r>
        <w:rPr>
          <w:sz w:val="28"/>
        </w:rPr>
        <w:pict>
          <v:line id="_x0000_s1029" o:spid="_x0000_s1029" o:spt="20" style="position:absolute;left:0pt;margin-left:-0.55pt;margin-top:30.75pt;height:0.05pt;width:443.2pt;z-index:251661312;mso-width-relative:page;mso-height-relative:page;" coordsize="21600,21600" o:gfxdata="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UYXo2AAAAAgBAAAPAAAA&#10;AAAAAAEAIAAAACIAAABkcnMvZG93bnJldi54bWxQSwECFAAUAAAACACHTuJAzrosTdwBAACZAwAA&#10;DgAAAAAAAAABACAAAAAnAQAAZHJzL2Uyb0RvYy54bWxQSwUGAAAAAAYABgBZAQAAdQUAAAAA&#10;">
            <v:path arrowok="t"/>
            <v:fill focussize="0,0"/>
            <v:stroke weight="1pt"/>
            <v:imagedata o:title=""/>
            <o:lock v:ext="edit"/>
          </v:line>
        </w:pict>
      </w:r>
      <w:r>
        <w:rPr>
          <w:sz w:val="28"/>
        </w:rPr>
        <w:pict>
          <v:line id="_x0000_s1030" o:spid="_x0000_s1030" o:spt="20" style="position:absolute;left:0pt;margin-left:-0.5pt;margin-top:5.95pt;height:0.05pt;width:443.2pt;z-index:251660288;mso-width-relative:page;mso-height-relative:page;" coordsize="21600,21600" o:gfxdata="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7QhXYAAAACAEAAA8AAAAA&#10;AAAAAQAgAAAAIgAAAGRycy9kb3ducmV2LnhtbFBLAQIUABQAAAAIAIdO4kDJZB6c2wEAAJkDAAAO&#10;AAAAAAAAAAEAIAAAACcBAABkcnMvZTJvRG9jLnhtbFBLBQYAAAAABgAGAFkBAAB0BQAAAAA=&#10;">
            <v:path arrowok="t"/>
            <v:fill focussize="0,0"/>
            <v:stroke weight="1pt"/>
            <v:imagedata o:title=""/>
            <o:lock v:ext="edit"/>
          </v:line>
        </w:pict>
      </w:r>
      <w:r>
        <w:rPr>
          <w:rFonts w:eastAsia="仿宋_GB2312"/>
          <w:sz w:val="28"/>
          <w:szCs w:val="28"/>
        </w:rPr>
        <w:t>魏县行政审批局</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202</w:t>
      </w:r>
      <w:r>
        <w:rPr>
          <w:rFonts w:hint="eastAsia" w:eastAsia="仿宋_GB2312"/>
          <w:sz w:val="28"/>
          <w:szCs w:val="28"/>
          <w:lang w:val="en-US" w:eastAsia="zh-CN"/>
        </w:rPr>
        <w:t>2</w:t>
      </w:r>
      <w:r>
        <w:rPr>
          <w:rFonts w:eastAsia="仿宋_GB2312"/>
          <w:sz w:val="28"/>
          <w:szCs w:val="28"/>
        </w:rPr>
        <w:t>年</w:t>
      </w:r>
      <w:r>
        <w:rPr>
          <w:rFonts w:hint="eastAsia" w:eastAsia="仿宋_GB2312"/>
          <w:sz w:val="28"/>
          <w:szCs w:val="28"/>
          <w:lang w:val="en-US" w:eastAsia="zh-CN"/>
        </w:rPr>
        <w:t>6</w:t>
      </w:r>
      <w:r>
        <w:rPr>
          <w:rFonts w:eastAsia="仿宋_GB2312"/>
          <w:sz w:val="28"/>
          <w:szCs w:val="28"/>
        </w:rPr>
        <w:t>月</w:t>
      </w:r>
      <w:r>
        <w:rPr>
          <w:rFonts w:hint="eastAsia" w:eastAsia="仿宋_GB2312"/>
          <w:sz w:val="28"/>
          <w:szCs w:val="28"/>
          <w:lang w:val="en-US" w:eastAsia="zh-CN"/>
        </w:rPr>
        <w:t>9</w:t>
      </w:r>
      <w:r>
        <w:rPr>
          <w:rFonts w:eastAsia="仿宋_GB2312"/>
          <w:sz w:val="28"/>
          <w:szCs w:val="28"/>
        </w:rPr>
        <w:t>日印发</w:t>
      </w:r>
    </w:p>
    <w:sectPr>
      <w:footerReference r:id="rId3" w:type="default"/>
      <w:pgSz w:w="11906" w:h="16838"/>
      <w:pgMar w:top="1871" w:right="1417" w:bottom="1757" w:left="1417" w:header="851" w:footer="992"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8" o:spid="_x0000_s2049" o:spt="202" type="#_x0000_t202" style="position:absolute;left:0pt;margin-top:-23.6pt;height:21.95pt;width:40.05pt;mso-position-horizontal:outside;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">
          <v:path/>
          <v:fill on="f" focussize="0,0"/>
          <v:stroke on="f" weight="1.25pt" joinstyle="miter"/>
          <v:imagedata o:title=""/>
          <o:lock v:ext="edit"/>
          <v:textbox inset="0mm,0mm,0mm,0mm">
            <w:txbxContent>
              <w:p>
                <w:pPr>
                  <w:pStyle w:val="5"/>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- 5 -</w:t>
                </w:r>
                <w:r>
                  <w:rPr>
                    <w:rFonts w:hint="eastAsia" w:ascii="仿宋_GB2312" w:hAnsi="仿宋_GB2312" w:eastAsia="仿宋_GB2312" w:cs="仿宋_GB2312"/>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2NWY5MjQyZWM0OTBmYzg0OWRlMjQyNDg5ODdjYjcifQ=="/>
  </w:docVars>
  <w:rsids>
    <w:rsidRoot w:val="24D504DF"/>
    <w:rsid w:val="00012048"/>
    <w:rsid w:val="00081E50"/>
    <w:rsid w:val="000D67D1"/>
    <w:rsid w:val="001A631E"/>
    <w:rsid w:val="00283241"/>
    <w:rsid w:val="002F11BF"/>
    <w:rsid w:val="00323B26"/>
    <w:rsid w:val="003A189E"/>
    <w:rsid w:val="00443EFA"/>
    <w:rsid w:val="00474849"/>
    <w:rsid w:val="004A0358"/>
    <w:rsid w:val="004A0E15"/>
    <w:rsid w:val="004B5F4D"/>
    <w:rsid w:val="004E2550"/>
    <w:rsid w:val="004E3BEA"/>
    <w:rsid w:val="00500817"/>
    <w:rsid w:val="00510660"/>
    <w:rsid w:val="005735F0"/>
    <w:rsid w:val="0059600A"/>
    <w:rsid w:val="005A473B"/>
    <w:rsid w:val="005A70F0"/>
    <w:rsid w:val="005B425C"/>
    <w:rsid w:val="005D268E"/>
    <w:rsid w:val="0065780D"/>
    <w:rsid w:val="006C0DF1"/>
    <w:rsid w:val="007A565B"/>
    <w:rsid w:val="00846308"/>
    <w:rsid w:val="008E43A5"/>
    <w:rsid w:val="00995964"/>
    <w:rsid w:val="00A327D8"/>
    <w:rsid w:val="00AD12C1"/>
    <w:rsid w:val="00B06654"/>
    <w:rsid w:val="00B54DCF"/>
    <w:rsid w:val="00B72655"/>
    <w:rsid w:val="00B855BC"/>
    <w:rsid w:val="00BF3C61"/>
    <w:rsid w:val="00C24E65"/>
    <w:rsid w:val="00C509EA"/>
    <w:rsid w:val="00CB6742"/>
    <w:rsid w:val="00CE5807"/>
    <w:rsid w:val="00DE52E0"/>
    <w:rsid w:val="00E86FAD"/>
    <w:rsid w:val="00ED53E3"/>
    <w:rsid w:val="00F60D3E"/>
    <w:rsid w:val="00F96061"/>
    <w:rsid w:val="02FF5E1E"/>
    <w:rsid w:val="11BC1CD3"/>
    <w:rsid w:val="121C28A4"/>
    <w:rsid w:val="12865CC0"/>
    <w:rsid w:val="161F281E"/>
    <w:rsid w:val="18067D8B"/>
    <w:rsid w:val="18D3723D"/>
    <w:rsid w:val="1B8A1446"/>
    <w:rsid w:val="1DBE2FE4"/>
    <w:rsid w:val="1F800F26"/>
    <w:rsid w:val="236C7B6D"/>
    <w:rsid w:val="24D504DF"/>
    <w:rsid w:val="2C251716"/>
    <w:rsid w:val="2DC55A07"/>
    <w:rsid w:val="2FFE5410"/>
    <w:rsid w:val="31193275"/>
    <w:rsid w:val="331215F2"/>
    <w:rsid w:val="33C004E0"/>
    <w:rsid w:val="343829DE"/>
    <w:rsid w:val="38A45102"/>
    <w:rsid w:val="3B196F5A"/>
    <w:rsid w:val="3BB70766"/>
    <w:rsid w:val="3BC447D5"/>
    <w:rsid w:val="3C9A55EC"/>
    <w:rsid w:val="3EBE437B"/>
    <w:rsid w:val="41BA3982"/>
    <w:rsid w:val="478973B3"/>
    <w:rsid w:val="487D0EBF"/>
    <w:rsid w:val="492D6053"/>
    <w:rsid w:val="4A3E5989"/>
    <w:rsid w:val="50470AFA"/>
    <w:rsid w:val="52C8285D"/>
    <w:rsid w:val="546326B3"/>
    <w:rsid w:val="546F59F8"/>
    <w:rsid w:val="55404643"/>
    <w:rsid w:val="57A17D71"/>
    <w:rsid w:val="5C742ACD"/>
    <w:rsid w:val="697D6810"/>
    <w:rsid w:val="6C902473"/>
    <w:rsid w:val="6F5F7872"/>
    <w:rsid w:val="6F6B70AF"/>
    <w:rsid w:val="6F8E7959"/>
    <w:rsid w:val="6FA57016"/>
    <w:rsid w:val="6FA934A9"/>
    <w:rsid w:val="713A2278"/>
    <w:rsid w:val="738D1AB3"/>
    <w:rsid w:val="7639374C"/>
    <w:rsid w:val="777A5987"/>
    <w:rsid w:val="7C9251B2"/>
    <w:rsid w:val="7CE9078B"/>
    <w:rsid w:val="7F88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2"/>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4">
    <w:name w:val="Document Map"/>
    <w:basedOn w:val="1"/>
    <w:link w:val="11"/>
    <w:qFormat/>
    <w:uiPriority w:val="0"/>
    <w:rPr>
      <w:rFonts w:ascii="宋体"/>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_Style 2"/>
    <w:basedOn w:val="1"/>
    <w:next w:val="1"/>
    <w:qFormat/>
    <w:uiPriority w:val="1"/>
    <w:pPr>
      <w:spacing w:line="440" w:lineRule="exact"/>
      <w:ind w:firstLine="420"/>
    </w:pPr>
  </w:style>
  <w:style w:type="character" w:customStyle="1" w:styleId="10">
    <w:name w:val="页眉 Char"/>
    <w:basedOn w:val="8"/>
    <w:link w:val="6"/>
    <w:qFormat/>
    <w:uiPriority w:val="0"/>
    <w:rPr>
      <w:rFonts w:ascii="Times New Roman" w:hAnsi="Times New Roman"/>
      <w:kern w:val="2"/>
      <w:sz w:val="18"/>
      <w:szCs w:val="18"/>
    </w:rPr>
  </w:style>
  <w:style w:type="character" w:customStyle="1" w:styleId="11">
    <w:name w:val="文档结构图 Char"/>
    <w:basedOn w:val="8"/>
    <w:link w:val="4"/>
    <w:qFormat/>
    <w:uiPriority w:val="0"/>
    <w:rPr>
      <w:rFonts w:ascii="宋体" w:hAnsi="Times New Roman"/>
      <w:kern w:val="2"/>
      <w:sz w:val="18"/>
      <w:szCs w:val="18"/>
    </w:rPr>
  </w:style>
  <w:style w:type="paragraph" w:customStyle="1" w:styleId="12">
    <w:name w:val="样式1"/>
    <w:basedOn w:val="1"/>
    <w:qFormat/>
    <w:uiPriority w:val="0"/>
    <w:pPr>
      <w:spacing w:line="360" w:lineRule="auto"/>
    </w:pPr>
    <w:rPr>
      <w:rFonts w:ascii="宋体" w:hAnsi="宋体"/>
      <w:sz w:val="24"/>
    </w:rPr>
  </w:style>
  <w:style w:type="paragraph" w:customStyle="1" w:styleId="13">
    <w:name w:val="正文内容"/>
    <w:basedOn w:val="1"/>
    <w:qFormat/>
    <w:uiPriority w:val="0"/>
    <w:pPr>
      <w:spacing w:line="360" w:lineRule="auto"/>
      <w:ind w:firstLine="200" w:firstLineChars="200"/>
    </w:pPr>
    <w:rPr>
      <w:rFonts w:ascii="宋体" w:eastAsia="宋体"/>
      <w:kern w:val="2"/>
      <w:sz w:val="24"/>
      <w:lang w:val="en-US" w:eastAsia="zh-CN"/>
    </w:rPr>
  </w:style>
  <w:style w:type="paragraph" w:customStyle="1" w:styleId="14">
    <w:name w:val="0正文"/>
    <w:basedOn w:val="1"/>
    <w:qFormat/>
    <w:uiPriority w:val="0"/>
    <w:pPr>
      <w:spacing w:line="440" w:lineRule="exact"/>
      <w:ind w:firstLine="200" w:firstLineChars="200"/>
    </w:pPr>
    <w:rPr>
      <w:rFonts w:ascii="Times New Roman" w:hAnsi="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2424</Words>
  <Characters>2542</Characters>
  <Lines>17</Lines>
  <Paragraphs>5</Paragraphs>
  <TotalTime>21</TotalTime>
  <ScaleCrop>false</ScaleCrop>
  <LinksUpToDate>false</LinksUpToDate>
  <CharactersWithSpaces>2674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2019-04-26T03:17:00Z</dcterms:created>
  <dc:creator>宋朝兴</dc:creator>
  <cp:lastModifiedBy>小宝儿</cp:lastModifiedBy>
  <cp:lastPrinted>2022-06-09T08:00:24Z</cp:lastPrinted>
  <dcterms:modified xsi:type="dcterms:W3CDTF">2022-06-09T08:01:01Z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1492A164C0414A7987013402E53CF265</vt:lpwstr>
  </property>
</Properties>
</file>