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pStyle w:val="10"/>
        <w:spacing w:line="560" w:lineRule="exact"/>
        <w:rPr>
          <w:rFonts w:ascii="Times New Roman" w:hAnsi="Times New Roman" w:eastAsia="仿宋" w:cs="Times New Roman"/>
          <w:b/>
          <w:sz w:val="32"/>
          <w:szCs w:val="32"/>
        </w:rPr>
      </w:pPr>
    </w:p>
    <w:p>
      <w:pPr>
        <w:spacing w:line="56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w:t>
      </w:r>
      <w:r>
        <w:rPr>
          <w:rFonts w:hint="eastAsia" w:ascii="Times New Roman" w:hAnsi="Times New Roman" w:eastAsia="仿宋" w:cs="Times New Roman"/>
          <w:b/>
          <w:sz w:val="32"/>
          <w:szCs w:val="32"/>
          <w:lang w:val="en-US" w:eastAsia="zh-CN"/>
        </w:rPr>
        <w:t>5</w:t>
      </w:r>
      <w:r>
        <w:rPr>
          <w:rFonts w:ascii="Times New Roman" w:hAnsi="Times New Roman" w:eastAsia="仿宋" w:cs="Times New Roman"/>
          <w:b/>
          <w:sz w:val="32"/>
          <w:szCs w:val="32"/>
        </w:rPr>
        <w:t>号</w:t>
      </w:r>
    </w:p>
    <w:p>
      <w:pPr>
        <w:pStyle w:val="10"/>
        <w:spacing w:line="560" w:lineRule="exact"/>
        <w:ind w:left="0" w:firstLine="0"/>
      </w:pPr>
    </w:p>
    <w:p>
      <w:pPr>
        <w:pStyle w:val="10"/>
        <w:spacing w:line="560" w:lineRule="exact"/>
        <w:rPr>
          <w:rFonts w:ascii="Times New Roman" w:hAnsi="Times New Roman" w:cs="Times New Roman"/>
        </w:rPr>
      </w:pPr>
    </w:p>
    <w:p>
      <w:pPr>
        <w:spacing w:line="56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widowControl/>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关于魏县斜街桃园彩砖厂年产200万块彩砖扩建项目环境影响报告表的批复</w:t>
      </w:r>
    </w:p>
    <w:p>
      <w:pPr>
        <w:snapToGrid w:val="0"/>
        <w:spacing w:line="560" w:lineRule="exact"/>
        <w:ind w:firstLine="640" w:firstLineChars="200"/>
        <w:jc w:val="center"/>
        <w:rPr>
          <w:rFonts w:ascii="仿宋" w:hAnsi="仿宋" w:eastAsia="仿宋" w:cs="仿宋"/>
          <w:sz w:val="32"/>
          <w:szCs w:val="32"/>
        </w:rPr>
      </w:pPr>
    </w:p>
    <w:p>
      <w:pPr>
        <w:snapToGrid w:val="0"/>
        <w:spacing w:line="560" w:lineRule="exact"/>
        <w:rPr>
          <w:rFonts w:ascii="仿宋" w:hAnsi="仿宋" w:eastAsia="仿宋" w:cs="仿宋"/>
          <w:sz w:val="32"/>
          <w:szCs w:val="32"/>
        </w:rPr>
      </w:pPr>
      <w:r>
        <w:rPr>
          <w:rFonts w:ascii="仿宋" w:hAnsi="仿宋" w:eastAsia="仿宋" w:cs="仿宋"/>
          <w:color w:val="000000"/>
          <w:kern w:val="0"/>
          <w:sz w:val="31"/>
          <w:szCs w:val="31"/>
        </w:rPr>
        <w:t>魏县斜街桃园彩砖厂</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你公司所报《</w:t>
      </w:r>
      <w:r>
        <w:rPr>
          <w:rFonts w:ascii="仿宋" w:hAnsi="仿宋" w:eastAsia="仿宋" w:cs="仿宋"/>
          <w:color w:val="000000"/>
          <w:kern w:val="0"/>
          <w:sz w:val="31"/>
          <w:szCs w:val="31"/>
        </w:rPr>
        <w:t>魏县斜街桃园彩砖厂年产200万块彩砖扩建项目</w:t>
      </w:r>
      <w:r>
        <w:rPr>
          <w:rFonts w:hint="eastAsia" w:ascii="仿宋" w:hAnsi="仿宋" w:eastAsia="仿宋" w:cs="仿宋"/>
          <w:sz w:val="32"/>
          <w:szCs w:val="32"/>
        </w:rPr>
        <w:t>环境影响报告表》收悉。经研究，批复如下：</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一、该项目位于魏县沙口集乡大斜街村，厂址中心地理坐标为北纬</w:t>
      </w:r>
      <w:r>
        <w:rPr>
          <w:rFonts w:ascii="仿宋" w:hAnsi="仿宋" w:eastAsia="仿宋" w:cs="仿宋"/>
          <w:sz w:val="32"/>
          <w:szCs w:val="32"/>
        </w:rPr>
        <w:t>36</w:t>
      </w:r>
      <w:r>
        <w:rPr>
          <w:rFonts w:hint="eastAsia" w:ascii="仿宋" w:hAnsi="仿宋" w:eastAsia="仿宋" w:cs="仿宋"/>
          <w:sz w:val="32"/>
          <w:szCs w:val="32"/>
        </w:rPr>
        <w:t>°</w:t>
      </w:r>
      <w:r>
        <w:rPr>
          <w:rFonts w:ascii="仿宋" w:hAnsi="仿宋" w:eastAsia="仿宋" w:cs="仿宋"/>
          <w:sz w:val="32"/>
          <w:szCs w:val="32"/>
        </w:rPr>
        <w:t>17</w:t>
      </w:r>
      <w:r>
        <w:rPr>
          <w:rFonts w:hint="eastAsia" w:ascii="仿宋" w:hAnsi="仿宋" w:eastAsia="仿宋" w:cs="仿宋"/>
          <w:sz w:val="32"/>
          <w:szCs w:val="32"/>
        </w:rPr>
        <w:t>′</w:t>
      </w:r>
      <w:r>
        <w:rPr>
          <w:rFonts w:ascii="仿宋" w:hAnsi="仿宋" w:eastAsia="仿宋" w:cs="仿宋"/>
          <w:sz w:val="32"/>
          <w:szCs w:val="32"/>
        </w:rPr>
        <w:t>32.324</w:t>
      </w:r>
      <w:r>
        <w:rPr>
          <w:rFonts w:hint="eastAsia" w:ascii="仿宋" w:hAnsi="仿宋" w:eastAsia="仿宋" w:cs="仿宋"/>
          <w:sz w:val="32"/>
          <w:szCs w:val="32"/>
        </w:rPr>
        <w:t>″，东经</w:t>
      </w:r>
      <w:r>
        <w:rPr>
          <w:rFonts w:ascii="仿宋" w:hAnsi="仿宋" w:eastAsia="仿宋" w:cs="仿宋"/>
          <w:sz w:val="32"/>
          <w:szCs w:val="32"/>
        </w:rPr>
        <w:t>114</w:t>
      </w:r>
      <w:r>
        <w:rPr>
          <w:rFonts w:hint="eastAsia" w:ascii="仿宋" w:hAnsi="仿宋" w:eastAsia="仿宋" w:cs="仿宋"/>
          <w:sz w:val="32"/>
          <w:szCs w:val="32"/>
        </w:rPr>
        <w:t>°</w:t>
      </w:r>
      <w:r>
        <w:rPr>
          <w:rFonts w:ascii="仿宋" w:hAnsi="仿宋" w:eastAsia="仿宋" w:cs="仿宋"/>
          <w:sz w:val="32"/>
          <w:szCs w:val="32"/>
        </w:rPr>
        <w:t>59</w:t>
      </w:r>
      <w:r>
        <w:rPr>
          <w:rFonts w:hint="eastAsia" w:ascii="仿宋" w:hAnsi="仿宋" w:eastAsia="仿宋" w:cs="仿宋"/>
          <w:sz w:val="32"/>
          <w:szCs w:val="32"/>
        </w:rPr>
        <w:t>′</w:t>
      </w:r>
      <w:r>
        <w:rPr>
          <w:rFonts w:ascii="仿宋" w:hAnsi="仿宋" w:eastAsia="仿宋" w:cs="仿宋"/>
          <w:sz w:val="32"/>
          <w:szCs w:val="32"/>
        </w:rPr>
        <w:t>3.791</w:t>
      </w:r>
      <w:r>
        <w:rPr>
          <w:rFonts w:hint="eastAsia" w:ascii="仿宋" w:hAnsi="仿宋" w:eastAsia="仿宋" w:cs="仿宋"/>
          <w:sz w:val="32"/>
          <w:szCs w:val="32"/>
        </w:rPr>
        <w:t>″。建设内容及规模：项目依托现有厂区对</w:t>
      </w:r>
      <w:r>
        <w:rPr>
          <w:rFonts w:ascii="仿宋" w:hAnsi="仿宋" w:eastAsia="仿宋" w:cs="仿宋"/>
          <w:sz w:val="32"/>
          <w:szCs w:val="32"/>
        </w:rPr>
        <w:t>1#</w:t>
      </w:r>
      <w:r>
        <w:rPr>
          <w:rFonts w:hint="eastAsia" w:ascii="仿宋" w:hAnsi="仿宋" w:eastAsia="仿宋" w:cs="仿宋"/>
          <w:sz w:val="32"/>
          <w:szCs w:val="32"/>
        </w:rPr>
        <w:t>生产车间进行扩建，主要建设内容包括扩建现有特殊砖生产线、建设彩砖生产线</w:t>
      </w:r>
      <w:r>
        <w:rPr>
          <w:rFonts w:ascii="仿宋" w:hAnsi="仿宋" w:eastAsia="仿宋" w:cs="仿宋"/>
          <w:sz w:val="32"/>
          <w:szCs w:val="32"/>
        </w:rPr>
        <w:t>2</w:t>
      </w:r>
      <w:r>
        <w:rPr>
          <w:rFonts w:hint="eastAsia" w:ascii="仿宋" w:hAnsi="仿宋" w:eastAsia="仿宋" w:cs="仿宋"/>
          <w:sz w:val="32"/>
          <w:szCs w:val="32"/>
        </w:rPr>
        <w:t>条、原料预处理生产线</w:t>
      </w:r>
      <w:r>
        <w:rPr>
          <w:rFonts w:ascii="仿宋" w:hAnsi="仿宋" w:eastAsia="仿宋" w:cs="仿宋"/>
          <w:sz w:val="32"/>
          <w:szCs w:val="32"/>
        </w:rPr>
        <w:t>1</w:t>
      </w:r>
      <w:r>
        <w:rPr>
          <w:rFonts w:hint="eastAsia" w:ascii="仿宋" w:hAnsi="仿宋" w:eastAsia="仿宋" w:cs="仿宋"/>
          <w:sz w:val="32"/>
          <w:szCs w:val="32"/>
        </w:rPr>
        <w:t>条、自动打包线</w:t>
      </w:r>
      <w:r>
        <w:rPr>
          <w:rFonts w:ascii="仿宋" w:hAnsi="仿宋" w:eastAsia="仿宋" w:cs="仿宋"/>
          <w:sz w:val="32"/>
          <w:szCs w:val="32"/>
        </w:rPr>
        <w:t>1</w:t>
      </w:r>
      <w:r>
        <w:rPr>
          <w:rFonts w:hint="eastAsia" w:ascii="仿宋" w:hAnsi="仿宋" w:eastAsia="仿宋" w:cs="仿宋"/>
          <w:sz w:val="32"/>
          <w:szCs w:val="32"/>
        </w:rPr>
        <w:t>条并增加配套设施，生产规模为年产彩砖</w:t>
      </w:r>
      <w:r>
        <w:rPr>
          <w:rFonts w:ascii="仿宋" w:hAnsi="仿宋" w:eastAsia="仿宋" w:cs="仿宋"/>
          <w:sz w:val="32"/>
          <w:szCs w:val="32"/>
        </w:rPr>
        <w:t>400</w:t>
      </w:r>
      <w:r>
        <w:rPr>
          <w:rFonts w:hint="eastAsia" w:ascii="仿宋" w:hAnsi="仿宋" w:eastAsia="仿宋" w:cs="仿宋"/>
          <w:sz w:val="32"/>
          <w:szCs w:val="32"/>
        </w:rPr>
        <w:t>万块。本次扩建完成后全厂共有彩砖生产线</w:t>
      </w:r>
      <w:r>
        <w:rPr>
          <w:rFonts w:ascii="仿宋" w:hAnsi="仿宋" w:eastAsia="仿宋" w:cs="仿宋"/>
          <w:sz w:val="32"/>
          <w:szCs w:val="32"/>
        </w:rPr>
        <w:t>4</w:t>
      </w:r>
      <w:r>
        <w:rPr>
          <w:rFonts w:hint="eastAsia" w:ascii="仿宋" w:hAnsi="仿宋" w:eastAsia="仿宋" w:cs="仿宋"/>
          <w:sz w:val="32"/>
          <w:szCs w:val="32"/>
        </w:rPr>
        <w:t>条，生产规模为年产彩砖</w:t>
      </w:r>
      <w:r>
        <w:rPr>
          <w:rFonts w:ascii="仿宋" w:hAnsi="仿宋" w:eastAsia="仿宋" w:cs="仿宋"/>
          <w:sz w:val="32"/>
          <w:szCs w:val="32"/>
        </w:rPr>
        <w:t>600</w:t>
      </w:r>
      <w:r>
        <w:rPr>
          <w:rFonts w:hint="eastAsia" w:ascii="仿宋" w:hAnsi="仿宋" w:eastAsia="仿宋" w:cs="仿宋"/>
          <w:sz w:val="32"/>
          <w:szCs w:val="32"/>
        </w:rPr>
        <w:t>万块。总投资</w:t>
      </w:r>
      <w:r>
        <w:rPr>
          <w:rFonts w:ascii="仿宋" w:hAnsi="仿宋" w:eastAsia="仿宋" w:cs="仿宋"/>
          <w:sz w:val="32"/>
          <w:szCs w:val="32"/>
        </w:rPr>
        <w:t>100</w:t>
      </w:r>
      <w:r>
        <w:rPr>
          <w:rFonts w:hint="eastAsia" w:ascii="仿宋" w:hAnsi="仿宋" w:eastAsia="仿宋" w:cs="仿宋"/>
          <w:sz w:val="32"/>
          <w:szCs w:val="32"/>
        </w:rPr>
        <w:t>万元，其中环保投资</w:t>
      </w:r>
      <w:r>
        <w:rPr>
          <w:rFonts w:ascii="仿宋" w:hAnsi="仿宋" w:eastAsia="仿宋" w:cs="仿宋"/>
          <w:sz w:val="32"/>
          <w:szCs w:val="32"/>
        </w:rPr>
        <w:t>30</w:t>
      </w:r>
      <w:r>
        <w:rPr>
          <w:rFonts w:hint="eastAsia" w:ascii="仿宋" w:hAnsi="仿宋" w:eastAsia="仿宋" w:cs="仿宋"/>
          <w:sz w:val="32"/>
          <w:szCs w:val="32"/>
        </w:rPr>
        <w:t>万元，占总投资的</w:t>
      </w:r>
      <w:r>
        <w:rPr>
          <w:rFonts w:ascii="仿宋" w:hAnsi="仿宋" w:eastAsia="仿宋" w:cs="仿宋"/>
          <w:sz w:val="32"/>
          <w:szCs w:val="32"/>
        </w:rPr>
        <w:t>30</w:t>
      </w:r>
      <w:r>
        <w:rPr>
          <w:rFonts w:hint="eastAsia" w:ascii="仿宋" w:hAnsi="仿宋" w:eastAsia="仿宋" w:cs="仿宋"/>
          <w:sz w:val="32"/>
          <w:szCs w:val="32"/>
        </w:rPr>
        <w:t>%</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河北鑫世合环保咨询有限公司</w:t>
      </w:r>
      <w:r>
        <w:rPr>
          <w:rFonts w:hint="eastAsia" w:ascii="仿宋" w:hAnsi="仿宋" w:eastAsia="仿宋" w:cs="仿宋"/>
          <w:sz w:val="32"/>
          <w:szCs w:val="32"/>
        </w:rPr>
        <w:t>编制的《魏县斜街桃园彩砖厂年产200万块彩砖扩建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营运期：⑴废气：该项目废气主要为破碎、筛分废气；配料、搅拌、水泥进出罐废气；未被收集的废气、运输车辆扬尘以及原料棚物料储存和转运粉尘。</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破碎、筛分产生的废气主要污染因子为颗粒物，破碎机、筛砂机上方设置集气罩，废气通过集气罩收集后由布袋除尘器处理，最后经</w:t>
      </w:r>
      <w:r>
        <w:rPr>
          <w:rFonts w:ascii="仿宋" w:hAnsi="仿宋" w:eastAsia="仿宋" w:cs="仿宋"/>
          <w:sz w:val="32"/>
          <w:szCs w:val="32"/>
        </w:rPr>
        <w:t>15m</w:t>
      </w:r>
      <w:r>
        <w:rPr>
          <w:rFonts w:hint="eastAsia" w:ascii="仿宋" w:hAnsi="仿宋" w:eastAsia="仿宋" w:cs="仿宋"/>
          <w:sz w:val="32"/>
          <w:szCs w:val="32"/>
        </w:rPr>
        <w:t>高排气筒排放，满足《水泥工业大气污染物超低排放标准》(DB13/2167-2020)中表1 有组织排放标准。</w:t>
      </w:r>
    </w:p>
    <w:p>
      <w:pPr>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配料、搅拌设备上方设置集气罩，水泥储罐密闭，罐顶接入集气管路，废气经收集后由布袋除尘器处理，最终由</w:t>
      </w:r>
      <w:r>
        <w:rPr>
          <w:rFonts w:ascii="仿宋" w:hAnsi="仿宋" w:eastAsia="仿宋" w:cs="仿宋"/>
          <w:sz w:val="32"/>
          <w:szCs w:val="32"/>
        </w:rPr>
        <w:t>15m</w:t>
      </w:r>
      <w:r>
        <w:rPr>
          <w:rFonts w:hint="eastAsia" w:ascii="仿宋" w:hAnsi="仿宋" w:eastAsia="仿宋" w:cs="仿宋"/>
          <w:sz w:val="32"/>
          <w:szCs w:val="32"/>
        </w:rPr>
        <w:t>高排气筒排放，</w:t>
      </w:r>
      <w:bookmarkStart w:id="0" w:name="OLE_LINK1"/>
      <w:bookmarkStart w:id="1" w:name="OLE_LINK2"/>
      <w:r>
        <w:rPr>
          <w:rFonts w:hint="eastAsia" w:ascii="仿宋" w:hAnsi="仿宋" w:eastAsia="仿宋" w:cs="仿宋"/>
          <w:sz w:val="32"/>
          <w:szCs w:val="32"/>
        </w:rPr>
        <w:t>满足《水泥工业大气污染物超低排放标准》</w:t>
      </w:r>
      <w:r>
        <w:rPr>
          <w:rFonts w:ascii="仿宋" w:hAnsi="仿宋" w:eastAsia="仿宋" w:cs="仿宋"/>
          <w:sz w:val="32"/>
          <w:szCs w:val="32"/>
        </w:rPr>
        <w:t>(DB13/2167-2020)</w:t>
      </w:r>
      <w:r>
        <w:rPr>
          <w:rFonts w:hint="eastAsia" w:ascii="仿宋" w:hAnsi="仿宋" w:eastAsia="仿宋" w:cs="仿宋"/>
          <w:sz w:val="32"/>
          <w:szCs w:val="32"/>
        </w:rPr>
        <w:t>中表</w:t>
      </w:r>
      <w:r>
        <w:rPr>
          <w:rFonts w:ascii="仿宋" w:hAnsi="仿宋" w:eastAsia="仿宋" w:cs="仿宋"/>
          <w:sz w:val="32"/>
          <w:szCs w:val="32"/>
        </w:rPr>
        <w:t xml:space="preserve">1 </w:t>
      </w:r>
      <w:r>
        <w:rPr>
          <w:rFonts w:hint="eastAsia" w:ascii="仿宋" w:hAnsi="仿宋" w:eastAsia="仿宋" w:cs="仿宋"/>
          <w:sz w:val="32"/>
          <w:szCs w:val="32"/>
        </w:rPr>
        <w:t>有组织排放标准。</w:t>
      </w:r>
      <w:bookmarkEnd w:id="0"/>
      <w:bookmarkEnd w:id="1"/>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未被收集的废气、运输车辆扬尘以及原料棚物料储存和转运粉尘废气主要污染因子为颗粒物，通过车间密闭，洒水抑尘，原料棚顶部设置喷淋装置等措施进行处理。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无组织废气为集气罩未收集的粉尘；原料棚物料储存、转运粉尘；车辆运输扬尘。车间封闭；原料棚内设置喷淋抑尘装置；道路硬化、定期泼洒抑尘、进出场车辆清洗、厂界四周设置微雾抑尘系统。满足《水泥工业大气污染物超低排放标准》</w:t>
      </w:r>
      <w:r>
        <w:rPr>
          <w:rFonts w:ascii="仿宋" w:hAnsi="仿宋" w:eastAsia="仿宋" w:cs="仿宋"/>
          <w:sz w:val="32"/>
          <w:szCs w:val="32"/>
        </w:rPr>
        <w:t>(DB13/2167-2020)</w:t>
      </w:r>
      <w:r>
        <w:rPr>
          <w:rFonts w:hint="eastAsia" w:ascii="仿宋" w:hAnsi="仿宋" w:eastAsia="仿宋" w:cs="仿宋"/>
          <w:sz w:val="32"/>
          <w:szCs w:val="32"/>
        </w:rPr>
        <w:t>中表</w:t>
      </w:r>
      <w:r>
        <w:rPr>
          <w:rFonts w:ascii="仿宋" w:hAnsi="仿宋" w:eastAsia="仿宋" w:cs="仿宋"/>
          <w:sz w:val="32"/>
          <w:szCs w:val="32"/>
        </w:rPr>
        <w:t>2</w:t>
      </w:r>
      <w:r>
        <w:rPr>
          <w:rFonts w:hint="eastAsia" w:ascii="仿宋" w:hAnsi="仿宋" w:eastAsia="仿宋" w:cs="仿宋"/>
          <w:sz w:val="32"/>
          <w:szCs w:val="32"/>
        </w:rPr>
        <w:t>无组织排放标准。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（2）废水：该项目废水主要为生活用水。员工生活污水直 </w:t>
      </w:r>
    </w:p>
    <w:p>
      <w:pPr>
        <w:snapToGrid w:val="0"/>
        <w:spacing w:line="560" w:lineRule="exact"/>
        <w:rPr>
          <w:rFonts w:ascii="仿宋" w:hAnsi="仿宋" w:eastAsia="仿宋" w:cs="仿宋"/>
          <w:sz w:val="32"/>
          <w:szCs w:val="32"/>
        </w:rPr>
      </w:pPr>
      <w:r>
        <w:rPr>
          <w:rFonts w:hint="eastAsia" w:ascii="仿宋" w:hAnsi="仿宋" w:eastAsia="仿宋" w:cs="仿宋"/>
          <w:sz w:val="32"/>
          <w:szCs w:val="32"/>
        </w:rPr>
        <w:t>接用于厂区泼洒抑尘，厂区设置防渗旱厕，定期清掏做农肥，不外排。</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噪声：该项目噪声主要为破碎机、筛砂机、筛分机、搅拌机等设备运行及产品转运碰撞噪声。通过选用低噪声设备，采取基础减振、厂房隔声、合理布局、风机加装消声器等措施，满足《工业企业厂界环境噪声排放标准》</w:t>
      </w:r>
      <w:r>
        <w:rPr>
          <w:rFonts w:ascii="仿宋" w:hAnsi="仿宋" w:eastAsia="仿宋" w:cs="仿宋"/>
          <w:sz w:val="32"/>
          <w:szCs w:val="32"/>
        </w:rPr>
        <w:t>(GB12348-2008)</w:t>
      </w:r>
      <w:r>
        <w:rPr>
          <w:rFonts w:hint="eastAsia" w:ascii="仿宋" w:hAnsi="仿宋" w:eastAsia="仿宋" w:cs="仿宋"/>
          <w:sz w:val="32"/>
          <w:szCs w:val="32"/>
        </w:rPr>
        <w:t>中的</w:t>
      </w:r>
      <w:r>
        <w:rPr>
          <w:rFonts w:ascii="仿宋" w:hAnsi="仿宋" w:eastAsia="仿宋" w:cs="仿宋"/>
          <w:sz w:val="32"/>
          <w:szCs w:val="32"/>
        </w:rPr>
        <w:t>2</w:t>
      </w:r>
      <w:r>
        <w:rPr>
          <w:rFonts w:hint="eastAsia" w:ascii="仿宋" w:hAnsi="仿宋" w:eastAsia="仿宋" w:cs="仿宋"/>
          <w:sz w:val="32"/>
          <w:szCs w:val="32"/>
        </w:rPr>
        <w:t xml:space="preserve">类标准要求。 </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固体废物：该项目固体废物主要为废砖坯、除尘灰，定期更换产生的废滤袋，废包装材料、职工生活垃圾。废砖坯收集后返回破碎工序重新进行生产；除尘灰定期清理后回用于生产过程；定期更换产生的废滤袋送环卫部门指定地点进行填埋处置；废包装材料定期收集后交由环卫部门处置；职工生活垃圾定期由环卫部门清理送指定地点进行处置。</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6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bookmarkStart w:id="2" w:name="_GoBack"/>
      <w:bookmarkEnd w:id="2"/>
    </w:p>
    <w:p/>
    <w:p>
      <w:pPr>
        <w:snapToGrid w:val="0"/>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60" w:lineRule="exact"/>
        <w:ind w:firstLine="5440" w:firstLineChars="1700"/>
        <w:rPr>
          <w:rFonts w:ascii="Times New Roman" w:hAnsi="Times New Roman" w:eastAsia="仿宋_GB2312" w:cs="Times New Roman"/>
          <w:sz w:val="32"/>
          <w:szCs w:val="32"/>
        </w:rPr>
      </w:pPr>
      <w:r>
        <w:rPr>
          <w:rFonts w:hint="eastAsia" w:ascii="仿宋" w:hAnsi="仿宋" w:eastAsia="仿宋" w:cs="仿宋"/>
          <w:sz w:val="32"/>
          <w:szCs w:val="32"/>
        </w:rPr>
        <w:t>二〇二二年五月</w:t>
      </w:r>
      <w:r>
        <w:rPr>
          <w:rFonts w:hint="eastAsia" w:ascii="仿宋" w:hAnsi="仿宋" w:eastAsia="仿宋" w:cs="仿宋"/>
          <w:sz w:val="32"/>
          <w:szCs w:val="32"/>
          <w:lang w:eastAsia="zh-CN"/>
        </w:rPr>
        <w:t>十二</w:t>
      </w:r>
      <w:r>
        <w:rPr>
          <w:rFonts w:hint="eastAsia" w:ascii="仿宋" w:hAnsi="仿宋" w:eastAsia="仿宋" w:cs="仿宋"/>
          <w:sz w:val="32"/>
          <w:szCs w:val="32"/>
        </w:rPr>
        <w:t>日</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10</w:t>
      </w:r>
      <w:r>
        <w:rPr>
          <w:rFonts w:ascii="Times New Roman" w:hAnsi="Times New Roman" w:eastAsia="仿宋_GB2312" w:cs="Times New Roman"/>
          <w:sz w:val="28"/>
          <w:szCs w:val="28"/>
        </w:rPr>
        <w:t>日</w:t>
      </w:r>
    </w:p>
    <w:p>
      <w:pPr>
        <w:spacing w:line="56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5"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yZWY1Y2NhN2JjYTRhMjUxN2RlZmViMTdlZDFhNTY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27F0460"/>
    <w:rsid w:val="03A73B31"/>
    <w:rsid w:val="04C5649D"/>
    <w:rsid w:val="06803671"/>
    <w:rsid w:val="073E6F3C"/>
    <w:rsid w:val="07490707"/>
    <w:rsid w:val="082E31FF"/>
    <w:rsid w:val="0A9D106A"/>
    <w:rsid w:val="0AF51DF0"/>
    <w:rsid w:val="0BDF7179"/>
    <w:rsid w:val="0C68597E"/>
    <w:rsid w:val="0F1C2311"/>
    <w:rsid w:val="0FDE09E6"/>
    <w:rsid w:val="11DF57C6"/>
    <w:rsid w:val="12172001"/>
    <w:rsid w:val="129917DB"/>
    <w:rsid w:val="12AB7149"/>
    <w:rsid w:val="14196AC8"/>
    <w:rsid w:val="14491426"/>
    <w:rsid w:val="157E222F"/>
    <w:rsid w:val="15E745A2"/>
    <w:rsid w:val="16443E43"/>
    <w:rsid w:val="17510115"/>
    <w:rsid w:val="17E10A24"/>
    <w:rsid w:val="17FF28AC"/>
    <w:rsid w:val="18000697"/>
    <w:rsid w:val="19415BB3"/>
    <w:rsid w:val="19895A0E"/>
    <w:rsid w:val="1AA11B5D"/>
    <w:rsid w:val="1EC27FFB"/>
    <w:rsid w:val="1FD60677"/>
    <w:rsid w:val="20E03FCA"/>
    <w:rsid w:val="20F90A4D"/>
    <w:rsid w:val="21AF7885"/>
    <w:rsid w:val="23A91D85"/>
    <w:rsid w:val="25283A6A"/>
    <w:rsid w:val="25645A32"/>
    <w:rsid w:val="26E74AA2"/>
    <w:rsid w:val="271D64A4"/>
    <w:rsid w:val="277E76AF"/>
    <w:rsid w:val="2A93797A"/>
    <w:rsid w:val="2D1D3C71"/>
    <w:rsid w:val="2E2D6C30"/>
    <w:rsid w:val="2E434E08"/>
    <w:rsid w:val="2EF56638"/>
    <w:rsid w:val="2F0F2DE8"/>
    <w:rsid w:val="31280191"/>
    <w:rsid w:val="344F7285"/>
    <w:rsid w:val="34605E94"/>
    <w:rsid w:val="34735BC7"/>
    <w:rsid w:val="35B62865"/>
    <w:rsid w:val="37FF6C2C"/>
    <w:rsid w:val="382316B2"/>
    <w:rsid w:val="38B24769"/>
    <w:rsid w:val="3AB71B70"/>
    <w:rsid w:val="3B6E30B9"/>
    <w:rsid w:val="3E7120FF"/>
    <w:rsid w:val="3E973002"/>
    <w:rsid w:val="3F3B64BC"/>
    <w:rsid w:val="3F6E0BBC"/>
    <w:rsid w:val="3F852C53"/>
    <w:rsid w:val="40615CD2"/>
    <w:rsid w:val="41127513"/>
    <w:rsid w:val="42206C63"/>
    <w:rsid w:val="4311484D"/>
    <w:rsid w:val="433E290F"/>
    <w:rsid w:val="43942C39"/>
    <w:rsid w:val="44287E6B"/>
    <w:rsid w:val="451172E5"/>
    <w:rsid w:val="459F629A"/>
    <w:rsid w:val="470A2D16"/>
    <w:rsid w:val="47746782"/>
    <w:rsid w:val="47BF2A01"/>
    <w:rsid w:val="4AB132DC"/>
    <w:rsid w:val="4C473D74"/>
    <w:rsid w:val="4E610056"/>
    <w:rsid w:val="4E685C19"/>
    <w:rsid w:val="4EDD0DCF"/>
    <w:rsid w:val="4EF77B4F"/>
    <w:rsid w:val="527A0EDB"/>
    <w:rsid w:val="527D4703"/>
    <w:rsid w:val="535B3AF8"/>
    <w:rsid w:val="53E73FF6"/>
    <w:rsid w:val="53E75832"/>
    <w:rsid w:val="53F72BDF"/>
    <w:rsid w:val="55ED402C"/>
    <w:rsid w:val="57636D42"/>
    <w:rsid w:val="57A52ED3"/>
    <w:rsid w:val="58102F39"/>
    <w:rsid w:val="59E2253B"/>
    <w:rsid w:val="5AB31D56"/>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70E5575F"/>
    <w:rsid w:val="718928E9"/>
    <w:rsid w:val="73234838"/>
    <w:rsid w:val="73F80525"/>
    <w:rsid w:val="740578E3"/>
    <w:rsid w:val="76264EEE"/>
    <w:rsid w:val="76E51E33"/>
    <w:rsid w:val="77387F1B"/>
    <w:rsid w:val="780528B7"/>
    <w:rsid w:val="78754ADB"/>
    <w:rsid w:val="79531210"/>
    <w:rsid w:val="79893713"/>
    <w:rsid w:val="7A295A6E"/>
    <w:rsid w:val="7A312FF7"/>
    <w:rsid w:val="7AE665D2"/>
    <w:rsid w:val="7C273A6C"/>
    <w:rsid w:val="7C7D60D1"/>
    <w:rsid w:val="7D722603"/>
    <w:rsid w:val="7E6959D0"/>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70</TotalTime>
  <ScaleCrop>false</ScaleCrop>
  <LinksUpToDate>false</LinksUpToDate>
  <CharactersWithSpaces>1897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2022-01-21T01:18:00Z</cp:lastPrinted>
  <dcterms:modified xsi:type="dcterms:W3CDTF">2022-05-12T03:09:14Z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