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1" w:firstLineChars="300"/>
        <w:rPr>
          <w:rFonts w:ascii="微软雅黑" w:hAnsi="微软雅黑" w:eastAsia="微软雅黑" w:cs="微软雅黑"/>
          <w:b/>
          <w:i w:val="0"/>
          <w:caps w:val="0"/>
          <w:color w:val="000000"/>
          <w:spacing w:val="0"/>
          <w:sz w:val="36"/>
          <w:szCs w:val="36"/>
          <w:shd w:val="clear" w:fill="FFFFFF"/>
        </w:rPr>
      </w:pPr>
      <w:r>
        <w:rPr>
          <w:rFonts w:hint="eastAsia" w:ascii="微软雅黑" w:hAnsi="微软雅黑" w:eastAsia="微软雅黑" w:cs="微软雅黑"/>
          <w:b/>
          <w:i w:val="0"/>
          <w:caps w:val="0"/>
          <w:color w:val="000000"/>
          <w:spacing w:val="0"/>
          <w:sz w:val="36"/>
          <w:szCs w:val="36"/>
          <w:shd w:val="clear" w:fill="FFFFFF"/>
          <w:lang w:val="en-US" w:eastAsia="zh-CN"/>
        </w:rPr>
        <w:t>魏县</w:t>
      </w:r>
      <w:r>
        <w:rPr>
          <w:rFonts w:ascii="微软雅黑" w:hAnsi="微软雅黑" w:eastAsia="微软雅黑" w:cs="微软雅黑"/>
          <w:b/>
          <w:i w:val="0"/>
          <w:caps w:val="0"/>
          <w:color w:val="000000"/>
          <w:spacing w:val="0"/>
          <w:sz w:val="36"/>
          <w:szCs w:val="36"/>
          <w:shd w:val="clear" w:fill="FFFFFF"/>
        </w:rPr>
        <w:t>民族宗教事务局行政执法服务指南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000000"/>
          <w:spacing w:val="0"/>
          <w:sz w:val="21"/>
          <w:szCs w:val="21"/>
        </w:rPr>
      </w:pPr>
      <w:bookmarkStart w:id="0" w:name="_GoBack"/>
      <w:bookmarkEnd w:id="0"/>
      <w:r>
        <w:rPr>
          <w:rFonts w:ascii="仿宋_GB2312" w:hAnsi="微软雅黑" w:eastAsia="仿宋_GB2312" w:cs="仿宋_GB2312"/>
          <w:i w:val="0"/>
          <w:caps w:val="0"/>
          <w:color w:val="000000"/>
          <w:spacing w:val="0"/>
          <w:kern w:val="0"/>
          <w:sz w:val="32"/>
          <w:szCs w:val="32"/>
          <w:bdr w:val="none" w:color="auto" w:sz="0" w:space="0"/>
          <w:shd w:val="clear" w:fill="FFFFFF"/>
          <w:lang w:val="en-US" w:eastAsia="zh-CN" w:bidi="ar"/>
        </w:rPr>
        <w:t>本服务指南适用于筹备设立宗教活动场所审批的咨询、申请、受理、书面审查、实地核查、决定、送达和审批程序。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ascii="微软雅黑" w:hAnsi="微软雅黑" w:eastAsia="微软雅黑" w:cs="微软雅黑"/>
          <w:i w:val="0"/>
          <w:caps w:val="0"/>
          <w:color w:val="000000"/>
          <w:spacing w:val="0"/>
          <w:sz w:val="21"/>
          <w:szCs w:val="21"/>
        </w:rPr>
      </w:pPr>
      <w:r>
        <w:rPr>
          <w:rFonts w:ascii="仿宋_GB2312" w:hAnsi="微软雅黑" w:eastAsia="仿宋_GB2312" w:cs="仿宋_GB2312"/>
          <w:i w:val="0"/>
          <w:caps w:val="0"/>
          <w:color w:val="000000"/>
          <w:spacing w:val="0"/>
          <w:kern w:val="0"/>
          <w:sz w:val="32"/>
          <w:szCs w:val="32"/>
          <w:bdr w:val="none" w:color="auto" w:sz="0" w:space="0"/>
          <w:shd w:val="clear" w:fill="FFFFFF"/>
          <w:lang w:val="en-US" w:eastAsia="zh-CN" w:bidi="ar"/>
        </w:rPr>
        <w:t>筹备设立宗教活动场所，由宗教团体向拟设立的宗教活动场所所在地的县级人民政府宗教事务部门提出申请。县级人民政府宗教事务部门应当自收到申请之日起</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30日内提出审核意见，报设区的市级人民政府宗教事务部门。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设区的市级人民政府宗教事务部门应当自收到县级人民政府宗教事务部门报送的材料之日起30日内，对申请设立其他固定宗教活动处所的，作出批准或者不予批准的决定；对申请设立寺观教堂的，提出审核意见，报省、自治区、直辖市人民政府宗教事务部门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省、自治区、直辖市人民政府宗教事务部门应当自收到设区的市级人民政府宗教事务部门报送的材料之日起30日内，作出批准或者不予批准的决定。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宗教活动场所的设立申请获批准后，方可办理该宗教活动场所的筹建事项。</w:t>
      </w:r>
    </w:p>
    <w:p>
      <w:pPr>
        <w:ind w:firstLine="1081" w:firstLineChars="300"/>
        <w:rPr>
          <w:rFonts w:ascii="微软雅黑" w:hAnsi="微软雅黑" w:eastAsia="微软雅黑" w:cs="微软雅黑"/>
          <w:b/>
          <w:i w:val="0"/>
          <w:caps w:val="0"/>
          <w:color w:val="000000"/>
          <w:spacing w:val="0"/>
          <w:sz w:val="36"/>
          <w:szCs w:val="36"/>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8B5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2020-11-11T07:18:20Z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