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pPr>
      <w:r>
        <w:rPr>
          <w:rFonts w:hint="eastAsia" w:ascii="宋体" w:hAnsi="宋体" w:eastAsia="宋体" w:cs="宋体"/>
          <w:color w:val="000000"/>
          <w:sz w:val="44"/>
          <w:szCs w:val="44"/>
        </w:rPr>
        <w:t>魏县202</w:t>
      </w:r>
      <w:r>
        <w:rPr>
          <w:rFonts w:hint="eastAsia" w:ascii="宋体" w:hAnsi="宋体" w:eastAsia="宋体" w:cs="宋体"/>
          <w:color w:val="000000"/>
          <w:sz w:val="44"/>
          <w:szCs w:val="44"/>
          <w:lang w:val="en-US" w:eastAsia="zh-CN"/>
        </w:rPr>
        <w:t>6</w:t>
      </w:r>
      <w:r>
        <w:rPr>
          <w:rFonts w:hint="eastAsia" w:ascii="宋体" w:hAnsi="宋体" w:eastAsia="宋体" w:cs="宋体"/>
          <w:color w:val="000000"/>
          <w:sz w:val="44"/>
          <w:szCs w:val="44"/>
        </w:rPr>
        <w:t>年预算公开有关情况的</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rPr>
          <w:rFonts w:hint="eastAsia" w:ascii="宋体" w:hAnsi="宋体" w:eastAsia="宋体" w:cs="宋体"/>
          <w:color w:val="000000"/>
          <w:sz w:val="44"/>
          <w:szCs w:val="44"/>
        </w:rPr>
        <w:t>说 明</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t> </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rPr>
          <w:rFonts w:ascii="仿宋" w:hAnsi="仿宋" w:eastAsia="仿宋" w:cs="仿宋"/>
          <w:color w:val="000000"/>
          <w:sz w:val="36"/>
          <w:szCs w:val="36"/>
        </w:rPr>
        <w:t>第一部分</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rPr>
          <w:rFonts w:hint="eastAsia" w:ascii="仿宋" w:hAnsi="仿宋" w:eastAsia="仿宋" w:cs="仿宋"/>
          <w:color w:val="000000"/>
          <w:sz w:val="36"/>
          <w:szCs w:val="36"/>
        </w:rPr>
        <w:t>202</w:t>
      </w:r>
      <w:r>
        <w:rPr>
          <w:rFonts w:hint="eastAsia" w:ascii="仿宋" w:hAnsi="仿宋" w:eastAsia="仿宋" w:cs="仿宋"/>
          <w:color w:val="000000"/>
          <w:sz w:val="36"/>
          <w:szCs w:val="36"/>
          <w:lang w:val="en-US" w:eastAsia="zh-CN"/>
        </w:rPr>
        <w:t>6</w:t>
      </w:r>
      <w:r>
        <w:rPr>
          <w:rFonts w:hint="eastAsia" w:ascii="仿宋" w:hAnsi="仿宋" w:eastAsia="仿宋" w:cs="仿宋"/>
          <w:color w:val="000000"/>
          <w:sz w:val="36"/>
          <w:szCs w:val="36"/>
        </w:rPr>
        <w:t>年财政拨款“三公”经费情况</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both"/>
        <w:textAlignment w:val="auto"/>
      </w:pPr>
      <w:r>
        <w:t> </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30"/>
        <w:jc w:val="both"/>
        <w:textAlignment w:val="auto"/>
      </w:pPr>
      <w:r>
        <w:rPr>
          <w:rFonts w:ascii="黑体" w:hAnsi="宋体" w:eastAsia="黑体" w:cs="黑体"/>
          <w:color w:val="000000"/>
          <w:sz w:val="32"/>
          <w:szCs w:val="32"/>
        </w:rPr>
        <w:t>一、预算安排情况</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30"/>
        <w:jc w:val="both"/>
        <w:textAlignment w:val="auto"/>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年，县级财政性资金安排“三公”经费预算5</w:t>
      </w:r>
      <w:r>
        <w:rPr>
          <w:rFonts w:hint="eastAsia" w:ascii="仿宋" w:hAnsi="仿宋" w:eastAsia="仿宋" w:cs="仿宋"/>
          <w:color w:val="000000"/>
          <w:sz w:val="32"/>
          <w:szCs w:val="32"/>
          <w:lang w:val="en-US" w:eastAsia="zh-CN"/>
        </w:rPr>
        <w:t>82</w:t>
      </w:r>
      <w:r>
        <w:rPr>
          <w:rFonts w:hint="eastAsia" w:ascii="仿宋" w:hAnsi="仿宋" w:eastAsia="仿宋" w:cs="仿宋"/>
          <w:color w:val="000000"/>
          <w:sz w:val="32"/>
          <w:szCs w:val="32"/>
        </w:rPr>
        <w:t>万元，与上年持平。具体情况为：</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159" w:firstLine="469"/>
        <w:jc w:val="both"/>
        <w:textAlignment w:val="auto"/>
      </w:pPr>
      <w:r>
        <w:rPr>
          <w:rFonts w:hint="eastAsia" w:ascii="仿宋" w:hAnsi="仿宋" w:eastAsia="仿宋" w:cs="仿宋"/>
          <w:b/>
          <w:bCs/>
          <w:color w:val="000000"/>
          <w:sz w:val="32"/>
          <w:szCs w:val="32"/>
        </w:rPr>
        <w:t>一、公务用车购置及运行费。</w:t>
      </w:r>
      <w:r>
        <w:rPr>
          <w:rFonts w:hint="eastAsia" w:ascii="仿宋" w:hAnsi="仿宋" w:eastAsia="仿宋" w:cs="仿宋"/>
          <w:color w:val="000000"/>
          <w:sz w:val="32"/>
          <w:szCs w:val="32"/>
        </w:rPr>
        <w:t>安排38</w:t>
      </w:r>
      <w:bookmarkStart w:id="0" w:name="_GoBack"/>
      <w:bookmarkEnd w:id="0"/>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万元（其中：公务用车购置费安排</w:t>
      </w:r>
      <w:r>
        <w:rPr>
          <w:rFonts w:hint="eastAsia" w:ascii="仿宋" w:hAnsi="仿宋" w:eastAsia="仿宋" w:cs="仿宋"/>
          <w:color w:val="000000"/>
          <w:sz w:val="32"/>
          <w:szCs w:val="32"/>
          <w:lang w:val="en-US" w:eastAsia="zh-CN"/>
        </w:rPr>
        <w:t>56</w:t>
      </w:r>
      <w:r>
        <w:rPr>
          <w:rFonts w:hint="eastAsia" w:ascii="仿宋" w:hAnsi="仿宋" w:eastAsia="仿宋" w:cs="仿宋"/>
          <w:color w:val="000000"/>
          <w:sz w:val="32"/>
          <w:szCs w:val="32"/>
        </w:rPr>
        <w:t>万元，公务用车运行维护费安排3</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rPr>
        <w:t>万元），均与上年持平。</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159" w:firstLine="469"/>
        <w:jc w:val="both"/>
        <w:textAlignment w:val="auto"/>
      </w:pPr>
      <w:r>
        <w:rPr>
          <w:rFonts w:hint="eastAsia" w:ascii="仿宋" w:hAnsi="仿宋" w:eastAsia="仿宋" w:cs="仿宋"/>
          <w:b/>
          <w:bCs/>
          <w:color w:val="000000"/>
          <w:sz w:val="32"/>
          <w:szCs w:val="32"/>
        </w:rPr>
        <w:t>二、公务接待费。</w:t>
      </w:r>
      <w:r>
        <w:rPr>
          <w:rFonts w:hint="eastAsia" w:ascii="仿宋" w:hAnsi="仿宋" w:eastAsia="仿宋" w:cs="仿宋"/>
          <w:color w:val="000000"/>
          <w:sz w:val="32"/>
          <w:szCs w:val="32"/>
        </w:rPr>
        <w:t>安排17</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万元，与上年持平。</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30"/>
        <w:jc w:val="both"/>
        <w:textAlignment w:val="auto"/>
      </w:pPr>
      <w:r>
        <w:rPr>
          <w:rFonts w:hint="eastAsia" w:ascii="仿宋" w:hAnsi="仿宋" w:eastAsia="仿宋" w:cs="仿宋"/>
          <w:b/>
          <w:bCs/>
          <w:color w:val="000000"/>
          <w:sz w:val="32"/>
          <w:szCs w:val="32"/>
        </w:rPr>
        <w:t>三、因公出国（境）费。</w:t>
      </w:r>
      <w:r>
        <w:rPr>
          <w:rFonts w:hint="eastAsia" w:ascii="仿宋" w:hAnsi="仿宋" w:eastAsia="仿宋" w:cs="仿宋"/>
          <w:color w:val="000000"/>
          <w:sz w:val="32"/>
          <w:szCs w:val="32"/>
        </w:rPr>
        <w:t>通过财政预留安排</w:t>
      </w:r>
      <w:r>
        <w:rPr>
          <w:rFonts w:hint="eastAsia" w:ascii="仿宋" w:hAnsi="仿宋" w:eastAsia="仿宋" w:cs="仿宋"/>
          <w:color w:val="000000"/>
          <w:sz w:val="32"/>
          <w:szCs w:val="32"/>
          <w:lang w:val="en-US" w:eastAsia="zh-CN"/>
        </w:rPr>
        <w:t>29</w:t>
      </w:r>
      <w:r>
        <w:rPr>
          <w:rFonts w:hint="eastAsia" w:ascii="仿宋" w:hAnsi="仿宋" w:eastAsia="仿宋" w:cs="仿宋"/>
          <w:color w:val="000000"/>
          <w:sz w:val="32"/>
          <w:szCs w:val="32"/>
        </w:rPr>
        <w:t>万元，与上年持平。</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jc w:val="both"/>
        <w:textAlignment w:val="auto"/>
      </w:pPr>
      <w:r>
        <w:rPr>
          <w:rFonts w:hint="eastAsia" w:ascii="黑体" w:hAnsi="宋体" w:eastAsia="黑体" w:cs="黑体"/>
          <w:color w:val="000000"/>
          <w:sz w:val="32"/>
          <w:szCs w:val="32"/>
        </w:rPr>
        <w:t>二、预算安排的基本思想和指导原则</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jc w:val="both"/>
        <w:textAlignment w:val="auto"/>
      </w:pPr>
      <w:r>
        <w:rPr>
          <w:rFonts w:hint="eastAsia" w:ascii="仿宋" w:hAnsi="仿宋" w:eastAsia="仿宋" w:cs="仿宋"/>
          <w:color w:val="000000"/>
          <w:sz w:val="32"/>
          <w:szCs w:val="32"/>
        </w:rPr>
        <w:t>我县“三公”经费预算安排的基本原则是：严格执行中央八项规定和党中央过“紧日子”的要求，坚持“三公”经费只减不增的精神，积极推进公务用车制度改革，强化公务接待经费管理，严格控制出国境经费等有效措施，大力压减一般性支出，把有限的资金用在刀刃上。鉴于我县政府机构改革和政府机关单位公务用车改革工作已经完成，保留公车数量已趋稳定，综合考虑我县物价水平及实际工作需求等多种因素，未再对因公车购置及运行费、公务接待费和因公出国（境）费进行压减；另外，按照上级有关规定，在预算安排中对严格控制一般性支出，真正做到了有保有压，集中有限的财力重点用于“保基本民、生保工资、保运转”，服务全县经济社会稳定大局，确保本年度预算执行平稳顺畅，保障有力。</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jc w:val="both"/>
        <w:textAlignment w:val="auto"/>
      </w:pPr>
      <w:r>
        <w:t> </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rPr>
          <w:rFonts w:hint="eastAsia" w:ascii="仿宋" w:hAnsi="仿宋" w:eastAsia="仿宋" w:cs="仿宋"/>
          <w:color w:val="000000"/>
          <w:sz w:val="36"/>
          <w:szCs w:val="36"/>
        </w:rPr>
        <w:t>第二部分</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rPr>
          <w:rFonts w:hint="eastAsia" w:ascii="仿宋" w:hAnsi="仿宋" w:eastAsia="仿宋" w:cs="仿宋"/>
          <w:color w:val="000000"/>
          <w:sz w:val="36"/>
          <w:szCs w:val="36"/>
        </w:rPr>
        <w:t>202</w:t>
      </w:r>
      <w:r>
        <w:rPr>
          <w:rFonts w:hint="eastAsia" w:ascii="仿宋" w:hAnsi="仿宋" w:eastAsia="仿宋" w:cs="仿宋"/>
          <w:color w:val="000000"/>
          <w:sz w:val="36"/>
          <w:szCs w:val="36"/>
          <w:lang w:val="en-US" w:eastAsia="zh-CN"/>
        </w:rPr>
        <w:t>6</w:t>
      </w:r>
      <w:r>
        <w:rPr>
          <w:rFonts w:hint="eastAsia" w:ascii="仿宋" w:hAnsi="仿宋" w:eastAsia="仿宋" w:cs="仿宋"/>
          <w:color w:val="000000"/>
          <w:sz w:val="36"/>
          <w:szCs w:val="36"/>
        </w:rPr>
        <w:t xml:space="preserve"> 年政府性债务资金情况</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t> </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60"/>
        <w:jc w:val="both"/>
        <w:textAlignment w:val="auto"/>
        <w:rPr>
          <w:highlight w:val="none"/>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年我县安排偿还地方政府债务资</w:t>
      </w:r>
      <w:r>
        <w:rPr>
          <w:rFonts w:hint="eastAsia" w:ascii="仿宋" w:hAnsi="仿宋" w:eastAsia="仿宋" w:cs="仿宋"/>
          <w:color w:val="000000"/>
          <w:sz w:val="32"/>
          <w:szCs w:val="32"/>
          <w:highlight w:val="none"/>
        </w:rPr>
        <w:t>金</w:t>
      </w:r>
      <w:r>
        <w:rPr>
          <w:rFonts w:hint="eastAsia" w:ascii="仿宋" w:hAnsi="仿宋" w:eastAsia="仿宋" w:cs="仿宋"/>
          <w:color w:val="000000"/>
          <w:sz w:val="32"/>
          <w:szCs w:val="32"/>
          <w:highlight w:val="none"/>
          <w:lang w:val="en-US" w:eastAsia="zh-CN"/>
        </w:rPr>
        <w:t>7.99亿</w:t>
      </w:r>
      <w:r>
        <w:rPr>
          <w:rFonts w:hint="eastAsia" w:ascii="仿宋" w:hAnsi="仿宋" w:eastAsia="仿宋" w:cs="仿宋"/>
          <w:color w:val="000000"/>
          <w:sz w:val="32"/>
          <w:szCs w:val="32"/>
          <w:highlight w:val="none"/>
        </w:rPr>
        <w:t>元，具体情况如下：</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60"/>
        <w:jc w:val="both"/>
        <w:textAlignment w:val="auto"/>
        <w:rPr>
          <w:highlight w:val="none"/>
        </w:rPr>
      </w:pPr>
      <w:r>
        <w:rPr>
          <w:rFonts w:hint="eastAsia" w:ascii="仿宋" w:hAnsi="仿宋" w:eastAsia="仿宋" w:cs="仿宋"/>
          <w:b/>
          <w:bCs/>
          <w:color w:val="000000"/>
          <w:sz w:val="32"/>
          <w:szCs w:val="32"/>
          <w:highlight w:val="none"/>
        </w:rPr>
        <w:t>（一）一般公共预算安排情况。</w:t>
      </w:r>
      <w:r>
        <w:rPr>
          <w:rFonts w:hint="eastAsia" w:ascii="仿宋" w:hAnsi="仿宋" w:eastAsia="仿宋" w:cs="仿宋"/>
          <w:color w:val="000000"/>
          <w:sz w:val="32"/>
          <w:szCs w:val="32"/>
          <w:highlight w:val="none"/>
        </w:rPr>
        <w:t>202</w:t>
      </w:r>
      <w:r>
        <w:rPr>
          <w:rFonts w:hint="eastAsia" w:ascii="仿宋" w:hAnsi="仿宋" w:eastAsia="仿宋" w:cs="仿宋"/>
          <w:color w:val="000000"/>
          <w:sz w:val="32"/>
          <w:szCs w:val="32"/>
          <w:highlight w:val="none"/>
          <w:lang w:val="en-US" w:eastAsia="zh-CN"/>
        </w:rPr>
        <w:t>6</w:t>
      </w:r>
      <w:r>
        <w:rPr>
          <w:rFonts w:hint="eastAsia" w:ascii="仿宋" w:hAnsi="仿宋" w:eastAsia="仿宋" w:cs="仿宋"/>
          <w:color w:val="000000"/>
          <w:sz w:val="32"/>
          <w:szCs w:val="32"/>
          <w:highlight w:val="none"/>
        </w:rPr>
        <w:t>年，我县公共财政预算共安排偿还地方政府债务支出</w:t>
      </w:r>
      <w:r>
        <w:rPr>
          <w:rFonts w:hint="eastAsia" w:ascii="仿宋" w:hAnsi="仿宋" w:eastAsia="仿宋" w:cs="仿宋"/>
          <w:color w:val="000000"/>
          <w:sz w:val="32"/>
          <w:szCs w:val="32"/>
          <w:highlight w:val="none"/>
          <w:lang w:val="en-US" w:eastAsia="zh-CN"/>
        </w:rPr>
        <w:t>2.55</w:t>
      </w:r>
      <w:r>
        <w:rPr>
          <w:rFonts w:hint="eastAsia" w:ascii="仿宋" w:hAnsi="仿宋" w:eastAsia="仿宋" w:cs="仿宋"/>
          <w:color w:val="000000"/>
          <w:sz w:val="32"/>
          <w:szCs w:val="32"/>
          <w:highlight w:val="none"/>
        </w:rPr>
        <w:t>亿元。具体包括：</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jc w:val="both"/>
        <w:textAlignment w:val="auto"/>
        <w:rPr>
          <w:highlight w:val="none"/>
        </w:rPr>
      </w:pPr>
      <w:r>
        <w:rPr>
          <w:rFonts w:hint="eastAsia" w:ascii="仿宋" w:hAnsi="仿宋" w:eastAsia="仿宋" w:cs="仿宋"/>
          <w:color w:val="000000"/>
          <w:sz w:val="32"/>
          <w:szCs w:val="32"/>
          <w:highlight w:val="none"/>
        </w:rPr>
        <w:t>1.一般政府债券还本支出</w:t>
      </w:r>
      <w:r>
        <w:rPr>
          <w:rFonts w:hint="eastAsia" w:ascii="仿宋" w:hAnsi="仿宋" w:eastAsia="仿宋" w:cs="仿宋"/>
          <w:color w:val="000000"/>
          <w:sz w:val="32"/>
          <w:szCs w:val="32"/>
          <w:highlight w:val="none"/>
          <w:lang w:val="en-US" w:eastAsia="zh-CN"/>
        </w:rPr>
        <w:t>1.592</w:t>
      </w:r>
      <w:r>
        <w:rPr>
          <w:rFonts w:hint="eastAsia" w:ascii="仿宋" w:hAnsi="仿宋" w:eastAsia="仿宋" w:cs="仿宋"/>
          <w:color w:val="000000"/>
          <w:sz w:val="32"/>
          <w:szCs w:val="32"/>
          <w:highlight w:val="none"/>
        </w:rPr>
        <w:t>亿元；</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jc w:val="both"/>
        <w:textAlignment w:val="auto"/>
        <w:rPr>
          <w:highlight w:val="none"/>
        </w:rPr>
      </w:pPr>
      <w:r>
        <w:rPr>
          <w:rFonts w:hint="eastAsia" w:ascii="仿宋" w:hAnsi="仿宋" w:eastAsia="仿宋" w:cs="仿宋"/>
          <w:color w:val="000000"/>
          <w:sz w:val="32"/>
          <w:szCs w:val="32"/>
          <w:highlight w:val="none"/>
        </w:rPr>
        <w:t>2.一般政府债券付息支出</w:t>
      </w:r>
      <w:r>
        <w:rPr>
          <w:rFonts w:hint="eastAsia" w:ascii="仿宋" w:hAnsi="仿宋" w:eastAsia="仿宋" w:cs="仿宋"/>
          <w:color w:val="000000"/>
          <w:sz w:val="32"/>
          <w:szCs w:val="32"/>
          <w:highlight w:val="none"/>
          <w:lang w:val="en-US" w:eastAsia="zh-CN"/>
        </w:rPr>
        <w:t>0.957</w:t>
      </w:r>
      <w:r>
        <w:rPr>
          <w:rFonts w:hint="eastAsia" w:ascii="仿宋" w:hAnsi="仿宋" w:eastAsia="仿宋" w:cs="仿宋"/>
          <w:color w:val="000000"/>
          <w:sz w:val="32"/>
          <w:szCs w:val="32"/>
          <w:highlight w:val="none"/>
        </w:rPr>
        <w:t>亿元；</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jc w:val="both"/>
        <w:textAlignment w:val="auto"/>
        <w:rPr>
          <w:highlight w:val="none"/>
        </w:rPr>
      </w:pPr>
      <w:r>
        <w:rPr>
          <w:rFonts w:hint="eastAsia" w:ascii="仿宋" w:hAnsi="仿宋" w:eastAsia="仿宋" w:cs="仿宋"/>
          <w:color w:val="000000"/>
          <w:sz w:val="32"/>
          <w:szCs w:val="32"/>
          <w:highlight w:val="none"/>
        </w:rPr>
        <w:t>3.一般政府债券服务费</w:t>
      </w:r>
      <w:r>
        <w:rPr>
          <w:rFonts w:hint="eastAsia" w:ascii="仿宋" w:hAnsi="仿宋" w:eastAsia="仿宋" w:cs="仿宋"/>
          <w:color w:val="000000"/>
          <w:sz w:val="32"/>
          <w:szCs w:val="32"/>
          <w:highlight w:val="none"/>
          <w:lang w:val="en-US" w:eastAsia="zh-CN"/>
        </w:rPr>
        <w:t>51</w:t>
      </w:r>
      <w:r>
        <w:rPr>
          <w:rFonts w:hint="eastAsia" w:ascii="仿宋" w:hAnsi="仿宋" w:eastAsia="仿宋" w:cs="仿宋"/>
          <w:color w:val="000000"/>
          <w:sz w:val="32"/>
          <w:szCs w:val="32"/>
          <w:highlight w:val="none"/>
        </w:rPr>
        <w:t>万元。</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60"/>
        <w:jc w:val="both"/>
        <w:textAlignment w:val="auto"/>
        <w:rPr>
          <w:highlight w:val="none"/>
        </w:rPr>
      </w:pPr>
      <w:r>
        <w:rPr>
          <w:rFonts w:hint="eastAsia" w:ascii="仿宋" w:hAnsi="仿宋" w:eastAsia="仿宋" w:cs="仿宋"/>
          <w:b/>
          <w:bCs/>
          <w:color w:val="000000"/>
          <w:sz w:val="32"/>
          <w:szCs w:val="32"/>
          <w:highlight w:val="none"/>
        </w:rPr>
        <w:t>（二）政府性基金预算安排情况。</w:t>
      </w:r>
      <w:r>
        <w:rPr>
          <w:rFonts w:hint="eastAsia" w:ascii="仿宋" w:hAnsi="仿宋" w:eastAsia="仿宋" w:cs="仿宋"/>
          <w:color w:val="000000"/>
          <w:sz w:val="32"/>
          <w:szCs w:val="32"/>
          <w:highlight w:val="none"/>
        </w:rPr>
        <w:t>202</w:t>
      </w:r>
      <w:r>
        <w:rPr>
          <w:rFonts w:hint="eastAsia" w:ascii="仿宋" w:hAnsi="仿宋" w:eastAsia="仿宋" w:cs="仿宋"/>
          <w:color w:val="000000"/>
          <w:sz w:val="32"/>
          <w:szCs w:val="32"/>
          <w:highlight w:val="none"/>
          <w:lang w:val="en-US" w:eastAsia="zh-CN"/>
        </w:rPr>
        <w:t>6</w:t>
      </w:r>
      <w:r>
        <w:rPr>
          <w:rFonts w:hint="eastAsia" w:ascii="仿宋" w:hAnsi="仿宋" w:eastAsia="仿宋" w:cs="仿宋"/>
          <w:color w:val="000000"/>
          <w:sz w:val="32"/>
          <w:szCs w:val="32"/>
          <w:highlight w:val="none"/>
        </w:rPr>
        <w:t>年，我县政府性基金预算共安排偿还地方政府专项债务支出5.</w:t>
      </w:r>
      <w:r>
        <w:rPr>
          <w:rFonts w:hint="eastAsia" w:ascii="仿宋" w:hAnsi="仿宋" w:eastAsia="仿宋" w:cs="仿宋"/>
          <w:color w:val="000000"/>
          <w:sz w:val="32"/>
          <w:szCs w:val="32"/>
          <w:highlight w:val="none"/>
          <w:lang w:val="en-US" w:eastAsia="zh-CN"/>
        </w:rPr>
        <w:t>44</w:t>
      </w:r>
      <w:r>
        <w:rPr>
          <w:rFonts w:hint="eastAsia" w:ascii="仿宋" w:hAnsi="仿宋" w:eastAsia="仿宋" w:cs="仿宋"/>
          <w:color w:val="000000"/>
          <w:sz w:val="32"/>
          <w:szCs w:val="32"/>
          <w:highlight w:val="none"/>
        </w:rPr>
        <w:t>亿元。具体包括：</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60"/>
        <w:jc w:val="both"/>
        <w:textAlignment w:val="auto"/>
        <w:rPr>
          <w:highlight w:val="none"/>
        </w:rPr>
      </w:pPr>
      <w:r>
        <w:rPr>
          <w:rFonts w:hint="eastAsia" w:ascii="仿宋" w:hAnsi="仿宋" w:eastAsia="仿宋" w:cs="仿宋"/>
          <w:color w:val="000000"/>
          <w:sz w:val="32"/>
          <w:szCs w:val="32"/>
          <w:highlight w:val="none"/>
        </w:rPr>
        <w:t>1、专项政府债券还本支出</w:t>
      </w:r>
      <w:r>
        <w:rPr>
          <w:rFonts w:hint="eastAsia" w:ascii="仿宋" w:hAnsi="仿宋" w:eastAsia="仿宋" w:cs="仿宋"/>
          <w:color w:val="000000"/>
          <w:sz w:val="32"/>
          <w:szCs w:val="32"/>
          <w:highlight w:val="none"/>
          <w:lang w:val="en-US" w:eastAsia="zh-CN"/>
        </w:rPr>
        <w:t>3.468</w:t>
      </w:r>
      <w:r>
        <w:rPr>
          <w:rFonts w:hint="eastAsia" w:ascii="仿宋" w:hAnsi="仿宋" w:eastAsia="仿宋" w:cs="仿宋"/>
          <w:color w:val="000000"/>
          <w:sz w:val="32"/>
          <w:szCs w:val="32"/>
          <w:highlight w:val="none"/>
        </w:rPr>
        <w:t>亿元；</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60"/>
        <w:jc w:val="both"/>
        <w:textAlignment w:val="auto"/>
        <w:rPr>
          <w:highlight w:val="none"/>
        </w:rPr>
      </w:pPr>
      <w:r>
        <w:rPr>
          <w:rFonts w:hint="eastAsia" w:ascii="仿宋" w:hAnsi="仿宋" w:eastAsia="仿宋" w:cs="仿宋"/>
          <w:color w:val="000000"/>
          <w:sz w:val="32"/>
          <w:szCs w:val="32"/>
          <w:highlight w:val="none"/>
        </w:rPr>
        <w:t>2、专项政府债券付息支出1.9</w:t>
      </w:r>
      <w:r>
        <w:rPr>
          <w:rFonts w:hint="eastAsia" w:ascii="仿宋" w:hAnsi="仿宋" w:eastAsia="仿宋" w:cs="仿宋"/>
          <w:color w:val="000000"/>
          <w:sz w:val="32"/>
          <w:szCs w:val="32"/>
          <w:highlight w:val="none"/>
          <w:lang w:val="en-US" w:eastAsia="zh-CN"/>
        </w:rPr>
        <w:t>622</w:t>
      </w:r>
      <w:r>
        <w:rPr>
          <w:rFonts w:hint="eastAsia" w:ascii="仿宋" w:hAnsi="仿宋" w:eastAsia="仿宋" w:cs="仿宋"/>
          <w:color w:val="000000"/>
          <w:sz w:val="32"/>
          <w:szCs w:val="32"/>
          <w:highlight w:val="none"/>
        </w:rPr>
        <w:t>亿元；</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60"/>
        <w:jc w:val="both"/>
        <w:textAlignment w:val="auto"/>
        <w:rPr>
          <w:highlight w:val="none"/>
        </w:rPr>
      </w:pPr>
      <w:r>
        <w:rPr>
          <w:rFonts w:hint="eastAsia" w:ascii="仿宋" w:hAnsi="仿宋" w:eastAsia="仿宋" w:cs="仿宋"/>
          <w:color w:val="000000"/>
          <w:sz w:val="32"/>
          <w:szCs w:val="32"/>
          <w:highlight w:val="none"/>
        </w:rPr>
        <w:t>3、专项债务发行费用支出</w:t>
      </w:r>
      <w:r>
        <w:rPr>
          <w:rFonts w:hint="eastAsia" w:ascii="仿宋" w:hAnsi="仿宋" w:eastAsia="仿宋" w:cs="仿宋"/>
          <w:color w:val="000000"/>
          <w:sz w:val="32"/>
          <w:szCs w:val="32"/>
          <w:highlight w:val="none"/>
          <w:lang w:val="en-US" w:eastAsia="zh-CN"/>
        </w:rPr>
        <w:t>152万</w:t>
      </w:r>
      <w:r>
        <w:rPr>
          <w:rFonts w:hint="eastAsia" w:ascii="仿宋" w:hAnsi="仿宋" w:eastAsia="仿宋" w:cs="仿宋"/>
          <w:color w:val="000000"/>
          <w:sz w:val="32"/>
          <w:szCs w:val="32"/>
          <w:highlight w:val="none"/>
        </w:rPr>
        <w:t>元。</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firstLine="600"/>
        <w:textAlignment w:val="auto"/>
      </w:pPr>
      <w:r>
        <w:rPr>
          <w:rFonts w:hint="eastAsia" w:ascii="仿宋" w:hAnsi="仿宋" w:eastAsia="仿宋" w:cs="仿宋"/>
          <w:color w:val="000000"/>
          <w:sz w:val="32"/>
          <w:szCs w:val="32"/>
          <w:shd w:val="clear" w:fill="FFFFFF"/>
        </w:rPr>
        <w:t>202</w:t>
      </w:r>
      <w:r>
        <w:rPr>
          <w:rFonts w:hint="eastAsia" w:ascii="仿宋" w:hAnsi="仿宋" w:eastAsia="仿宋" w:cs="仿宋"/>
          <w:color w:val="000000"/>
          <w:sz w:val="32"/>
          <w:szCs w:val="32"/>
          <w:shd w:val="clear" w:fill="FFFFFF"/>
          <w:lang w:val="en-US" w:eastAsia="zh-CN"/>
        </w:rPr>
        <w:t>6</w:t>
      </w:r>
      <w:r>
        <w:rPr>
          <w:rFonts w:hint="eastAsia" w:ascii="仿宋" w:hAnsi="仿宋" w:eastAsia="仿宋" w:cs="仿宋"/>
          <w:color w:val="000000"/>
          <w:sz w:val="32"/>
          <w:szCs w:val="32"/>
          <w:shd w:val="clear" w:fill="FFFFFF"/>
        </w:rPr>
        <w:t>年，我县将根据上级财政部门的有关要求，</w:t>
      </w:r>
      <w:r>
        <w:rPr>
          <w:rFonts w:ascii="仿宋_GB2312" w:eastAsia="仿宋_GB2312" w:cs="仿宋_GB2312"/>
          <w:b/>
          <w:bCs/>
          <w:color w:val="000000"/>
          <w:sz w:val="32"/>
          <w:szCs w:val="32"/>
          <w:shd w:val="clear" w:fill="FFFFFF"/>
        </w:rPr>
        <w:t>一是</w:t>
      </w:r>
      <w:r>
        <w:rPr>
          <w:rFonts w:hint="default" w:ascii="仿宋_GB2312" w:eastAsia="仿宋_GB2312" w:cs="仿宋_GB2312"/>
          <w:color w:val="000000"/>
          <w:sz w:val="32"/>
          <w:szCs w:val="32"/>
          <w:shd w:val="clear" w:fill="FFFFFF"/>
        </w:rPr>
        <w:t>强化债务管理，坚守风险底线。继续按照“适度举债、加强管理、规避风险”的原则，细化债务管理目标，实施政府性债务管控，提高债务管理精细化水平，切实杜绝新增隐性债务。</w:t>
      </w:r>
      <w:r>
        <w:rPr>
          <w:rFonts w:hint="eastAsia" w:ascii="仿宋" w:hAnsi="仿宋" w:eastAsia="仿宋" w:cs="仿宋"/>
          <w:b/>
          <w:bCs/>
          <w:color w:val="000000"/>
          <w:sz w:val="32"/>
          <w:szCs w:val="32"/>
          <w:shd w:val="clear" w:fill="FFFFFF"/>
        </w:rPr>
        <w:t>二是</w:t>
      </w:r>
      <w:r>
        <w:rPr>
          <w:rFonts w:hint="eastAsia" w:ascii="仿宋" w:hAnsi="仿宋" w:eastAsia="仿宋" w:cs="仿宋"/>
          <w:color w:val="000000"/>
          <w:sz w:val="32"/>
          <w:szCs w:val="32"/>
          <w:shd w:val="clear" w:fill="FFFFFF"/>
        </w:rPr>
        <w:t>加强与省财政厅对接，及时把握相关政策动向和债券支持方向，进一步加大项目包装入库力度，做好公益性基础设施建设和新型城镇化建设相关项目资金争跑工作。</w:t>
      </w:r>
      <w:r>
        <w:rPr>
          <w:rFonts w:hint="eastAsia" w:ascii="仿宋" w:hAnsi="仿宋" w:eastAsia="仿宋" w:cs="仿宋"/>
          <w:b/>
          <w:bCs/>
          <w:color w:val="000000"/>
          <w:sz w:val="32"/>
          <w:szCs w:val="32"/>
          <w:shd w:val="clear" w:fill="FFFFFF"/>
        </w:rPr>
        <w:t>三是</w:t>
      </w:r>
      <w:r>
        <w:rPr>
          <w:rFonts w:hint="eastAsia" w:ascii="仿宋" w:hAnsi="仿宋" w:eastAsia="仿宋" w:cs="仿宋"/>
          <w:color w:val="000000"/>
          <w:sz w:val="32"/>
          <w:szCs w:val="32"/>
          <w:shd w:val="clear" w:fill="FFFFFF"/>
        </w:rPr>
        <w:t>健全县级财政运行监控机制，进一步强化财政运行风险评估，加强国库资金管理，规范财政往来款项管理，加大暂付款管控力度，确保不发生新的暂付款事项，促进县级财政健康良性发展。</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60"/>
        <w:jc w:val="both"/>
        <w:textAlignment w:val="auto"/>
      </w:pPr>
      <w:r>
        <w:t> </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rPr>
          <w:rFonts w:hint="eastAsia" w:ascii="仿宋" w:hAnsi="仿宋" w:eastAsia="仿宋" w:cs="仿宋"/>
          <w:color w:val="000000"/>
          <w:sz w:val="36"/>
          <w:szCs w:val="36"/>
        </w:rPr>
        <w:t>第三部分</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rPr>
          <w:rFonts w:hint="eastAsia" w:ascii="仿宋" w:hAnsi="仿宋" w:eastAsia="仿宋" w:cs="仿宋"/>
          <w:color w:val="000000"/>
          <w:sz w:val="36"/>
          <w:szCs w:val="36"/>
        </w:rPr>
        <w:t>202</w:t>
      </w:r>
      <w:r>
        <w:rPr>
          <w:rFonts w:hint="eastAsia" w:ascii="仿宋" w:hAnsi="仿宋" w:eastAsia="仿宋" w:cs="仿宋"/>
          <w:color w:val="000000"/>
          <w:sz w:val="36"/>
          <w:szCs w:val="36"/>
          <w:lang w:val="en-US" w:eastAsia="zh-CN"/>
        </w:rPr>
        <w:t>6</w:t>
      </w:r>
      <w:r>
        <w:rPr>
          <w:rFonts w:hint="eastAsia" w:ascii="仿宋" w:hAnsi="仿宋" w:eastAsia="仿宋" w:cs="仿宋"/>
          <w:color w:val="000000"/>
          <w:sz w:val="36"/>
          <w:szCs w:val="36"/>
        </w:rPr>
        <w:t>年上级财政转移支付资金安排情况</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t> </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jc w:val="both"/>
        <w:textAlignment w:val="auto"/>
      </w:pPr>
      <w:r>
        <w:rPr>
          <w:rFonts w:hint="eastAsia" w:ascii="仿宋" w:hAnsi="仿宋" w:eastAsia="仿宋" w:cs="仿宋"/>
          <w:color w:val="000000"/>
          <w:sz w:val="32"/>
          <w:szCs w:val="32"/>
        </w:rPr>
        <w:t>（一）上级提前下达我县202</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年一般财力性转移支付2</w:t>
      </w:r>
      <w:r>
        <w:rPr>
          <w:rFonts w:hint="eastAsia" w:ascii="仿宋" w:hAnsi="仿宋" w:eastAsia="仿宋" w:cs="仿宋"/>
          <w:color w:val="000000"/>
          <w:sz w:val="32"/>
          <w:szCs w:val="32"/>
          <w:lang w:val="en-US" w:eastAsia="zh-CN"/>
        </w:rPr>
        <w:t>92729</w:t>
      </w:r>
      <w:r>
        <w:rPr>
          <w:rFonts w:hint="eastAsia" w:ascii="仿宋" w:hAnsi="仿宋" w:eastAsia="仿宋" w:cs="仿宋"/>
          <w:color w:val="000000"/>
          <w:sz w:val="32"/>
          <w:szCs w:val="32"/>
        </w:rPr>
        <w:t>万元，其中：返还性收入10</w:t>
      </w:r>
      <w:r>
        <w:rPr>
          <w:rFonts w:hint="eastAsia" w:ascii="仿宋" w:hAnsi="仿宋" w:eastAsia="仿宋" w:cs="仿宋"/>
          <w:color w:val="000000"/>
          <w:sz w:val="32"/>
          <w:szCs w:val="32"/>
          <w:lang w:val="en-US" w:eastAsia="zh-CN"/>
        </w:rPr>
        <w:t>815</w:t>
      </w:r>
      <w:r>
        <w:rPr>
          <w:rFonts w:hint="eastAsia" w:ascii="仿宋" w:hAnsi="仿宋" w:eastAsia="仿宋" w:cs="仿宋"/>
          <w:color w:val="000000"/>
          <w:sz w:val="32"/>
          <w:szCs w:val="32"/>
        </w:rPr>
        <w:t>万元，上级一般性转移支付收入2</w:t>
      </w:r>
      <w:r>
        <w:rPr>
          <w:rFonts w:hint="eastAsia" w:ascii="仿宋" w:hAnsi="仿宋" w:eastAsia="仿宋" w:cs="仿宋"/>
          <w:color w:val="000000"/>
          <w:sz w:val="32"/>
          <w:szCs w:val="32"/>
          <w:lang w:val="en-US" w:eastAsia="zh-CN"/>
        </w:rPr>
        <w:t>81914</w:t>
      </w:r>
      <w:r>
        <w:rPr>
          <w:rFonts w:hint="eastAsia" w:ascii="仿宋" w:hAnsi="仿宋" w:eastAsia="仿宋" w:cs="仿宋"/>
          <w:color w:val="000000"/>
          <w:sz w:val="32"/>
          <w:szCs w:val="32"/>
        </w:rPr>
        <w:t>万元。提前下达资金中，包括财力性转移支付12</w:t>
      </w:r>
      <w:r>
        <w:rPr>
          <w:rFonts w:hint="eastAsia" w:ascii="仿宋" w:hAnsi="仿宋" w:eastAsia="仿宋" w:cs="仿宋"/>
          <w:color w:val="000000"/>
          <w:sz w:val="32"/>
          <w:szCs w:val="32"/>
          <w:lang w:val="en-US" w:eastAsia="zh-CN"/>
        </w:rPr>
        <w:t>9189</w:t>
      </w:r>
      <w:r>
        <w:rPr>
          <w:rFonts w:hint="eastAsia" w:ascii="仿宋" w:hAnsi="仿宋" w:eastAsia="仿宋" w:cs="仿宋"/>
          <w:color w:val="000000"/>
          <w:sz w:val="32"/>
          <w:szCs w:val="32"/>
        </w:rPr>
        <w:t>万元，已全部安排用于县级“保基本民生、保工资、保运转”支出和县委、县政府安排的重点民生类项目支出；其余一般性转移支付资金全部按要求落实到公共安全、教育、文化、社会保障和就业、医疗卫生、农林水及交通运输等相关领域。</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jc w:val="both"/>
        <w:textAlignment w:val="auto"/>
      </w:pPr>
      <w:r>
        <w:rPr>
          <w:rFonts w:hint="eastAsia" w:ascii="仿宋" w:hAnsi="仿宋" w:eastAsia="仿宋" w:cs="仿宋"/>
          <w:color w:val="000000"/>
          <w:sz w:val="32"/>
          <w:szCs w:val="32"/>
        </w:rPr>
        <w:t>（二）上级提前下达我县202</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年专项转移支付资金</w:t>
      </w:r>
      <w:r>
        <w:rPr>
          <w:rFonts w:hint="eastAsia" w:ascii="仿宋" w:hAnsi="仿宋" w:eastAsia="仿宋" w:cs="仿宋"/>
          <w:color w:val="000000"/>
          <w:sz w:val="32"/>
          <w:szCs w:val="32"/>
          <w:lang w:val="en-US" w:eastAsia="zh-CN"/>
        </w:rPr>
        <w:t>4975</w:t>
      </w:r>
      <w:r>
        <w:rPr>
          <w:rFonts w:hint="eastAsia" w:ascii="仿宋" w:hAnsi="仿宋" w:eastAsia="仿宋" w:cs="仿宋"/>
          <w:color w:val="000000"/>
          <w:sz w:val="32"/>
          <w:szCs w:val="32"/>
        </w:rPr>
        <w:t>万元，上年结转上级专项资金6</w:t>
      </w:r>
      <w:r>
        <w:rPr>
          <w:rFonts w:hint="eastAsia" w:ascii="仿宋" w:hAnsi="仿宋" w:eastAsia="仿宋" w:cs="仿宋"/>
          <w:color w:val="000000"/>
          <w:sz w:val="32"/>
          <w:szCs w:val="32"/>
          <w:lang w:val="en-US" w:eastAsia="zh-CN"/>
        </w:rPr>
        <w:t>187</w:t>
      </w:r>
      <w:r>
        <w:rPr>
          <w:rFonts w:hint="eastAsia" w:ascii="仿宋" w:hAnsi="仿宋" w:eastAsia="仿宋" w:cs="仿宋"/>
          <w:color w:val="000000"/>
          <w:sz w:val="32"/>
          <w:szCs w:val="32"/>
        </w:rPr>
        <w:t>万元，共计</w:t>
      </w:r>
      <w:r>
        <w:rPr>
          <w:rFonts w:hint="eastAsia" w:ascii="仿宋" w:hAnsi="仿宋" w:eastAsia="仿宋" w:cs="仿宋"/>
          <w:color w:val="000000"/>
          <w:sz w:val="32"/>
          <w:szCs w:val="32"/>
          <w:lang w:val="en-US" w:eastAsia="zh-CN"/>
        </w:rPr>
        <w:t>11162</w:t>
      </w:r>
      <w:r>
        <w:rPr>
          <w:rFonts w:hint="eastAsia" w:ascii="仿宋" w:hAnsi="仿宋" w:eastAsia="仿宋" w:cs="仿宋"/>
          <w:color w:val="000000"/>
          <w:sz w:val="32"/>
          <w:szCs w:val="32"/>
        </w:rPr>
        <w:t>万元。根据上级专项资金规定用途和实际支出需要安排支出</w:t>
      </w:r>
      <w:r>
        <w:rPr>
          <w:rFonts w:hint="eastAsia" w:ascii="仿宋" w:hAnsi="仿宋" w:eastAsia="仿宋" w:cs="仿宋"/>
          <w:color w:val="000000"/>
          <w:sz w:val="32"/>
          <w:szCs w:val="32"/>
          <w:lang w:val="en-US" w:eastAsia="zh-CN"/>
        </w:rPr>
        <w:t>11162</w:t>
      </w:r>
      <w:r>
        <w:rPr>
          <w:rFonts w:hint="eastAsia" w:ascii="仿宋" w:hAnsi="仿宋" w:eastAsia="仿宋" w:cs="仿宋"/>
          <w:color w:val="000000"/>
          <w:sz w:val="32"/>
          <w:szCs w:val="32"/>
        </w:rPr>
        <w:t>万元。</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jc w:val="both"/>
        <w:textAlignment w:val="auto"/>
      </w:pPr>
      <w:r>
        <w:rPr>
          <w:rFonts w:hint="eastAsia" w:ascii="仿宋" w:hAnsi="仿宋" w:eastAsia="仿宋" w:cs="仿宋"/>
          <w:color w:val="000000"/>
          <w:sz w:val="32"/>
          <w:szCs w:val="32"/>
        </w:rPr>
        <w:t>按照规定用途和功能科目分类，重点用于教育、社会保障和就业、卫生健康、节能环保、农林水、资源勘探信息和灾害防治和应急管理等支出。</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jc w:val="both"/>
        <w:textAlignment w:val="auto"/>
      </w:pPr>
      <w:r>
        <w:t> </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rPr>
          <w:rFonts w:hint="eastAsia" w:ascii="仿宋" w:hAnsi="仿宋" w:eastAsia="仿宋" w:cs="仿宋"/>
          <w:color w:val="000000"/>
          <w:sz w:val="36"/>
          <w:szCs w:val="36"/>
        </w:rPr>
        <w:t>第四部分</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rPr>
          <w:rFonts w:hint="eastAsia" w:ascii="仿宋" w:hAnsi="仿宋" w:eastAsia="仿宋" w:cs="仿宋"/>
          <w:color w:val="000000"/>
          <w:sz w:val="36"/>
          <w:szCs w:val="36"/>
        </w:rPr>
        <w:t>202</w:t>
      </w:r>
      <w:r>
        <w:rPr>
          <w:rFonts w:hint="eastAsia" w:ascii="仿宋" w:hAnsi="仿宋" w:eastAsia="仿宋" w:cs="仿宋"/>
          <w:color w:val="000000"/>
          <w:sz w:val="36"/>
          <w:szCs w:val="36"/>
          <w:lang w:val="en-US" w:eastAsia="zh-CN"/>
        </w:rPr>
        <w:t>6</w:t>
      </w:r>
      <w:r>
        <w:rPr>
          <w:rFonts w:hint="eastAsia" w:ascii="仿宋" w:hAnsi="仿宋" w:eastAsia="仿宋" w:cs="仿宋"/>
          <w:color w:val="000000"/>
          <w:sz w:val="36"/>
          <w:szCs w:val="36"/>
        </w:rPr>
        <w:t> 年绩效预算开展情况</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t> </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jc w:val="both"/>
        <w:textAlignment w:val="auto"/>
      </w:pPr>
      <w:r>
        <w:rPr>
          <w:rFonts w:hint="eastAsia" w:ascii="仿宋" w:hAnsi="仿宋" w:eastAsia="仿宋" w:cs="仿宋"/>
          <w:color w:val="000000"/>
          <w:sz w:val="32"/>
          <w:szCs w:val="32"/>
        </w:rPr>
        <w:t>按照中共中央、国务院《关于全面实施预算绩效管理的意见》和财政部《预算管理一体化规范（试行）》要求，依托财政预算管理一体化平台2.0版系统，进一步梳理完善预算绩效管理制度办法和业务流程，将绩效预算覆盖所有财政资金，延伸至基层单位和资金使用终端，更加突出了“先有预算、后有支出”和“无预算不支出、有预算不超支”的预算管理思维，全面硬化了预算执行约束。</w:t>
      </w:r>
      <w:r>
        <w:rPr>
          <w:rFonts w:hint="eastAsia" w:ascii="仿宋" w:hAnsi="仿宋" w:eastAsia="仿宋" w:cs="仿宋"/>
          <w:b/>
          <w:bCs/>
          <w:color w:val="000000"/>
          <w:sz w:val="32"/>
          <w:szCs w:val="32"/>
        </w:rPr>
        <w:t>一是</w:t>
      </w:r>
      <w:r>
        <w:rPr>
          <w:rFonts w:hint="eastAsia" w:ascii="仿宋" w:hAnsi="仿宋" w:eastAsia="仿宋" w:cs="仿宋"/>
          <w:color w:val="000000"/>
          <w:sz w:val="32"/>
          <w:szCs w:val="32"/>
        </w:rPr>
        <w:t>加强全过程预算绩效管理，积极开展事前绩效评估，强化绩效目标审核，提高财政资源配置效率；</w:t>
      </w:r>
      <w:r>
        <w:rPr>
          <w:rFonts w:hint="eastAsia" w:ascii="仿宋" w:hAnsi="仿宋" w:eastAsia="仿宋" w:cs="仿宋"/>
          <w:b/>
          <w:bCs/>
          <w:color w:val="000000"/>
          <w:sz w:val="32"/>
          <w:szCs w:val="32"/>
        </w:rPr>
        <w:t>二是</w:t>
      </w:r>
      <w:r>
        <w:rPr>
          <w:rFonts w:hint="eastAsia" w:ascii="仿宋" w:hAnsi="仿宋" w:eastAsia="仿宋" w:cs="仿宋"/>
          <w:color w:val="000000"/>
          <w:sz w:val="32"/>
          <w:szCs w:val="32"/>
        </w:rPr>
        <w:t>开展全过程绩效运行监控，及时纠正偏差，防止使用过程中的损失浪费；</w:t>
      </w:r>
      <w:r>
        <w:rPr>
          <w:rFonts w:hint="eastAsia" w:ascii="仿宋" w:hAnsi="仿宋" w:eastAsia="仿宋" w:cs="仿宋"/>
          <w:b/>
          <w:bCs/>
          <w:color w:val="000000"/>
          <w:sz w:val="32"/>
          <w:szCs w:val="32"/>
        </w:rPr>
        <w:t>三是</w:t>
      </w:r>
      <w:r>
        <w:rPr>
          <w:rFonts w:hint="eastAsia" w:ascii="仿宋" w:hAnsi="仿宋" w:eastAsia="仿宋" w:cs="仿宋"/>
          <w:color w:val="000000"/>
          <w:sz w:val="32"/>
          <w:szCs w:val="32"/>
        </w:rPr>
        <w:t>全面推动绩效评价提质扩围，加大绩效评价结果应用力度，将绩效评价结果作为政策调整、预算安排和改进管理的重要依据。</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2"/>
        <w:jc w:val="both"/>
        <w:textAlignment w:val="auto"/>
      </w:pPr>
      <w:r>
        <w:rPr>
          <w:rFonts w:hint="eastAsia" w:ascii="仿宋" w:hAnsi="仿宋" w:eastAsia="仿宋" w:cs="仿宋"/>
          <w:b/>
          <w:bCs/>
          <w:color w:val="000000"/>
          <w:sz w:val="32"/>
          <w:szCs w:val="32"/>
        </w:rPr>
        <w:t>（一）严格遵循“部门职责—工作活动”要求。</w:t>
      </w:r>
      <w:r>
        <w:rPr>
          <w:rFonts w:hint="eastAsia" w:ascii="仿宋" w:hAnsi="仿宋" w:eastAsia="仿宋" w:cs="仿宋"/>
          <w:color w:val="000000"/>
          <w:sz w:val="32"/>
          <w:szCs w:val="32"/>
        </w:rPr>
        <w:t>按照财政部《预算管理一体化规范（试行）》要求，根据县委、县政府战略目标和本部门工作任务，结合机构改革进展情况，严格按照完善修订后的预算部门职责活动目录，进一步规范部门绩效预算管理结构，做到职责与活动衔接一致，分工清晰、表述精准，全面加强预算绩效管理工作，让预算编制与绩效管理全面衔接。</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2"/>
        <w:jc w:val="both"/>
        <w:textAlignment w:val="auto"/>
      </w:pPr>
      <w:r>
        <w:rPr>
          <w:rFonts w:hint="eastAsia" w:ascii="仿宋" w:hAnsi="仿宋" w:eastAsia="仿宋" w:cs="仿宋"/>
          <w:b/>
          <w:bCs/>
          <w:color w:val="000000"/>
          <w:sz w:val="32"/>
          <w:szCs w:val="32"/>
        </w:rPr>
        <w:t>（二）规范绩效目标、绩效指标和评价标准设定。</w:t>
      </w:r>
      <w:r>
        <w:rPr>
          <w:rFonts w:hint="eastAsia" w:ascii="仿宋" w:hAnsi="仿宋" w:eastAsia="仿宋" w:cs="仿宋"/>
          <w:color w:val="000000"/>
          <w:sz w:val="32"/>
          <w:szCs w:val="32"/>
        </w:rPr>
        <w:t>对应部门职责活动年度工作目标和重点工作任务，特别是针对财政项目资金管理要求，科学设定绩效目标、绩效指标和评价标准，目标指标应尽可能量化，切实达到可审核、可监控、可评价，建立了绩效目标评价体系，为扎实开展预算绩效管理工作提供强有力保障。</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2"/>
        <w:jc w:val="both"/>
        <w:textAlignment w:val="auto"/>
      </w:pPr>
      <w:r>
        <w:rPr>
          <w:rFonts w:hint="eastAsia" w:ascii="仿宋" w:hAnsi="仿宋" w:eastAsia="仿宋" w:cs="仿宋"/>
          <w:b/>
          <w:bCs/>
          <w:color w:val="000000"/>
          <w:sz w:val="32"/>
          <w:szCs w:val="32"/>
        </w:rPr>
        <w:t>（三）增强项目与职责活动的关联性和匹配性。</w:t>
      </w:r>
      <w:r>
        <w:rPr>
          <w:rFonts w:hint="eastAsia" w:ascii="仿宋" w:hAnsi="仿宋" w:eastAsia="仿宋" w:cs="仿宋"/>
          <w:color w:val="000000"/>
          <w:sz w:val="32"/>
          <w:szCs w:val="32"/>
        </w:rPr>
        <w:t>所有预算项目均在部门职责和工作活动框架下编列，并分解到有关部门和具体项目承办人，做到“人人头上目标，人人头上有压力”，层层分解任务，层层传导压力，把预算绩效管理贯穿资金管理全过程，实现财政资金“全生命周期”监控。所有财政资金都要与预算项目须与部门职责、工作活动相对应，无法对应的项目不得列入部门预算，进一步规范了绩效预算管理活动。</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2"/>
        <w:jc w:val="both"/>
        <w:textAlignment w:val="auto"/>
      </w:pPr>
      <w:r>
        <w:rPr>
          <w:rFonts w:hint="eastAsia" w:ascii="仿宋" w:hAnsi="仿宋" w:eastAsia="仿宋" w:cs="仿宋"/>
          <w:b/>
          <w:bCs/>
          <w:color w:val="000000"/>
          <w:sz w:val="32"/>
          <w:szCs w:val="32"/>
        </w:rPr>
        <w:t>（四）落实绩效评价结果与预算安排挂钩。</w:t>
      </w:r>
      <w:r>
        <w:rPr>
          <w:rFonts w:hint="eastAsia" w:ascii="仿宋" w:hAnsi="仿宋" w:eastAsia="仿宋" w:cs="仿宋"/>
          <w:color w:val="000000"/>
          <w:sz w:val="32"/>
          <w:szCs w:val="32"/>
        </w:rPr>
        <w:t>强化了财政部门对重点项目绩效评价结果的应用，对项目绩效评价得分较低的，按1-30%比例压减项目资金；对项目绩效评价不合格的，予以取消，以此提高财政资金使用效益；对项目在两个年度内不能实施的，一律收财政统筹用于基本民生改善项目，真正做好绩效评价与预算安排挂钩。</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2"/>
        <w:jc w:val="both"/>
        <w:textAlignment w:val="auto"/>
      </w:pPr>
      <w:r>
        <w:rPr>
          <w:rFonts w:hint="eastAsia" w:ascii="仿宋" w:hAnsi="仿宋" w:eastAsia="仿宋" w:cs="仿宋"/>
          <w:b/>
          <w:bCs/>
          <w:color w:val="000000"/>
          <w:sz w:val="32"/>
          <w:szCs w:val="32"/>
        </w:rPr>
        <w:t>（五）推动政府投资项目预算绩效化管理。一是</w:t>
      </w:r>
      <w:r>
        <w:rPr>
          <w:rFonts w:hint="eastAsia" w:ascii="仿宋" w:hAnsi="仿宋" w:eastAsia="仿宋" w:cs="仿宋"/>
          <w:color w:val="000000"/>
          <w:sz w:val="32"/>
          <w:szCs w:val="32"/>
        </w:rPr>
        <w:t>完善项目预算内容，每个项目都要明确预算绩效目标、具体内容、详实的物质和劳务投入量以及依据相关定额计算的资金（经费）需要量，达到可审核、可监控的程度。</w:t>
      </w:r>
      <w:r>
        <w:rPr>
          <w:rFonts w:hint="eastAsia" w:ascii="仿宋" w:hAnsi="仿宋" w:eastAsia="仿宋" w:cs="仿宋"/>
          <w:b/>
          <w:bCs/>
          <w:color w:val="000000"/>
          <w:sz w:val="32"/>
          <w:szCs w:val="32"/>
        </w:rPr>
        <w:t>二是</w:t>
      </w:r>
      <w:r>
        <w:rPr>
          <w:rFonts w:hint="eastAsia" w:ascii="仿宋" w:hAnsi="仿宋" w:eastAsia="仿宋" w:cs="仿宋"/>
          <w:color w:val="000000"/>
          <w:sz w:val="32"/>
          <w:szCs w:val="32"/>
        </w:rPr>
        <w:t>在大幅提高部门单位正常公用经费的基础上，规范“打捆”项目，除了同一项目在不同区域分散实施或由几个紧密相关的具体项目组成外，一律不得将零星散碎项目“包装”成大项目。即便是必须打捆的大项目，也要明确项目实施的整体绩效目标和具体承担单位和项目资金数额。</w:t>
      </w:r>
      <w:r>
        <w:rPr>
          <w:rFonts w:hint="eastAsia" w:ascii="仿宋" w:hAnsi="仿宋" w:eastAsia="仿宋" w:cs="仿宋"/>
          <w:b/>
          <w:bCs/>
          <w:color w:val="000000"/>
          <w:sz w:val="32"/>
          <w:szCs w:val="32"/>
        </w:rPr>
        <w:t>三是</w:t>
      </w:r>
      <w:r>
        <w:rPr>
          <w:rFonts w:hint="eastAsia" w:ascii="仿宋" w:hAnsi="仿宋" w:eastAsia="仿宋" w:cs="仿宋"/>
          <w:color w:val="000000"/>
          <w:sz w:val="32"/>
          <w:szCs w:val="32"/>
        </w:rPr>
        <w:t>要把项目预算细化到功能分类“项”级科目、经济分类“款”级科目，达到能够直接支付的程度。不能落实到具体项目的资金不得列入部门预算，没有明晰支出内容的项目不得立项。绩效预算开展以来，资金管理水平和使用效益进一步提高。</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jc w:val="both"/>
        <w:textAlignment w:val="auto"/>
      </w:pPr>
      <w:r>
        <w:t> </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rPr>
          <w:rFonts w:hint="eastAsia" w:ascii="仿宋" w:hAnsi="仿宋" w:eastAsia="仿宋" w:cs="仿宋"/>
          <w:color w:val="000000"/>
          <w:sz w:val="36"/>
          <w:szCs w:val="36"/>
        </w:rPr>
        <w:t>第五部分</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rPr>
          <w:rFonts w:hint="eastAsia" w:ascii="仿宋" w:hAnsi="仿宋" w:eastAsia="仿宋" w:cs="仿宋"/>
          <w:color w:val="000000"/>
          <w:sz w:val="36"/>
          <w:szCs w:val="36"/>
        </w:rPr>
        <w:t>202</w:t>
      </w:r>
      <w:r>
        <w:rPr>
          <w:rFonts w:hint="eastAsia" w:ascii="仿宋" w:hAnsi="仿宋" w:eastAsia="仿宋" w:cs="仿宋"/>
          <w:color w:val="000000"/>
          <w:sz w:val="36"/>
          <w:szCs w:val="36"/>
          <w:lang w:val="en-US" w:eastAsia="zh-CN"/>
        </w:rPr>
        <w:t>6</w:t>
      </w:r>
      <w:r>
        <w:rPr>
          <w:rFonts w:hint="eastAsia" w:ascii="仿宋" w:hAnsi="仿宋" w:eastAsia="仿宋" w:cs="仿宋"/>
          <w:color w:val="000000"/>
          <w:sz w:val="36"/>
          <w:szCs w:val="36"/>
        </w:rPr>
        <w:t>年政府采购预算安排情况</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t> </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8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在202</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年政府采购预算编制过程，严格按照政府采购相关规定，结合县级一体化平台管理，优化了采购预算编制流程，强化了政府采购预算的编制要求。在采购限额上的政府采购项目均按要求编制了202</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年度政府采购预算，突出了应编尽编，确保预算编制的完整性。202</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年，我县政府采购预算项目资金共计安排</w:t>
      </w:r>
      <w:r>
        <w:rPr>
          <w:rFonts w:hint="eastAsia" w:ascii="仿宋" w:hAnsi="仿宋" w:eastAsia="仿宋" w:cs="仿宋"/>
          <w:color w:val="000000"/>
          <w:sz w:val="32"/>
          <w:szCs w:val="32"/>
          <w:lang w:val="en-US" w:eastAsia="zh-CN"/>
        </w:rPr>
        <w:t>62566</w:t>
      </w:r>
      <w:r>
        <w:rPr>
          <w:rFonts w:hint="eastAsia" w:ascii="仿宋" w:hAnsi="仿宋" w:eastAsia="仿宋" w:cs="仿宋"/>
          <w:color w:val="000000"/>
          <w:sz w:val="32"/>
          <w:szCs w:val="32"/>
        </w:rPr>
        <w:t>万元，按采购类别分：货物类</w:t>
      </w:r>
      <w:r>
        <w:rPr>
          <w:rFonts w:hint="eastAsia" w:ascii="仿宋" w:hAnsi="仿宋" w:eastAsia="仿宋" w:cs="仿宋"/>
          <w:color w:val="000000"/>
          <w:sz w:val="32"/>
          <w:szCs w:val="32"/>
          <w:lang w:val="en-US" w:eastAsia="zh-CN"/>
        </w:rPr>
        <w:t>658</w:t>
      </w:r>
      <w:r>
        <w:rPr>
          <w:rFonts w:hint="eastAsia" w:ascii="仿宋" w:hAnsi="仿宋" w:eastAsia="仿宋" w:cs="仿宋"/>
          <w:color w:val="000000"/>
          <w:sz w:val="32"/>
          <w:szCs w:val="32"/>
        </w:rPr>
        <w:t>万元、工程类</w:t>
      </w:r>
      <w:r>
        <w:rPr>
          <w:rFonts w:hint="eastAsia" w:ascii="仿宋" w:hAnsi="仿宋" w:eastAsia="仿宋" w:cs="仿宋"/>
          <w:color w:val="000000"/>
          <w:sz w:val="32"/>
          <w:szCs w:val="32"/>
          <w:lang w:val="en-US" w:eastAsia="zh-CN"/>
        </w:rPr>
        <w:t>40467</w:t>
      </w:r>
      <w:r>
        <w:rPr>
          <w:rFonts w:hint="eastAsia" w:ascii="仿宋" w:hAnsi="仿宋" w:eastAsia="仿宋" w:cs="仿宋"/>
          <w:color w:val="000000"/>
          <w:sz w:val="32"/>
          <w:szCs w:val="32"/>
        </w:rPr>
        <w:t>万元、服务类</w:t>
      </w:r>
      <w:r>
        <w:rPr>
          <w:rFonts w:hint="eastAsia" w:ascii="仿宋" w:hAnsi="仿宋" w:eastAsia="仿宋" w:cs="仿宋"/>
          <w:color w:val="000000"/>
          <w:sz w:val="32"/>
          <w:szCs w:val="32"/>
          <w:lang w:val="en-US" w:eastAsia="zh-CN"/>
        </w:rPr>
        <w:t>21441</w:t>
      </w:r>
      <w:r>
        <w:rPr>
          <w:rFonts w:hint="eastAsia" w:ascii="仿宋" w:hAnsi="仿宋" w:eastAsia="仿宋" w:cs="仿宋"/>
          <w:color w:val="000000"/>
          <w:sz w:val="32"/>
          <w:szCs w:val="32"/>
        </w:rPr>
        <w:t>万元。</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800"/>
        <w:jc w:val="both"/>
        <w:textAlignment w:val="auto"/>
        <w:rPr>
          <w:rFonts w:hint="eastAsia" w:ascii="仿宋" w:hAnsi="仿宋" w:eastAsia="仿宋" w:cs="仿宋"/>
          <w:color w:val="000000"/>
          <w:sz w:val="32"/>
          <w:szCs w:val="32"/>
        </w:rPr>
      </w:pP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仿宋" w:hAnsi="仿宋" w:eastAsia="仿宋" w:cs="仿宋"/>
          <w:color w:val="000000"/>
          <w:sz w:val="36"/>
          <w:szCs w:val="36"/>
        </w:rPr>
      </w:pPr>
      <w:r>
        <w:rPr>
          <w:rFonts w:hint="eastAsia" w:ascii="仿宋" w:hAnsi="仿宋" w:eastAsia="仿宋" w:cs="仿宋"/>
          <w:color w:val="000000"/>
          <w:sz w:val="36"/>
          <w:szCs w:val="36"/>
        </w:rPr>
        <w:t>第六部分</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仿宋" w:hAnsi="仿宋" w:eastAsia="仿宋" w:cs="仿宋"/>
          <w:color w:val="000000"/>
          <w:sz w:val="36"/>
          <w:szCs w:val="36"/>
        </w:rPr>
      </w:pPr>
      <w:r>
        <w:rPr>
          <w:rFonts w:hint="eastAsia" w:ascii="仿宋" w:hAnsi="仿宋" w:eastAsia="仿宋" w:cs="仿宋"/>
          <w:color w:val="000000"/>
          <w:sz w:val="36"/>
          <w:szCs w:val="36"/>
        </w:rPr>
        <w:t>预算调整及债务限额情况说明</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仿宋" w:hAnsi="仿宋" w:eastAsia="仿宋" w:cs="仿宋"/>
          <w:color w:val="000000"/>
          <w:sz w:val="24"/>
          <w:szCs w:val="24"/>
        </w:rPr>
      </w:pPr>
      <w:r>
        <w:rPr>
          <w:rFonts w:hint="eastAsia" w:ascii="仿宋" w:hAnsi="仿宋" w:eastAsia="仿宋" w:cs="仿宋"/>
          <w:color w:val="000000"/>
          <w:sz w:val="36"/>
          <w:szCs w:val="36"/>
        </w:rPr>
        <w:t> </w:t>
      </w:r>
    </w:p>
    <w:p>
      <w:pPr>
        <w:keepNext w:val="0"/>
        <w:keepLines w:val="0"/>
        <w:pageBreakBefore w:val="0"/>
        <w:widowControl w:val="0"/>
        <w:kinsoku/>
        <w:wordWrap/>
        <w:overflowPunct/>
        <w:topLinePunct w:val="0"/>
        <w:autoSpaceDE/>
        <w:autoSpaceDN/>
        <w:bidi w:val="0"/>
        <w:adjustRightInd/>
        <w:snapToGrid/>
        <w:spacing w:beforeLines="0" w:afterLines="0" w:line="240" w:lineRule="auto"/>
        <w:ind w:left="200" w:firstLine="640" w:firstLineChars="200"/>
        <w:jc w:val="left"/>
        <w:textAlignment w:val="auto"/>
        <w:rPr>
          <w:rFonts w:hint="eastAsia" w:ascii="仿宋" w:hAnsi="仿宋" w:eastAsia="仿宋" w:cs="仿宋"/>
          <w:color w:val="000000"/>
          <w:kern w:val="0"/>
          <w:sz w:val="32"/>
          <w:szCs w:val="32"/>
          <w:lang w:val="zh-CN" w:eastAsia="zh-CN" w:bidi="ar"/>
        </w:rPr>
      </w:pPr>
      <w:r>
        <w:rPr>
          <w:rFonts w:hint="eastAsia" w:ascii="仿宋" w:hAnsi="仿宋" w:eastAsia="仿宋" w:cs="仿宋"/>
          <w:color w:val="000000"/>
          <w:kern w:val="0"/>
          <w:sz w:val="32"/>
          <w:szCs w:val="32"/>
          <w:lang w:val="en-US" w:eastAsia="zh-CN" w:bidi="ar"/>
        </w:rPr>
        <w:t>2025</w:t>
      </w:r>
      <w:r>
        <w:rPr>
          <w:rFonts w:hint="eastAsia" w:ascii="仿宋" w:hAnsi="仿宋" w:eastAsia="仿宋" w:cs="仿宋"/>
          <w:color w:val="000000"/>
          <w:kern w:val="0"/>
          <w:sz w:val="32"/>
          <w:szCs w:val="32"/>
          <w:lang w:val="zh-CN" w:eastAsia="zh-CN" w:bidi="ar"/>
        </w:rPr>
        <w:t>年全县政府债务限额99.21亿元。截至2025年底，全县政府债务余额97.4亿元，低于限额1.81亿元。</w:t>
      </w:r>
    </w:p>
    <w:p>
      <w:pPr>
        <w:keepNext w:val="0"/>
        <w:keepLines w:val="0"/>
        <w:pageBreakBefore w:val="0"/>
        <w:widowControl w:val="0"/>
        <w:kinsoku/>
        <w:wordWrap/>
        <w:overflowPunct/>
        <w:topLinePunct w:val="0"/>
        <w:autoSpaceDE/>
        <w:autoSpaceDN/>
        <w:bidi w:val="0"/>
        <w:adjustRightInd/>
        <w:snapToGrid/>
        <w:spacing w:beforeLines="0" w:afterLines="0" w:line="240" w:lineRule="auto"/>
        <w:ind w:left="200" w:firstLine="640" w:firstLineChars="200"/>
        <w:jc w:val="left"/>
        <w:textAlignment w:val="auto"/>
        <w:rPr>
          <w:rFonts w:hint="eastAsia" w:ascii="仿宋" w:hAnsi="仿宋" w:eastAsia="仿宋" w:cs="仿宋"/>
          <w:color w:val="000000"/>
          <w:kern w:val="0"/>
          <w:sz w:val="32"/>
          <w:szCs w:val="32"/>
          <w:lang w:val="zh-CN" w:eastAsia="zh-CN" w:bidi="ar"/>
        </w:rPr>
      </w:pPr>
      <w:r>
        <w:rPr>
          <w:rFonts w:hint="eastAsia" w:ascii="仿宋" w:hAnsi="仿宋" w:eastAsia="仿宋" w:cs="仿宋"/>
          <w:color w:val="000000"/>
          <w:kern w:val="0"/>
          <w:sz w:val="32"/>
          <w:szCs w:val="32"/>
          <w:lang w:val="zh-CN" w:eastAsia="zh-CN" w:bidi="ar"/>
        </w:rPr>
        <w:t>2025年共发行政府债券</w:t>
      </w:r>
      <w:r>
        <w:rPr>
          <w:rFonts w:hint="eastAsia" w:ascii="仿宋" w:hAnsi="仿宋" w:eastAsia="仿宋" w:cs="仿宋"/>
          <w:color w:val="000000"/>
          <w:kern w:val="0"/>
          <w:sz w:val="32"/>
          <w:szCs w:val="32"/>
          <w:lang w:val="en-US" w:eastAsia="zh-CN" w:bidi="ar"/>
        </w:rPr>
        <w:t>14.53</w:t>
      </w:r>
      <w:r>
        <w:rPr>
          <w:rFonts w:hint="eastAsia" w:ascii="仿宋" w:hAnsi="仿宋" w:eastAsia="仿宋" w:cs="仿宋"/>
          <w:color w:val="000000"/>
          <w:kern w:val="0"/>
          <w:sz w:val="32"/>
          <w:szCs w:val="32"/>
          <w:lang w:val="zh-CN" w:eastAsia="zh-CN" w:bidi="ar"/>
        </w:rPr>
        <w:t>亿元，其中：一般债券</w:t>
      </w:r>
      <w:r>
        <w:rPr>
          <w:rFonts w:hint="eastAsia" w:ascii="仿宋" w:hAnsi="仿宋" w:eastAsia="仿宋" w:cs="仿宋"/>
          <w:color w:val="000000"/>
          <w:kern w:val="0"/>
          <w:sz w:val="32"/>
          <w:szCs w:val="32"/>
          <w:lang w:val="en-US" w:eastAsia="zh-CN" w:bidi="ar"/>
        </w:rPr>
        <w:t>1.97</w:t>
      </w:r>
      <w:r>
        <w:rPr>
          <w:rFonts w:hint="eastAsia" w:ascii="仿宋" w:hAnsi="仿宋" w:eastAsia="仿宋" w:cs="仿宋"/>
          <w:color w:val="000000"/>
          <w:kern w:val="0"/>
          <w:sz w:val="32"/>
          <w:szCs w:val="32"/>
          <w:lang w:val="zh-CN" w:eastAsia="zh-CN" w:bidi="ar"/>
        </w:rPr>
        <w:t>亿元，专项债券</w:t>
      </w:r>
      <w:r>
        <w:rPr>
          <w:rFonts w:hint="eastAsia" w:ascii="仿宋" w:hAnsi="仿宋" w:eastAsia="仿宋" w:cs="仿宋"/>
          <w:color w:val="000000"/>
          <w:kern w:val="0"/>
          <w:sz w:val="32"/>
          <w:szCs w:val="32"/>
          <w:lang w:val="en-US" w:eastAsia="zh-CN" w:bidi="ar"/>
        </w:rPr>
        <w:t>12.56</w:t>
      </w:r>
      <w:r>
        <w:rPr>
          <w:rFonts w:hint="eastAsia" w:ascii="仿宋" w:hAnsi="仿宋" w:eastAsia="仿宋" w:cs="仿宋"/>
          <w:color w:val="000000"/>
          <w:kern w:val="0"/>
          <w:sz w:val="32"/>
          <w:szCs w:val="32"/>
          <w:lang w:val="zh-CN" w:eastAsia="zh-CN" w:bidi="ar"/>
        </w:rPr>
        <w:t>亿元。按照上级要求，一般债券分为三个使用方向：一是安排用于省道S349束左公路魏县绕城段改建工程（新南环）等4个政府投资公益性项目建设1.</w:t>
      </w:r>
      <w:r>
        <w:rPr>
          <w:rFonts w:hint="eastAsia" w:ascii="仿宋" w:hAnsi="仿宋" w:eastAsia="仿宋" w:cs="仿宋"/>
          <w:color w:val="000000"/>
          <w:kern w:val="0"/>
          <w:sz w:val="32"/>
          <w:szCs w:val="32"/>
          <w:lang w:val="en-US" w:eastAsia="zh-CN" w:bidi="ar"/>
        </w:rPr>
        <w:t>48</w:t>
      </w:r>
      <w:r>
        <w:rPr>
          <w:rFonts w:hint="eastAsia" w:ascii="仿宋" w:hAnsi="仿宋" w:eastAsia="仿宋" w:cs="仿宋"/>
          <w:color w:val="000000"/>
          <w:kern w:val="0"/>
          <w:sz w:val="32"/>
          <w:szCs w:val="32"/>
          <w:lang w:val="zh-CN" w:eastAsia="zh-CN" w:bidi="ar"/>
        </w:rPr>
        <w:t>亿元，二是用于补充地方政府综合财力</w:t>
      </w:r>
      <w:r>
        <w:rPr>
          <w:rFonts w:hint="eastAsia" w:ascii="仿宋" w:hAnsi="仿宋" w:eastAsia="仿宋" w:cs="仿宋"/>
          <w:color w:val="000000"/>
          <w:kern w:val="0"/>
          <w:sz w:val="32"/>
          <w:szCs w:val="32"/>
          <w:lang w:val="en-US" w:eastAsia="zh-CN" w:bidi="ar"/>
        </w:rPr>
        <w:t>0.42</w:t>
      </w:r>
      <w:r>
        <w:rPr>
          <w:rFonts w:hint="eastAsia" w:ascii="仿宋" w:hAnsi="仿宋" w:eastAsia="仿宋" w:cs="仿宋"/>
          <w:color w:val="000000"/>
          <w:kern w:val="0"/>
          <w:sz w:val="32"/>
          <w:szCs w:val="32"/>
          <w:lang w:val="zh-CN" w:eastAsia="zh-CN" w:bidi="ar"/>
        </w:rPr>
        <w:t>亿元；三是用于其他</w:t>
      </w:r>
      <w:r>
        <w:rPr>
          <w:rFonts w:hint="eastAsia" w:ascii="仿宋" w:hAnsi="仿宋" w:eastAsia="仿宋" w:cs="仿宋"/>
          <w:color w:val="000000"/>
          <w:kern w:val="0"/>
          <w:sz w:val="32"/>
          <w:szCs w:val="32"/>
          <w:lang w:val="en-US" w:eastAsia="zh-CN" w:bidi="ar"/>
        </w:rPr>
        <w:t>0.07亿元。</w:t>
      </w:r>
      <w:r>
        <w:rPr>
          <w:rFonts w:hint="eastAsia" w:ascii="仿宋" w:hAnsi="仿宋" w:eastAsia="仿宋" w:cs="仿宋"/>
          <w:color w:val="000000"/>
          <w:kern w:val="0"/>
          <w:sz w:val="32"/>
          <w:szCs w:val="32"/>
          <w:lang w:val="zh-CN" w:eastAsia="zh-CN" w:bidi="ar"/>
        </w:rPr>
        <w:t>专项债券分为三个使用方向：一是安排用于魏县马庄村城中村改造项目等1</w:t>
      </w:r>
      <w:r>
        <w:rPr>
          <w:rFonts w:hint="eastAsia" w:ascii="仿宋" w:hAnsi="仿宋" w:eastAsia="仿宋" w:cs="仿宋"/>
          <w:color w:val="000000"/>
          <w:kern w:val="0"/>
          <w:sz w:val="32"/>
          <w:szCs w:val="32"/>
          <w:lang w:val="en-US" w:eastAsia="zh-CN" w:bidi="ar"/>
        </w:rPr>
        <w:t>2</w:t>
      </w:r>
      <w:r>
        <w:rPr>
          <w:rFonts w:hint="eastAsia" w:ascii="仿宋" w:hAnsi="仿宋" w:eastAsia="仿宋" w:cs="仿宋"/>
          <w:color w:val="000000"/>
          <w:kern w:val="0"/>
          <w:sz w:val="32"/>
          <w:szCs w:val="32"/>
          <w:lang w:val="zh-CN" w:eastAsia="zh-CN" w:bidi="ar"/>
        </w:rPr>
        <w:t>个政府投资项目建设</w:t>
      </w:r>
      <w:r>
        <w:rPr>
          <w:rFonts w:hint="eastAsia" w:ascii="仿宋" w:hAnsi="仿宋" w:eastAsia="仿宋" w:cs="仿宋"/>
          <w:color w:val="000000"/>
          <w:kern w:val="0"/>
          <w:sz w:val="32"/>
          <w:szCs w:val="32"/>
          <w:lang w:val="en-US" w:eastAsia="zh-CN" w:bidi="ar"/>
        </w:rPr>
        <w:t>5.64</w:t>
      </w:r>
      <w:r>
        <w:rPr>
          <w:rFonts w:hint="eastAsia" w:ascii="仿宋" w:hAnsi="仿宋" w:eastAsia="仿宋" w:cs="仿宋"/>
          <w:color w:val="000000"/>
          <w:kern w:val="0"/>
          <w:sz w:val="32"/>
          <w:szCs w:val="32"/>
          <w:lang w:val="zh-CN" w:eastAsia="zh-CN" w:bidi="ar"/>
        </w:rPr>
        <w:t>亿元，二是用于补充地方政府综合财力</w:t>
      </w:r>
      <w:r>
        <w:rPr>
          <w:rFonts w:hint="eastAsia" w:ascii="仿宋" w:hAnsi="仿宋" w:eastAsia="仿宋" w:cs="仿宋"/>
          <w:color w:val="000000"/>
          <w:kern w:val="0"/>
          <w:sz w:val="32"/>
          <w:szCs w:val="32"/>
          <w:lang w:val="en-US" w:eastAsia="zh-CN" w:bidi="ar"/>
        </w:rPr>
        <w:t>0.93</w:t>
      </w:r>
      <w:r>
        <w:rPr>
          <w:rFonts w:hint="eastAsia" w:ascii="仿宋" w:hAnsi="仿宋" w:eastAsia="仿宋" w:cs="仿宋"/>
          <w:color w:val="000000"/>
          <w:kern w:val="0"/>
          <w:sz w:val="32"/>
          <w:szCs w:val="32"/>
          <w:lang w:val="zh-CN" w:eastAsia="zh-CN" w:bidi="ar"/>
        </w:rPr>
        <w:t>亿元，三是用于其他</w:t>
      </w:r>
      <w:r>
        <w:rPr>
          <w:rFonts w:hint="eastAsia" w:ascii="仿宋" w:hAnsi="仿宋" w:eastAsia="仿宋" w:cs="仿宋"/>
          <w:color w:val="000000"/>
          <w:kern w:val="0"/>
          <w:sz w:val="32"/>
          <w:szCs w:val="32"/>
          <w:lang w:val="en-US" w:eastAsia="zh-CN" w:bidi="ar"/>
        </w:rPr>
        <w:t>5.99亿元</w:t>
      </w:r>
      <w:r>
        <w:rPr>
          <w:rFonts w:hint="eastAsia" w:ascii="仿宋" w:hAnsi="仿宋" w:eastAsia="仿宋" w:cs="仿宋"/>
          <w:color w:val="000000"/>
          <w:kern w:val="0"/>
          <w:sz w:val="32"/>
          <w:szCs w:val="32"/>
          <w:lang w:val="zh-CN" w:eastAsia="zh-CN" w:bidi="ar"/>
        </w:rPr>
        <w:t>。全年共偿还到期债务本金</w:t>
      </w:r>
      <w:r>
        <w:rPr>
          <w:rFonts w:hint="eastAsia" w:ascii="仿宋" w:hAnsi="仿宋" w:eastAsia="仿宋" w:cs="仿宋"/>
          <w:color w:val="000000"/>
          <w:kern w:val="0"/>
          <w:sz w:val="32"/>
          <w:szCs w:val="32"/>
          <w:lang w:val="en-US" w:eastAsia="zh-CN" w:bidi="ar"/>
        </w:rPr>
        <w:t>3.56</w:t>
      </w:r>
      <w:r>
        <w:rPr>
          <w:rFonts w:hint="eastAsia" w:ascii="仿宋" w:hAnsi="仿宋" w:eastAsia="仿宋" w:cs="仿宋"/>
          <w:color w:val="000000"/>
          <w:kern w:val="0"/>
          <w:sz w:val="32"/>
          <w:szCs w:val="32"/>
          <w:lang w:val="zh-CN" w:eastAsia="zh-CN" w:bidi="ar"/>
        </w:rPr>
        <w:t>亿元，未发生逾期情况。通过有效管控，债务风险整体可控。</w:t>
      </w:r>
    </w:p>
    <w:p>
      <w:pPr>
        <w:keepNext w:val="0"/>
        <w:keepLines w:val="0"/>
        <w:pageBreakBefore w:val="0"/>
        <w:widowControl w:val="0"/>
        <w:kinsoku/>
        <w:wordWrap/>
        <w:overflowPunct/>
        <w:topLinePunct w:val="0"/>
        <w:autoSpaceDE/>
        <w:autoSpaceDN/>
        <w:bidi w:val="0"/>
        <w:adjustRightInd/>
        <w:snapToGrid/>
        <w:spacing w:beforeLines="0" w:afterLines="0" w:line="240" w:lineRule="auto"/>
        <w:ind w:left="200" w:firstLine="640" w:firstLineChars="200"/>
        <w:jc w:val="left"/>
        <w:textAlignment w:val="auto"/>
        <w:rPr>
          <w:rFonts w:hint="eastAsia" w:ascii="仿宋" w:hAnsi="仿宋" w:eastAsia="仿宋" w:cs="仿宋"/>
          <w:color w:val="000000"/>
          <w:kern w:val="0"/>
          <w:sz w:val="32"/>
          <w:szCs w:val="32"/>
          <w:lang w:val="zh-CN" w:eastAsia="zh-CN" w:bidi="ar"/>
        </w:rPr>
      </w:pPr>
      <w:r>
        <w:rPr>
          <w:rFonts w:hint="eastAsia" w:ascii="仿宋" w:hAnsi="仿宋" w:eastAsia="仿宋" w:cs="仿宋"/>
          <w:color w:val="000000"/>
          <w:kern w:val="0"/>
          <w:sz w:val="32"/>
          <w:szCs w:val="32"/>
          <w:lang w:val="zh-CN" w:eastAsia="zh-CN" w:bidi="ar"/>
        </w:rPr>
        <w:t>2026年，计划通过发行政府债券方式举借债务支持政府投资项目建设。再融资债券方面，已上报申请</w:t>
      </w:r>
      <w:r>
        <w:rPr>
          <w:rFonts w:hint="eastAsia" w:ascii="仿宋" w:hAnsi="仿宋" w:eastAsia="仿宋" w:cs="仿宋"/>
          <w:color w:val="000000"/>
          <w:kern w:val="0"/>
          <w:sz w:val="32"/>
          <w:szCs w:val="32"/>
          <w:lang w:val="en-US" w:eastAsia="zh-CN" w:bidi="ar"/>
        </w:rPr>
        <w:t>4.54</w:t>
      </w:r>
      <w:r>
        <w:rPr>
          <w:rFonts w:hint="eastAsia" w:ascii="仿宋" w:hAnsi="仿宋" w:eastAsia="仿宋" w:cs="仿宋"/>
          <w:color w:val="000000"/>
          <w:kern w:val="0"/>
          <w:sz w:val="32"/>
          <w:szCs w:val="32"/>
          <w:lang w:val="zh-CN" w:eastAsia="zh-CN" w:bidi="ar"/>
        </w:rPr>
        <w:t>亿元；新增专项债券项目方面，县财政和县发改部门正组织项目单位全力储备申报；一般债券方面，上报了魏县新区核心路网建设工程项目等县重点项目。202</w:t>
      </w:r>
      <w:r>
        <w:rPr>
          <w:rFonts w:hint="eastAsia" w:ascii="仿宋" w:hAnsi="仿宋" w:eastAsia="仿宋" w:cs="仿宋"/>
          <w:color w:val="000000"/>
          <w:kern w:val="0"/>
          <w:sz w:val="32"/>
          <w:szCs w:val="32"/>
          <w:lang w:val="en-US" w:eastAsia="zh-CN" w:bidi="ar"/>
        </w:rPr>
        <w:t>6</w:t>
      </w:r>
      <w:r>
        <w:rPr>
          <w:rFonts w:hint="eastAsia" w:ascii="仿宋" w:hAnsi="仿宋" w:eastAsia="仿宋" w:cs="仿宋"/>
          <w:color w:val="000000"/>
          <w:kern w:val="0"/>
          <w:sz w:val="32"/>
          <w:szCs w:val="32"/>
          <w:lang w:val="zh-CN" w:eastAsia="zh-CN" w:bidi="ar"/>
        </w:rPr>
        <w:t>年计划偿还政府到期债务本金</w:t>
      </w:r>
      <w:r>
        <w:rPr>
          <w:rFonts w:hint="eastAsia" w:ascii="仿宋" w:hAnsi="仿宋" w:eastAsia="仿宋" w:cs="仿宋"/>
          <w:color w:val="000000"/>
          <w:kern w:val="0"/>
          <w:sz w:val="32"/>
          <w:szCs w:val="32"/>
          <w:lang w:val="en-US" w:eastAsia="zh-CN" w:bidi="ar"/>
        </w:rPr>
        <w:t>5.06</w:t>
      </w:r>
      <w:r>
        <w:rPr>
          <w:rFonts w:hint="eastAsia" w:ascii="仿宋" w:hAnsi="仿宋" w:eastAsia="仿宋" w:cs="仿宋"/>
          <w:color w:val="000000"/>
          <w:kern w:val="0"/>
          <w:sz w:val="32"/>
          <w:szCs w:val="32"/>
          <w:lang w:val="zh-CN" w:eastAsia="zh-CN" w:bidi="ar"/>
        </w:rPr>
        <w:t>亿元，已全部列入年初预算。</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rPr>
          <w:rFonts w:hint="eastAsia" w:ascii="仿宋" w:hAnsi="仿宋" w:eastAsia="仿宋" w:cs="仿宋"/>
          <w:color w:val="000000"/>
          <w:sz w:val="36"/>
          <w:szCs w:val="36"/>
        </w:rPr>
        <w:t>第七部分</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pPr>
      <w:r>
        <w:rPr>
          <w:rFonts w:hint="eastAsia" w:ascii="仿宋" w:hAnsi="仿宋" w:eastAsia="仿宋" w:cs="仿宋"/>
          <w:color w:val="000000"/>
          <w:sz w:val="36"/>
          <w:szCs w:val="36"/>
        </w:rPr>
        <w:t>202</w:t>
      </w:r>
      <w:r>
        <w:rPr>
          <w:rFonts w:hint="eastAsia" w:ascii="仿宋" w:hAnsi="仿宋" w:eastAsia="仿宋" w:cs="仿宋"/>
          <w:color w:val="000000"/>
          <w:sz w:val="36"/>
          <w:szCs w:val="36"/>
          <w:lang w:val="en-US" w:eastAsia="zh-CN"/>
        </w:rPr>
        <w:t>6</w:t>
      </w:r>
      <w:r>
        <w:rPr>
          <w:rFonts w:hint="eastAsia" w:ascii="仿宋" w:hAnsi="仿宋" w:eastAsia="仿宋" w:cs="仿宋"/>
          <w:color w:val="000000"/>
          <w:sz w:val="36"/>
          <w:szCs w:val="36"/>
        </w:rPr>
        <w:t>年其他重要事项的解释说明</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ind w:left="0" w:firstLine="640"/>
        <w:jc w:val="both"/>
        <w:textAlignment w:val="auto"/>
      </w:pPr>
      <w:r>
        <w:rPr>
          <w:rFonts w:hint="eastAsia" w:ascii="仿宋" w:hAnsi="仿宋" w:eastAsia="仿宋" w:cs="仿宋"/>
          <w:color w:val="000000"/>
          <w:sz w:val="32"/>
          <w:szCs w:val="32"/>
        </w:rPr>
        <w:t>根据202</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年预算安排情况，暂无其他重要事项需要解释说明。</w:t>
      </w:r>
    </w:p>
    <w:p>
      <w:pPr>
        <w:keepNext w:val="0"/>
        <w:keepLines w:val="0"/>
        <w:pageBreakBefore w:val="0"/>
        <w:widowControl w:val="0"/>
        <w:kinsoku/>
        <w:wordWrap/>
        <w:overflowPunct/>
        <w:topLinePunct w:val="0"/>
        <w:autoSpaceDE/>
        <w:autoSpaceDN/>
        <w:bidi w:val="0"/>
        <w:adjustRightInd/>
        <w:snapToGrid/>
        <w:spacing w:line="240" w:lineRule="auto"/>
        <w:textAlignment w:val="auto"/>
      </w:pPr>
    </w:p>
    <w:sectPr>
      <w:pgSz w:w="11906" w:h="16838"/>
      <w:pgMar w:top="1157" w:right="1576" w:bottom="1157" w:left="1576"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MTM2OTkxNWU4MmExZmNjNjA4ZjhkMzAxY2QwZGYifQ=="/>
  </w:docVars>
  <w:rsids>
    <w:rsidRoot w:val="00000000"/>
    <w:rsid w:val="094077F3"/>
    <w:rsid w:val="18D01AB5"/>
    <w:rsid w:val="666767BC"/>
    <w:rsid w:val="77CD77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4</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2026-03-23T08:07:00Z</dcterms:created>
  <dc:creator>Administrator</dc:creator>
  <cp:lastModifiedBy>Lenovo</cp:lastModifiedBy>
  <dcterms:modified xsi:type="dcterms:W3CDTF">2026-10-21T06:41:51Z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KSOTemplateDocerSaveRecord">
    <vt:lpwstr>eyJoZGlkIjoiYmFjOGUxNTRlOTg2ZjY0NTMxMWMzYTQ1M2NjMGRmZjYiLCJ1c2VySWQiOiI3NDUyMTQwODMifQ==</vt:lpwstr>
  </property>
  <property fmtid="{D5CDD505-2E9C-101B-9397-08002B2CF9AE}" pid="4" name="ICV">
    <vt:lpwstr>5D9778D7B7924EEA87E27609621BD819_12</vt:lpwstr>
  </property>
</Properties>
</file>