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CB3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750" w:lineRule="atLeast"/>
        <w:ind w:left="0" w:right="0"/>
        <w:jc w:val="center"/>
        <w:rPr>
          <w:rFonts w:ascii="微软雅黑" w:hAnsi="微软雅黑" w:eastAsia="微软雅黑" w:cs="微软雅黑"/>
          <w:sz w:val="48"/>
          <w:szCs w:val="48"/>
          <w:vertAlign w:val="baseli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  <w:t>魏县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</w:rPr>
        <w:t>水利领域涉企行政检查标准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400"/>
        <w:gridCol w:w="1425"/>
        <w:gridCol w:w="7494"/>
      </w:tblGrid>
      <w:tr w14:paraId="0C2C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  <w:vAlign w:val="center"/>
          </w:tcPr>
          <w:p w14:paraId="2DEA836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00" w:beforeAutospacing="0" w:after="0" w:afterAutospacing="0" w:line="30" w:lineRule="atLeast"/>
              <w:ind w:left="0" w:leftChars="0" w:right="0" w:rightChars="0"/>
              <w:jc w:val="center"/>
              <w:textAlignment w:val="center"/>
              <w:rPr>
                <w:rFonts w:ascii="微软雅黑" w:hAnsi="微软雅黑" w:eastAsia="微软雅黑" w:cs="微软雅黑"/>
                <w:sz w:val="48"/>
                <w:szCs w:val="48"/>
                <w:vertAlign w:val="baseline"/>
              </w:rPr>
            </w:pPr>
            <w:r>
              <w:rPr>
                <w:rFonts w:ascii="方正黑体_gbk" w:hAnsi="方正黑体_gbk" w:eastAsia="方正黑体_gbk" w:cs="方正黑体_gbk"/>
                <w:color w:val="333333"/>
                <w:sz w:val="21"/>
                <w:szCs w:val="21"/>
              </w:rPr>
              <w:t>序号</w:t>
            </w:r>
          </w:p>
        </w:tc>
        <w:tc>
          <w:tcPr>
            <w:tcW w:w="2400" w:type="dxa"/>
            <w:vAlign w:val="center"/>
          </w:tcPr>
          <w:p w14:paraId="29F46A4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00" w:beforeAutospacing="0" w:after="0" w:afterAutospacing="0" w:line="30" w:lineRule="atLeast"/>
              <w:ind w:left="0" w:leftChars="0" w:right="0" w:rightChars="0"/>
              <w:jc w:val="center"/>
              <w:textAlignment w:val="center"/>
              <w:rPr>
                <w:rFonts w:ascii="微软雅黑" w:hAnsi="微软雅黑" w:eastAsia="微软雅黑" w:cs="微软雅黑"/>
                <w:sz w:val="48"/>
                <w:szCs w:val="48"/>
                <w:vertAlign w:val="baseline"/>
              </w:rPr>
            </w:pPr>
            <w:r>
              <w:rPr>
                <w:rFonts w:hint="default" w:ascii="方正黑体_gbk" w:hAnsi="方正黑体_gbk" w:eastAsia="方正黑体_gbk" w:cs="方正黑体_gbk"/>
                <w:color w:val="333333"/>
                <w:sz w:val="21"/>
                <w:szCs w:val="21"/>
              </w:rPr>
              <w:t>事项名称</w:t>
            </w:r>
          </w:p>
        </w:tc>
        <w:tc>
          <w:tcPr>
            <w:tcW w:w="1425" w:type="dxa"/>
            <w:vAlign w:val="center"/>
          </w:tcPr>
          <w:p w14:paraId="70C9A1D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00" w:beforeAutospacing="0" w:after="0" w:afterAutospacing="0" w:line="30" w:lineRule="atLeast"/>
              <w:ind w:left="0" w:leftChars="0" w:right="0" w:rightChars="0"/>
              <w:jc w:val="center"/>
              <w:textAlignment w:val="center"/>
              <w:rPr>
                <w:rFonts w:ascii="微软雅黑" w:hAnsi="微软雅黑" w:eastAsia="微软雅黑" w:cs="微软雅黑"/>
                <w:sz w:val="48"/>
                <w:szCs w:val="48"/>
                <w:vertAlign w:val="baseline"/>
              </w:rPr>
            </w:pPr>
            <w:r>
              <w:rPr>
                <w:rFonts w:hint="default" w:ascii="方正黑体_gbk" w:hAnsi="方正黑体_gbk" w:eastAsia="方正黑体_gbk" w:cs="方正黑体_gbk"/>
                <w:color w:val="333333"/>
                <w:sz w:val="21"/>
                <w:szCs w:val="21"/>
              </w:rPr>
              <w:t>检查主体</w:t>
            </w:r>
          </w:p>
        </w:tc>
        <w:tc>
          <w:tcPr>
            <w:tcW w:w="7494" w:type="dxa"/>
            <w:vAlign w:val="center"/>
          </w:tcPr>
          <w:p w14:paraId="0FB6D5E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00" w:beforeAutospacing="0" w:after="0" w:afterAutospacing="0" w:line="30" w:lineRule="atLeast"/>
              <w:ind w:left="0" w:leftChars="0" w:right="0" w:rightChars="0"/>
              <w:jc w:val="center"/>
              <w:textAlignment w:val="center"/>
              <w:rPr>
                <w:rFonts w:ascii="微软雅黑" w:hAnsi="微软雅黑" w:eastAsia="微软雅黑" w:cs="微软雅黑"/>
                <w:sz w:val="48"/>
                <w:szCs w:val="48"/>
                <w:vertAlign w:val="baseline"/>
              </w:rPr>
            </w:pPr>
            <w:r>
              <w:rPr>
                <w:rFonts w:hint="default" w:ascii="方正黑体_gbk" w:hAnsi="方正黑体_gbk" w:eastAsia="方正黑体_gbk" w:cs="方正黑体_gbk"/>
                <w:color w:val="333333"/>
                <w:sz w:val="21"/>
                <w:szCs w:val="21"/>
              </w:rPr>
              <w:t>检查标准</w:t>
            </w:r>
          </w:p>
        </w:tc>
      </w:tr>
      <w:tr w14:paraId="03D34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890" w:type="dxa"/>
          </w:tcPr>
          <w:p w14:paraId="5C40934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1</w:t>
            </w:r>
          </w:p>
        </w:tc>
        <w:tc>
          <w:tcPr>
            <w:tcW w:w="2400" w:type="dxa"/>
            <w:vAlign w:val="center"/>
          </w:tcPr>
          <w:p w14:paraId="5A3936C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对生产建设项目水土保持的行政检查</w:t>
            </w:r>
          </w:p>
        </w:tc>
        <w:tc>
          <w:tcPr>
            <w:tcW w:w="1425" w:type="dxa"/>
            <w:vAlign w:val="center"/>
          </w:tcPr>
          <w:p w14:paraId="20E966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56372AC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both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是否办理生产建设项目水土保持方案审批（含重大变更）；是否按许可的水土保持方案落实后续设计，表土剥离、保存和利用，取、弃土（包括渣、石、砂、矸石、尾矿等）场选址及防护，水土保持措施，水土保持监测、监理等；是否按规定缴纳水土保持补偿费；是否开展水土保持设施自主验收</w:t>
            </w:r>
          </w:p>
        </w:tc>
      </w:tr>
      <w:tr w14:paraId="0D2C0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163962E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2</w:t>
            </w:r>
          </w:p>
        </w:tc>
        <w:tc>
          <w:tcPr>
            <w:tcW w:w="2400" w:type="dxa"/>
            <w:vAlign w:val="center"/>
          </w:tcPr>
          <w:p w14:paraId="4DDBD79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对河道管理范围内特定活动的监督检查</w:t>
            </w:r>
          </w:p>
        </w:tc>
        <w:tc>
          <w:tcPr>
            <w:tcW w:w="1425" w:type="dxa"/>
            <w:vAlign w:val="center"/>
          </w:tcPr>
          <w:p w14:paraId="32FAB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449CFF8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是否越权审批、超类别审批；是否符合岸线功能分区管控要求；是否按照批复实施；是否未经批准设置临时建（构）筑物；是否非法倾倒弃渣、垃圾；是否落实消除和减轻影响措施；是否按规定编制防汛预案；是否存在其他未批先动或可能影响防洪安全问题；现场监管是否落实</w:t>
            </w:r>
          </w:p>
        </w:tc>
      </w:tr>
      <w:tr w14:paraId="13A7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2A3D42C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3</w:t>
            </w:r>
          </w:p>
        </w:tc>
        <w:tc>
          <w:tcPr>
            <w:tcW w:w="2400" w:type="dxa"/>
            <w:vAlign w:val="center"/>
          </w:tcPr>
          <w:p w14:paraId="52A4914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对河道管理范围建设项目的行政检查</w:t>
            </w:r>
          </w:p>
        </w:tc>
        <w:tc>
          <w:tcPr>
            <w:tcW w:w="1425" w:type="dxa"/>
            <w:vAlign w:val="center"/>
          </w:tcPr>
          <w:p w14:paraId="4081F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1F2D00B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300" w:beforeAutospacing="0" w:after="0" w:afterAutospacing="0" w:line="30" w:lineRule="atLeast"/>
              <w:ind w:left="0" w:right="0" w:firstLine="0"/>
              <w:jc w:val="left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《是否越权审批、超类别审批；是否符合岸线功能分区管控要求；是否按照批复实施；是否未经批准设置临时建（构）筑物；是否非法倾倒弃渣、垃圾；是否落实消除和减轻影响措施；是否按规定编制防汛预案；是否存在其他未批先建或可能影响防洪安全问题；现场监管是否落实</w:t>
            </w:r>
          </w:p>
          <w:p w14:paraId="03426C15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 w14:paraId="64107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0B0318D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4</w:t>
            </w:r>
          </w:p>
        </w:tc>
        <w:tc>
          <w:tcPr>
            <w:tcW w:w="2400" w:type="dxa"/>
            <w:vAlign w:val="center"/>
          </w:tcPr>
          <w:p w14:paraId="16157D6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对编制洪水影响评价类报告非防洪建设项目的行政检查</w:t>
            </w:r>
          </w:p>
        </w:tc>
        <w:tc>
          <w:tcPr>
            <w:tcW w:w="1425" w:type="dxa"/>
            <w:vAlign w:val="center"/>
          </w:tcPr>
          <w:p w14:paraId="48587D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14D6A1BF">
            <w:pP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蓄滞洪区内非防洪建设项目是否具有洪水影响评价报告批准许可；已经取得洪水影响评价报告审批许可的非防洪建设项目，批建是否相符；蓄滞洪区内非防洪建设项目是否制定应急度汛方案，落实应急度汛措施；水利部和市级行政审批部门有关批复文件的其他要求</w:t>
            </w:r>
          </w:p>
        </w:tc>
      </w:tr>
      <w:tr w14:paraId="4A2E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4ECF618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5</w:t>
            </w:r>
          </w:p>
        </w:tc>
        <w:tc>
          <w:tcPr>
            <w:tcW w:w="2400" w:type="dxa"/>
            <w:vAlign w:val="center"/>
          </w:tcPr>
          <w:p w14:paraId="526B243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对大坝管理和保护范围内修建码头、渔塘的行政检查</w:t>
            </w:r>
          </w:p>
        </w:tc>
        <w:tc>
          <w:tcPr>
            <w:tcW w:w="1425" w:type="dxa"/>
            <w:vAlign w:val="center"/>
          </w:tcPr>
          <w:p w14:paraId="508E3E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  <w:shd w:val="clear" w:color="auto" w:fill="auto"/>
            <w:vAlign w:val="center"/>
          </w:tcPr>
          <w:p w14:paraId="2860627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 w:rightChars="0"/>
              <w:jc w:val="center"/>
              <w:outlineLvl w:val="4"/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修建项目方案是否与批复文件一致；对大坝安全、工程管理和抢险工作是否有影响。</w:t>
            </w:r>
          </w:p>
        </w:tc>
      </w:tr>
      <w:tr w14:paraId="57AE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163D132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6</w:t>
            </w:r>
          </w:p>
        </w:tc>
        <w:tc>
          <w:tcPr>
            <w:tcW w:w="2400" w:type="dxa"/>
            <w:vAlign w:val="center"/>
          </w:tcPr>
          <w:p w14:paraId="1EDE90D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对占用农业灌溉水源、灌排工程设施的行政检查</w:t>
            </w:r>
          </w:p>
        </w:tc>
        <w:tc>
          <w:tcPr>
            <w:tcW w:w="1425" w:type="dxa"/>
            <w:vAlign w:val="center"/>
          </w:tcPr>
          <w:p w14:paraId="7E3AF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1D71B49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0" w:beforeAutospacing="0" w:after="90" w:afterAutospacing="0" w:line="420" w:lineRule="atLeast"/>
              <w:ind w:left="0" w:right="0" w:hanging="360"/>
              <w:jc w:val="left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‌</w:t>
            </w:r>
          </w:p>
          <w:p w14:paraId="6CB8312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90" w:beforeAutospacing="0" w:after="90" w:afterAutospacing="0" w:line="420" w:lineRule="atLeast"/>
              <w:ind w:left="0" w:right="0" w:hanging="360"/>
              <w:jc w:val="left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相关审批单位是否存在超权限审批、审批依据是否充分、审批流程是否合法、审批结果是否合理等；审批单位监督检查规范化情况，日常巡查和重点监督检查执行情况，对检查中发现问题的整改情况。</w:t>
            </w:r>
            <w:r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‌</w:t>
            </w:r>
          </w:p>
          <w:p w14:paraId="5459FF0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 w14:paraId="71C4E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7CF5272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7</w:t>
            </w:r>
          </w:p>
        </w:tc>
        <w:tc>
          <w:tcPr>
            <w:tcW w:w="2400" w:type="dxa"/>
            <w:vAlign w:val="center"/>
          </w:tcPr>
          <w:p w14:paraId="13AF988E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对节约用水的行政检查</w:t>
            </w:r>
          </w:p>
        </w:tc>
        <w:tc>
          <w:tcPr>
            <w:tcW w:w="1425" w:type="dxa"/>
            <w:vAlign w:val="center"/>
          </w:tcPr>
          <w:p w14:paraId="576AFB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5BA5141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是否存在超计划（超定额）用水情况；是否分水源、分用途，分别安装用水计量设施；新建、改建、扩建建设项目是否配套建设节水设施，并于主体工程同时设计、同时施工、同时投入使用；是否使用国家明令淘汰的技术、工艺、设备和产品；具备使用非常规水条件时，是否存在应当使用而未使用或使用量未达到指标要求的情况；工业企业的生产设备冷却水、空调冷却水、锅炉冷凝水是否回收利用；国家或省要求开展的节约用水方面其他检查内容</w:t>
            </w:r>
          </w:p>
        </w:tc>
      </w:tr>
      <w:tr w14:paraId="5121B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5223F88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8</w:t>
            </w:r>
          </w:p>
        </w:tc>
        <w:tc>
          <w:tcPr>
            <w:tcW w:w="2400" w:type="dxa"/>
            <w:vAlign w:val="center"/>
          </w:tcPr>
          <w:p w14:paraId="1349AFE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对水工程建设规划同意书的行政检查</w:t>
            </w:r>
          </w:p>
        </w:tc>
        <w:tc>
          <w:tcPr>
            <w:tcW w:w="1425" w:type="dxa"/>
            <w:vAlign w:val="center"/>
          </w:tcPr>
          <w:p w14:paraId="41B80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6735AB8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检查建设单位当初申请时提交的材料是否齐全，包括水工程建设规划同意书申请表、拟报批水工程的（预）可行性研究报告（项目申请报告、备案材料）</w:t>
            </w:r>
          </w:p>
        </w:tc>
      </w:tr>
      <w:tr w14:paraId="313A0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67A6218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9</w:t>
            </w:r>
          </w:p>
        </w:tc>
        <w:tc>
          <w:tcPr>
            <w:tcW w:w="2400" w:type="dxa"/>
            <w:vAlign w:val="center"/>
          </w:tcPr>
          <w:p w14:paraId="02A87E7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对单位/个人取用水行为的行政检查</w:t>
            </w:r>
          </w:p>
        </w:tc>
        <w:tc>
          <w:tcPr>
            <w:tcW w:w="1425" w:type="dxa"/>
            <w:vAlign w:val="center"/>
          </w:tcPr>
          <w:p w14:paraId="340969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51E30A6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是否办理了取水许可手续；取水手续是否合法有效；取水水源是否符合批复要求；取水工程或设施是否与批复一致；取水用途是否与批复一致；取水、退水地点及退水方式、退水量是否与批复一致；是否按规定安装计量设施，并落实计量管理规定；是否符合法律、行政法规规定的其他情形</w:t>
            </w:r>
          </w:p>
        </w:tc>
      </w:tr>
      <w:tr w14:paraId="590BB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4D2C0C5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10</w:t>
            </w:r>
          </w:p>
        </w:tc>
        <w:tc>
          <w:tcPr>
            <w:tcW w:w="2400" w:type="dxa"/>
            <w:vAlign w:val="center"/>
          </w:tcPr>
          <w:p w14:paraId="1B23140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对在堤防上新建建筑物及设施竣工验收的行政检查</w:t>
            </w:r>
          </w:p>
        </w:tc>
        <w:tc>
          <w:tcPr>
            <w:tcW w:w="1425" w:type="dxa"/>
            <w:vAlign w:val="center"/>
          </w:tcPr>
          <w:p w14:paraId="64B80F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0A1D63F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外观质量、质量检测相关资料，项目移交和管理制度落实情况</w:t>
            </w:r>
          </w:p>
        </w:tc>
      </w:tr>
      <w:tr w14:paraId="419BB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3ED96D7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11</w:t>
            </w:r>
          </w:p>
        </w:tc>
        <w:tc>
          <w:tcPr>
            <w:tcW w:w="2400" w:type="dxa"/>
          </w:tcPr>
          <w:p w14:paraId="1441588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对已批复水利基建项目初步设计文件的行政检查</w:t>
            </w:r>
          </w:p>
        </w:tc>
        <w:tc>
          <w:tcPr>
            <w:tcW w:w="1425" w:type="dxa"/>
          </w:tcPr>
          <w:p w14:paraId="1BFDF7F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28B26BE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审查设计文件是否符合相关的法律法规和国家标准，如《水利水电工程施工质量验收规范》和《水利水电工程施工质量检验标准》等‌</w:t>
            </w:r>
          </w:p>
        </w:tc>
      </w:tr>
      <w:tr w14:paraId="20C6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</w:tcPr>
          <w:p w14:paraId="3EEA438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default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12</w:t>
            </w:r>
          </w:p>
        </w:tc>
        <w:tc>
          <w:tcPr>
            <w:tcW w:w="2400" w:type="dxa"/>
          </w:tcPr>
          <w:p w14:paraId="6C98E530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对利用堤顶、戗台兼做公路的行政检查</w:t>
            </w:r>
          </w:p>
        </w:tc>
        <w:tc>
          <w:tcPr>
            <w:tcW w:w="1425" w:type="dxa"/>
          </w:tcPr>
          <w:p w14:paraId="50395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邯山区水利局</w:t>
            </w:r>
          </w:p>
        </w:tc>
        <w:tc>
          <w:tcPr>
            <w:tcW w:w="7494" w:type="dxa"/>
          </w:tcPr>
          <w:p w14:paraId="22F608A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750" w:lineRule="atLeast"/>
              <w:ind w:right="0"/>
              <w:jc w:val="center"/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 w:val="0"/>
                <w:bCs w:val="0"/>
                <w:kern w:val="2"/>
                <w:sz w:val="18"/>
                <w:szCs w:val="24"/>
                <w:lang w:val="en-US" w:eastAsia="zh-CN" w:bidi="ar-SA"/>
              </w:rPr>
              <w:t>日常维护情况，包括路面清扫、排水设施疏通、标志标线更新等工作是否正常开展，维护记录是否完整。检查是否按照堤身和堤顶公路的管理和维护办法进行维护。</w:t>
            </w:r>
          </w:p>
        </w:tc>
      </w:tr>
    </w:tbl>
    <w:p w14:paraId="4F302F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750" w:lineRule="atLeast"/>
        <w:ind w:left="0" w:right="0"/>
        <w:jc w:val="center"/>
        <w:rPr>
          <w:rFonts w:hint="eastAsia" w:ascii="仿宋" w:hAnsi="仿宋" w:eastAsia="仿宋" w:cstheme="minorBidi"/>
          <w:b w:val="0"/>
          <w:bCs w:val="0"/>
          <w:kern w:val="2"/>
          <w:sz w:val="18"/>
          <w:szCs w:val="24"/>
          <w:lang w:val="en-US" w:eastAsia="zh-CN" w:bidi="ar-SA"/>
        </w:rPr>
      </w:pPr>
    </w:p>
    <w:p w14:paraId="3934FCF1">
      <w:pPr>
        <w:rPr>
          <w:rFonts w:hint="eastAsia" w:ascii="仿宋" w:hAnsi="仿宋" w:eastAsia="仿宋" w:cstheme="minorBidi"/>
          <w:b w:val="0"/>
          <w:bCs w:val="0"/>
          <w:kern w:val="2"/>
          <w:sz w:val="18"/>
          <w:szCs w:val="24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F9392B"/>
    <w:multiLevelType w:val="multilevel"/>
    <w:tmpl w:val="36F939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719C8EB8"/>
    <w:multiLevelType w:val="multilevel"/>
    <w:tmpl w:val="719C8E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373CD"/>
    <w:rsid w:val="1B204549"/>
    <w:rsid w:val="221F7512"/>
    <w:rsid w:val="357274D8"/>
    <w:rsid w:val="38BC0477"/>
    <w:rsid w:val="550138B4"/>
    <w:rsid w:val="57B51FBD"/>
    <w:rsid w:val="5F272A40"/>
    <w:rsid w:val="665A551B"/>
    <w:rsid w:val="6C7D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1497</Words>
  <Characters>1500</Characters>
  <Lines>0</Lines>
  <Paragraphs>0</Paragraphs>
  <TotalTime>93</TotalTime>
  <ScaleCrop>false</ScaleCrop>
  <LinksUpToDate>false</LinksUpToDate>
  <CharactersWithSpaces>1501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2022-09-02T07:55:00Z</dcterms:created>
  <dc:creator>Lenovo</dc:creator>
  <cp:lastModifiedBy>微信用户</cp:lastModifiedBy>
  <dcterms:modified xsi:type="dcterms:W3CDTF">2025-11-11T08:29:14Z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DE46C912069D490F841E1E22FD370925_13</vt:lpwstr>
  </property>
  <property fmtid="{D5CDD505-2E9C-101B-9397-08002B2CF9AE}" pid="4" name="KSOTemplateDocerSaveRecord">
    <vt:lpwstr>eyJoZGlkIjoiYzU0NWE1ODI1YTRiZTg5ZDk3YmRkMWRkODc5OTE1NWUiLCJ1c2VySWQiOiIxMjMxMDQyNzAzIn0=</vt:lpwstr>
  </property>
</Properties>
</file>