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33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魏县各乡镇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检查计划</w:t>
      </w:r>
    </w:p>
    <w:p w14:paraId="7711880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E1B4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根据下放乡镇涉企检查事项清单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和上级精神要求，对乡镇辖区内有关企业拟定日常主动检查频次一年不超过2次，安全生产、投诉举报、上级转办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交办除外。</w:t>
      </w:r>
    </w:p>
    <w:sectPr>
      <w:pgSz w:w="11906" w:h="16838"/>
      <w:pgMar w:top="2098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6382C"/>
    <w:rsid w:val="138429D0"/>
    <w:rsid w:val="5AB7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2025-11-07T06:38:00Z</dcterms:created>
  <dc:creator>Administrator</dc:creator>
  <cp:lastModifiedBy>微信用户</cp:lastModifiedBy>
  <dcterms:modified xsi:type="dcterms:W3CDTF">2025-11-12T01:19:57Z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eyJoZGlkIjoiYzU0NWE1ODI1YTRiZTg5ZDk3YmRkMWRkODc5OTE1NWUiLCJ1c2VySWQiOiIxMjMxMDQyNzAzIn0=</vt:lpwstr>
  </property>
  <property fmtid="{D5CDD505-2E9C-101B-9397-08002B2CF9AE}" pid="4" name="ICV">
    <vt:lpwstr>4ED562A143514391A2F0ABAFB6405F99_12</vt:lpwstr>
  </property>
</Properties>
</file>