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21</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346.42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264.78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64.13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17.50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346.42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346.42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346.42</w:t>
            </w:r>
          </w:p>
        </w:tc>
        <w:tc>
          <w:tcPr>
            <w:tcW w:w="4535" w:type="dxa"/>
            <w:vAlign w:val="center"/>
          </w:tcPr>
          <w:p>
            <w:pPr>
              <w:pStyle w:val="单元格样式6"/>
            </w:pPr>
            <w:r>
              <w:t xml:space="preserve">支出总计</w:t>
            </w:r>
          </w:p>
        </w:tc>
        <w:tc>
          <w:tcPr>
            <w:tcW w:w="2126" w:type="dxa"/>
            <w:vAlign w:val="center"/>
          </w:tcPr>
          <w:p>
            <w:pPr>
              <w:pStyle w:val="单元格样式7"/>
            </w:pPr>
            <w:r>
              <w:t xml:space="preserve">346.42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346.42</w:t>
            </w:r>
          </w:p>
        </w:tc>
        <w:tc>
          <w:tcPr>
            <w:tcW w:w="1134" w:type="dxa"/>
            <w:vAlign w:val="center"/>
          </w:tcPr>
          <w:p>
            <w:pPr>
              <w:pStyle w:val="单元格样式7"/>
            </w:pPr>
            <w:r>
              <w:t xml:space="preserve">346.42</w:t>
            </w:r>
          </w:p>
        </w:tc>
        <w:tc>
          <w:tcPr>
            <w:tcW w:w="1134" w:type="dxa"/>
            <w:vAlign w:val="center"/>
          </w:tcPr>
          <w:p>
            <w:pPr>
              <w:pStyle w:val="单元格样式7"/>
            </w:pPr>
            <w:r>
              <w:t xml:space="preserve">346.42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264.78</w:t>
            </w:r>
          </w:p>
        </w:tc>
        <w:tc>
          <w:tcPr>
            <w:tcW w:w="1134" w:type="dxa"/>
            <w:vAlign w:val="center"/>
          </w:tcPr>
          <w:p>
            <w:pPr>
              <w:pStyle w:val="单元格样式4"/>
            </w:pPr>
            <w:r>
              <w:t xml:space="preserve">264.78</w:t>
            </w:r>
          </w:p>
        </w:tc>
        <w:tc>
          <w:tcPr>
            <w:tcW w:w="1134" w:type="dxa"/>
            <w:vAlign w:val="center"/>
          </w:tcPr>
          <w:p>
            <w:pPr>
              <w:pStyle w:val="单元格样式4"/>
            </w:pPr>
            <w:r>
              <w:t xml:space="preserve">264.78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5.37</w:t>
            </w:r>
          </w:p>
        </w:tc>
        <w:tc>
          <w:tcPr>
            <w:tcW w:w="1134" w:type="dxa"/>
            <w:vAlign w:val="center"/>
          </w:tcPr>
          <w:p>
            <w:pPr>
              <w:pStyle w:val="单元格样式4"/>
            </w:pPr>
            <w:r>
              <w:t xml:space="preserve">5.37</w:t>
            </w:r>
          </w:p>
        </w:tc>
        <w:tc>
          <w:tcPr>
            <w:tcW w:w="1134" w:type="dxa"/>
            <w:vAlign w:val="center"/>
          </w:tcPr>
          <w:p>
            <w:pPr>
              <w:pStyle w:val="单元格样式4"/>
            </w:pPr>
            <w:r>
              <w:t xml:space="preserve">5.37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39.17</w:t>
            </w:r>
          </w:p>
        </w:tc>
        <w:tc>
          <w:tcPr>
            <w:tcW w:w="1134" w:type="dxa"/>
            <w:vAlign w:val="center"/>
          </w:tcPr>
          <w:p>
            <w:pPr>
              <w:pStyle w:val="单元格样式4"/>
            </w:pPr>
            <w:r>
              <w:t xml:space="preserve">39.17</w:t>
            </w:r>
          </w:p>
        </w:tc>
        <w:tc>
          <w:tcPr>
            <w:tcW w:w="1134" w:type="dxa"/>
            <w:vAlign w:val="center"/>
          </w:tcPr>
          <w:p>
            <w:pPr>
              <w:pStyle w:val="单元格样式4"/>
            </w:pPr>
            <w:r>
              <w:t xml:space="preserve">39.17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19.59</w:t>
            </w:r>
          </w:p>
        </w:tc>
        <w:tc>
          <w:tcPr>
            <w:tcW w:w="1134" w:type="dxa"/>
            <w:vAlign w:val="center"/>
          </w:tcPr>
          <w:p>
            <w:pPr>
              <w:pStyle w:val="单元格样式4"/>
            </w:pPr>
            <w:r>
              <w:t xml:space="preserve">19.59</w:t>
            </w:r>
          </w:p>
        </w:tc>
        <w:tc>
          <w:tcPr>
            <w:tcW w:w="1134" w:type="dxa"/>
            <w:vAlign w:val="center"/>
          </w:tcPr>
          <w:p>
            <w:pPr>
              <w:pStyle w:val="单元格样式4"/>
            </w:pPr>
            <w:r>
              <w:t xml:space="preserve">19.59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346.42</w:t>
            </w:r>
          </w:p>
        </w:tc>
        <w:tc>
          <w:tcPr>
            <w:tcW w:w="1361" w:type="dxa"/>
            <w:vAlign w:val="center"/>
          </w:tcPr>
          <w:p>
            <w:pPr>
              <w:pStyle w:val="单元格样式7"/>
            </w:pPr>
            <w:r>
              <w:t xml:space="preserve">341.77</w:t>
            </w:r>
          </w:p>
        </w:tc>
        <w:tc>
          <w:tcPr>
            <w:tcW w:w="1361" w:type="dxa"/>
            <w:vAlign w:val="center"/>
          </w:tcPr>
          <w:p>
            <w:pPr>
              <w:pStyle w:val="单元格样式7"/>
            </w:pPr>
            <w:r>
              <w:t xml:space="preserve">4.65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264.78</w:t>
            </w:r>
          </w:p>
        </w:tc>
        <w:tc>
          <w:tcPr>
            <w:tcW w:w="1361" w:type="dxa"/>
            <w:vAlign w:val="center"/>
          </w:tcPr>
          <w:p>
            <w:pPr>
              <w:pStyle w:val="单元格样式4"/>
            </w:pPr>
            <w:r>
              <w:t xml:space="preserve">260.13</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260.13</w:t>
            </w:r>
          </w:p>
        </w:tc>
        <w:tc>
          <w:tcPr>
            <w:tcW w:w="1361" w:type="dxa"/>
            <w:vAlign w:val="center"/>
          </w:tcPr>
          <w:p>
            <w:pPr>
              <w:pStyle w:val="单元格样式4"/>
            </w:pPr>
            <w:r>
              <w:t xml:space="preserve">260.13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260.13</w:t>
            </w:r>
          </w:p>
        </w:tc>
        <w:tc>
          <w:tcPr>
            <w:tcW w:w="1361" w:type="dxa"/>
            <w:vAlign w:val="center"/>
          </w:tcPr>
          <w:p>
            <w:pPr>
              <w:pStyle w:val="单元格样式4"/>
            </w:pPr>
            <w:r>
              <w:t xml:space="preserve">260.13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64.13</w:t>
            </w:r>
          </w:p>
        </w:tc>
        <w:tc>
          <w:tcPr>
            <w:tcW w:w="1361" w:type="dxa"/>
            <w:vAlign w:val="center"/>
          </w:tcPr>
          <w:p>
            <w:pPr>
              <w:pStyle w:val="单元格样式4"/>
            </w:pPr>
            <w:r>
              <w:t xml:space="preserve">64.13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64.13</w:t>
            </w:r>
          </w:p>
        </w:tc>
        <w:tc>
          <w:tcPr>
            <w:tcW w:w="1361" w:type="dxa"/>
            <w:vAlign w:val="center"/>
          </w:tcPr>
          <w:p>
            <w:pPr>
              <w:pStyle w:val="单元格样式4"/>
            </w:pPr>
            <w:r>
              <w:t xml:space="preserve">64.13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5.37</w:t>
            </w:r>
          </w:p>
        </w:tc>
        <w:tc>
          <w:tcPr>
            <w:tcW w:w="1361" w:type="dxa"/>
            <w:vAlign w:val="center"/>
          </w:tcPr>
          <w:p>
            <w:pPr>
              <w:pStyle w:val="单元格样式4"/>
            </w:pPr>
            <w:r>
              <w:t xml:space="preserve">5.37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39.17</w:t>
            </w:r>
          </w:p>
        </w:tc>
        <w:tc>
          <w:tcPr>
            <w:tcW w:w="1361" w:type="dxa"/>
            <w:vAlign w:val="center"/>
          </w:tcPr>
          <w:p>
            <w:pPr>
              <w:pStyle w:val="单元格样式4"/>
            </w:pPr>
            <w:r>
              <w:t xml:space="preserve">39.17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19.59</w:t>
            </w:r>
          </w:p>
        </w:tc>
        <w:tc>
          <w:tcPr>
            <w:tcW w:w="1361" w:type="dxa"/>
            <w:vAlign w:val="center"/>
          </w:tcPr>
          <w:p>
            <w:pPr>
              <w:pStyle w:val="单元格样式4"/>
            </w:pPr>
            <w:r>
              <w:t xml:space="preserve">19.59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17.50</w:t>
            </w:r>
          </w:p>
        </w:tc>
        <w:tc>
          <w:tcPr>
            <w:tcW w:w="1361" w:type="dxa"/>
            <w:vAlign w:val="center"/>
          </w:tcPr>
          <w:p>
            <w:pPr>
              <w:pStyle w:val="单元格样式4"/>
            </w:pPr>
            <w:r>
              <w:t xml:space="preserve">17.50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17.50</w:t>
            </w:r>
          </w:p>
        </w:tc>
        <w:tc>
          <w:tcPr>
            <w:tcW w:w="1361" w:type="dxa"/>
            <w:vAlign w:val="center"/>
          </w:tcPr>
          <w:p>
            <w:pPr>
              <w:pStyle w:val="单元格样式4"/>
            </w:pPr>
            <w:r>
              <w:t xml:space="preserve">17.50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17.50</w:t>
            </w:r>
          </w:p>
        </w:tc>
        <w:tc>
          <w:tcPr>
            <w:tcW w:w="1361" w:type="dxa"/>
            <w:vAlign w:val="center"/>
          </w:tcPr>
          <w:p>
            <w:pPr>
              <w:pStyle w:val="单元格样式4"/>
            </w:pPr>
            <w:r>
              <w:t xml:space="preserve">17.50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346.42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264.78</w:t>
            </w:r>
          </w:p>
        </w:tc>
        <w:tc>
          <w:tcPr>
            <w:tcW w:w="1474" w:type="dxa"/>
            <w:vAlign w:val="center"/>
          </w:tcPr>
          <w:p>
            <w:pPr>
              <w:pStyle w:val="单元格样式4"/>
            </w:pPr>
            <w:r>
              <w:t xml:space="preserve">264.78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64.13</w:t>
            </w:r>
          </w:p>
        </w:tc>
        <w:tc>
          <w:tcPr>
            <w:tcW w:w="1474" w:type="dxa"/>
            <w:vAlign w:val="center"/>
          </w:tcPr>
          <w:p>
            <w:pPr>
              <w:pStyle w:val="单元格样式4"/>
            </w:pPr>
            <w:r>
              <w:t xml:space="preserve">64.13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17.50</w:t>
            </w:r>
          </w:p>
        </w:tc>
        <w:tc>
          <w:tcPr>
            <w:tcW w:w="1474" w:type="dxa"/>
            <w:vAlign w:val="center"/>
          </w:tcPr>
          <w:p>
            <w:pPr>
              <w:pStyle w:val="单元格样式4"/>
            </w:pPr>
            <w:r>
              <w:t xml:space="preserve">17.50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346.42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346.42</w:t>
            </w:r>
          </w:p>
        </w:tc>
        <w:tc>
          <w:tcPr>
            <w:tcW w:w="1474" w:type="dxa"/>
            <w:vAlign w:val="center"/>
          </w:tcPr>
          <w:p>
            <w:pPr>
              <w:pStyle w:val="单元格样式7"/>
            </w:pPr>
            <w:r>
              <w:t xml:space="preserve">346.42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346.42</w:t>
            </w:r>
          </w:p>
        </w:tc>
        <w:tc>
          <w:tcPr>
            <w:tcW w:w="3402" w:type="dxa"/>
            <w:vAlign w:val="center"/>
          </w:tcPr>
          <w:p>
            <w:pPr>
              <w:pStyle w:val="单元格样式6"/>
            </w:pPr>
            <w:r>
              <w:t xml:space="preserve">支出总计</w:t>
            </w:r>
          </w:p>
        </w:tc>
        <w:tc>
          <w:tcPr>
            <w:tcW w:w="1474" w:type="dxa"/>
            <w:vAlign w:val="center"/>
          </w:tcPr>
          <w:p>
            <w:pPr>
              <w:pStyle w:val="单元格样式7"/>
            </w:pPr>
            <w:r>
              <w:t xml:space="preserve">346.42</w:t>
            </w:r>
          </w:p>
        </w:tc>
        <w:tc>
          <w:tcPr>
            <w:tcW w:w="1474" w:type="dxa"/>
            <w:vAlign w:val="center"/>
          </w:tcPr>
          <w:p>
            <w:pPr>
              <w:pStyle w:val="单元格样式7"/>
            </w:pPr>
            <w:r>
              <w:t xml:space="preserve">346.42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346.42</w:t>
            </w:r>
          </w:p>
        </w:tc>
        <w:tc>
          <w:tcPr>
            <w:tcW w:w="2551" w:type="dxa"/>
            <w:vAlign w:val="center"/>
          </w:tcPr>
          <w:p>
            <w:pPr>
              <w:pStyle w:val="单元格样式7"/>
            </w:pPr>
            <w:r>
              <w:t xml:space="preserve">341.77</w:t>
            </w:r>
          </w:p>
        </w:tc>
        <w:tc>
          <w:tcPr>
            <w:tcW w:w="2551" w:type="dxa"/>
            <w:vAlign w:val="center"/>
          </w:tcPr>
          <w:p>
            <w:pPr>
              <w:pStyle w:val="单元格样式7"/>
            </w:pPr>
            <w:r>
              <w:t xml:space="preserve">4.65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264.78</w:t>
            </w:r>
          </w:p>
        </w:tc>
        <w:tc>
          <w:tcPr>
            <w:tcW w:w="2551" w:type="dxa"/>
            <w:vAlign w:val="center"/>
          </w:tcPr>
          <w:p>
            <w:pPr>
              <w:pStyle w:val="单元格样式4"/>
            </w:pPr>
            <w:r>
              <w:t xml:space="preserve">260.13</w:t>
            </w: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260.13</w:t>
            </w:r>
          </w:p>
        </w:tc>
        <w:tc>
          <w:tcPr>
            <w:tcW w:w="2551" w:type="dxa"/>
            <w:vAlign w:val="center"/>
          </w:tcPr>
          <w:p>
            <w:pPr>
              <w:pStyle w:val="单元格样式4"/>
            </w:pPr>
            <w:r>
              <w:t xml:space="preserve">260.13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260.13</w:t>
            </w:r>
          </w:p>
        </w:tc>
        <w:tc>
          <w:tcPr>
            <w:tcW w:w="2551" w:type="dxa"/>
            <w:vAlign w:val="center"/>
          </w:tcPr>
          <w:p>
            <w:pPr>
              <w:pStyle w:val="单元格样式4"/>
            </w:pPr>
            <w:r>
              <w:t xml:space="preserve">260.13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4.65</w:t>
            </w:r>
          </w:p>
        </w:tc>
        <w:tc>
          <w:tcPr>
            <w:tcW w:w="2551" w:type="dxa"/>
            <w:vAlign w:val="center"/>
          </w:tcPr>
          <w:p>
            <w:pPr>
              <w:pStyle w:val="单元格样式4"/>
            </w:pP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4.65</w:t>
            </w:r>
          </w:p>
        </w:tc>
        <w:tc>
          <w:tcPr>
            <w:tcW w:w="2551" w:type="dxa"/>
            <w:vAlign w:val="center"/>
          </w:tcPr>
          <w:p>
            <w:pPr>
              <w:pStyle w:val="单元格样式4"/>
            </w:pP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64.13</w:t>
            </w:r>
          </w:p>
        </w:tc>
        <w:tc>
          <w:tcPr>
            <w:tcW w:w="2551" w:type="dxa"/>
            <w:vAlign w:val="center"/>
          </w:tcPr>
          <w:p>
            <w:pPr>
              <w:pStyle w:val="单元格样式4"/>
            </w:pPr>
            <w:r>
              <w:t xml:space="preserve">64.13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64.13</w:t>
            </w:r>
          </w:p>
        </w:tc>
        <w:tc>
          <w:tcPr>
            <w:tcW w:w="2551" w:type="dxa"/>
            <w:vAlign w:val="center"/>
          </w:tcPr>
          <w:p>
            <w:pPr>
              <w:pStyle w:val="单元格样式4"/>
            </w:pPr>
            <w:r>
              <w:t xml:space="preserve">64.13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5.37</w:t>
            </w:r>
          </w:p>
        </w:tc>
        <w:tc>
          <w:tcPr>
            <w:tcW w:w="2551" w:type="dxa"/>
            <w:vAlign w:val="center"/>
          </w:tcPr>
          <w:p>
            <w:pPr>
              <w:pStyle w:val="单元格样式4"/>
            </w:pPr>
            <w:r>
              <w:t xml:space="preserve">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39.17</w:t>
            </w:r>
          </w:p>
        </w:tc>
        <w:tc>
          <w:tcPr>
            <w:tcW w:w="2551" w:type="dxa"/>
            <w:vAlign w:val="center"/>
          </w:tcPr>
          <w:p>
            <w:pPr>
              <w:pStyle w:val="单元格样式4"/>
            </w:pPr>
            <w:r>
              <w:t xml:space="preserve">39.17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19.59</w:t>
            </w:r>
          </w:p>
        </w:tc>
        <w:tc>
          <w:tcPr>
            <w:tcW w:w="2551" w:type="dxa"/>
            <w:vAlign w:val="center"/>
          </w:tcPr>
          <w:p>
            <w:pPr>
              <w:pStyle w:val="单元格样式4"/>
            </w:pPr>
            <w:r>
              <w:t xml:space="preserve">19.59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341.77</w:t>
            </w:r>
          </w:p>
        </w:tc>
        <w:tc>
          <w:tcPr>
            <w:tcW w:w="2551" w:type="dxa"/>
            <w:vAlign w:val="center"/>
          </w:tcPr>
          <w:p>
            <w:pPr>
              <w:pStyle w:val="单元格样式7"/>
            </w:pPr>
            <w:r>
              <w:t xml:space="preserve">310.89</w:t>
            </w:r>
          </w:p>
        </w:tc>
        <w:tc>
          <w:tcPr>
            <w:tcW w:w="2551" w:type="dxa"/>
            <w:vAlign w:val="center"/>
          </w:tcPr>
          <w:p>
            <w:pPr>
              <w:pStyle w:val="单元格样式7"/>
            </w:pPr>
            <w:r>
              <w:t xml:space="preserve">30.88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305.52</w:t>
            </w:r>
          </w:p>
        </w:tc>
        <w:tc>
          <w:tcPr>
            <w:tcW w:w="2551" w:type="dxa"/>
            <w:vAlign w:val="center"/>
          </w:tcPr>
          <w:p>
            <w:pPr>
              <w:pStyle w:val="单元格样式4"/>
            </w:pPr>
            <w:r>
              <w:t xml:space="preserve">305.52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134.72</w:t>
            </w:r>
          </w:p>
        </w:tc>
        <w:tc>
          <w:tcPr>
            <w:tcW w:w="2551" w:type="dxa"/>
            <w:vAlign w:val="center"/>
          </w:tcPr>
          <w:p>
            <w:pPr>
              <w:pStyle w:val="单元格样式4"/>
            </w:pPr>
            <w:r>
              <w:t xml:space="preserve">134.72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35.36</w:t>
            </w:r>
          </w:p>
        </w:tc>
        <w:tc>
          <w:tcPr>
            <w:tcW w:w="2551" w:type="dxa"/>
            <w:vAlign w:val="center"/>
          </w:tcPr>
          <w:p>
            <w:pPr>
              <w:pStyle w:val="单元格样式4"/>
            </w:pPr>
            <w:r>
              <w:t xml:space="preserve">35.36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22.05</w:t>
            </w:r>
          </w:p>
        </w:tc>
        <w:tc>
          <w:tcPr>
            <w:tcW w:w="2551" w:type="dxa"/>
            <w:vAlign w:val="center"/>
          </w:tcPr>
          <w:p>
            <w:pPr>
              <w:pStyle w:val="单元格样式4"/>
            </w:pPr>
            <w:r>
              <w:t xml:space="preserve">22.05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35.90</w:t>
            </w:r>
          </w:p>
        </w:tc>
        <w:tc>
          <w:tcPr>
            <w:tcW w:w="2551" w:type="dxa"/>
            <w:vAlign w:val="center"/>
          </w:tcPr>
          <w:p>
            <w:pPr>
              <w:pStyle w:val="单元格样式4"/>
            </w:pPr>
            <w:r>
              <w:t xml:space="preserve">35.90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39.17</w:t>
            </w:r>
          </w:p>
        </w:tc>
        <w:tc>
          <w:tcPr>
            <w:tcW w:w="2551" w:type="dxa"/>
            <w:vAlign w:val="center"/>
          </w:tcPr>
          <w:p>
            <w:pPr>
              <w:pStyle w:val="单元格样式4"/>
            </w:pPr>
            <w:r>
              <w:t xml:space="preserve">39.17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19.59</w:t>
            </w:r>
          </w:p>
        </w:tc>
        <w:tc>
          <w:tcPr>
            <w:tcW w:w="2551" w:type="dxa"/>
            <w:vAlign w:val="center"/>
          </w:tcPr>
          <w:p>
            <w:pPr>
              <w:pStyle w:val="单元格样式4"/>
            </w:pPr>
            <w:r>
              <w:t xml:space="preserve">19.59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1.22</w:t>
            </w:r>
          </w:p>
        </w:tc>
        <w:tc>
          <w:tcPr>
            <w:tcW w:w="2551" w:type="dxa"/>
            <w:vAlign w:val="center"/>
          </w:tcPr>
          <w:p>
            <w:pPr>
              <w:pStyle w:val="单元格样式4"/>
            </w:pPr>
            <w:r>
              <w:t xml:space="preserve">1.22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30.88</w:t>
            </w:r>
          </w:p>
        </w:tc>
        <w:tc>
          <w:tcPr>
            <w:tcW w:w="2551" w:type="dxa"/>
            <w:vAlign w:val="center"/>
          </w:tcPr>
          <w:p>
            <w:pPr>
              <w:pStyle w:val="单元格样式4"/>
            </w:pPr>
          </w:p>
        </w:tc>
        <w:tc>
          <w:tcPr>
            <w:tcW w:w="2551" w:type="dxa"/>
            <w:vAlign w:val="center"/>
          </w:tcPr>
          <w:p>
            <w:pPr>
              <w:pStyle w:val="单元格样式4"/>
            </w:pPr>
            <w:r>
              <w:t xml:space="preserve">30.88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17.03</w:t>
            </w:r>
          </w:p>
        </w:tc>
        <w:tc>
          <w:tcPr>
            <w:tcW w:w="2551" w:type="dxa"/>
            <w:vAlign w:val="center"/>
          </w:tcPr>
          <w:p>
            <w:pPr>
              <w:pStyle w:val="单元格样式4"/>
            </w:pPr>
          </w:p>
        </w:tc>
        <w:tc>
          <w:tcPr>
            <w:tcW w:w="2551" w:type="dxa"/>
            <w:vAlign w:val="center"/>
          </w:tcPr>
          <w:p>
            <w:pPr>
              <w:pStyle w:val="单元格样式4"/>
            </w:pPr>
            <w:r>
              <w:t xml:space="preserve">17.03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1.78</w:t>
            </w:r>
          </w:p>
        </w:tc>
        <w:tc>
          <w:tcPr>
            <w:tcW w:w="2551" w:type="dxa"/>
            <w:vAlign w:val="center"/>
          </w:tcPr>
          <w:p>
            <w:pPr>
              <w:pStyle w:val="单元格样式4"/>
            </w:pPr>
          </w:p>
        </w:tc>
        <w:tc>
          <w:tcPr>
            <w:tcW w:w="2551" w:type="dxa"/>
            <w:vAlign w:val="center"/>
          </w:tcPr>
          <w:p>
            <w:pPr>
              <w:pStyle w:val="单元格样式4"/>
            </w:pPr>
            <w:r>
              <w:t xml:space="preserve">1.78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10.08</w:t>
            </w:r>
          </w:p>
        </w:tc>
        <w:tc>
          <w:tcPr>
            <w:tcW w:w="2551" w:type="dxa"/>
            <w:vAlign w:val="center"/>
          </w:tcPr>
          <w:p>
            <w:pPr>
              <w:pStyle w:val="单元格样式4"/>
            </w:pPr>
          </w:p>
        </w:tc>
        <w:tc>
          <w:tcPr>
            <w:tcW w:w="2551" w:type="dxa"/>
            <w:vAlign w:val="center"/>
          </w:tcPr>
          <w:p>
            <w:pPr>
              <w:pStyle w:val="单元格样式4"/>
            </w:pPr>
            <w:r>
              <w:t xml:space="preserve">10.08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5.37</w:t>
            </w:r>
          </w:p>
        </w:tc>
        <w:tc>
          <w:tcPr>
            <w:tcW w:w="2551" w:type="dxa"/>
            <w:vAlign w:val="center"/>
          </w:tcPr>
          <w:p>
            <w:pPr>
              <w:pStyle w:val="单元格样式4"/>
            </w:pPr>
            <w:r>
              <w:t xml:space="preserve">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5.37</w:t>
            </w:r>
          </w:p>
        </w:tc>
        <w:tc>
          <w:tcPr>
            <w:tcW w:w="2551" w:type="dxa"/>
            <w:vAlign w:val="center"/>
          </w:tcPr>
          <w:p>
            <w:pPr>
              <w:pStyle w:val="单元格样式4"/>
            </w:pPr>
            <w:r>
              <w:t xml:space="preserve">5.37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w:t>
            </w:r>
          </w:p>
        </w:tc>
        <w:tc>
          <w:tcPr>
            <w:tcW w:w="2381" w:type="dxa"/>
            <w:vAlign w:val="center"/>
          </w:tcPr>
          <w:p>
            <w:pPr>
              <w:pStyle w:val="单元格样式7"/>
            </w:pPr>
            <w:r>
              <w:t xml:space="preserve">2.00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中共魏县县委机构编制委员会办公室2025年部门预算信息公开情况说明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中共魏县县委机构编制委员会办公室2025年部门预算信息公开情况说明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按照《中华人民共和国预算法》、《地方预决算公开操作规程》和《关于进一步推进预算公开工作的实施意见》规定，现将中共魏县县委机构编制委员会办公室2025年部门预算公开如下：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根据《中共魏县县委机构编制委员会办公室职能配置、内设机构和人员编制规定》， 中共魏县县委机构编制委员会办公室的主要职责是：</w:t>
      </w:r>
    </w:p>
    <w:p>
      <w:pPr>
        <w:pStyle w:val="插入文本样式-插入预算公开部门职责文件"/>
      </w:pPr>
      <w:r>
        <w:t xml:space="preserve">（一）贯彻落实党中央、国务院、省、市关于行政管理体制和机构改革以及机构编制管理的政策法规，组织拟订全县行政管理体制和机构改革以及机构管理的规范性文件并监督实施；管理和指导全县各级党政机关，人大、政协、法院、检察院机关，各民族党派、人民团体机关的机构编制工作；管理和指导全县事业单位机构编制工作。</w:t>
      </w:r>
    </w:p>
    <w:p>
      <w:pPr>
        <w:pStyle w:val="插入文本样式-插入预算公开部门职责文件"/>
      </w:pPr>
      <w:r>
        <w:t xml:space="preserve">（二）组织拟订全县行政管理体制和机构改革总体方案并组织实施。审核县委、县政府各部门职能配置、机构设置、人员编制和领导职数。审核并管理全县各级各类人员编制总额。指导协调各乡镇行政管理体制和机构改革以及机构编制管理工作。</w:t>
      </w:r>
    </w:p>
    <w:p>
      <w:pPr>
        <w:pStyle w:val="插入文本样式-插入预算公开部门职责文件"/>
      </w:pPr>
      <w:r>
        <w:t xml:space="preserve">(三)协调县委、县政府各部门的职能配置及其调整。协调县委各部门之间、县政府各部门之间、县委各部门与县政府各部门之间以及县直各部门与乡镇之间的职责分工。研究提出参照公务员法管理事业单位的行政管理职能认定意见。</w:t>
      </w:r>
    </w:p>
    <w:p>
      <w:pPr>
        <w:pStyle w:val="插入文本样式-插入预算公开部门职责文件"/>
      </w:pPr>
      <w:r>
        <w:t xml:space="preserve">（四）审核县委、县政府及各部门派出机构的职能配置、机构设置、人员编制和领导职数。审核乡镇机构编制分类。负责上级垂直管理部门或双重管理部门需要承办的机构编制有关事宜。</w:t>
      </w:r>
    </w:p>
    <w:p>
      <w:pPr>
        <w:pStyle w:val="插入文本样式-插入预算公开部门职责文件"/>
      </w:pPr>
      <w:r>
        <w:t xml:space="preserve">（五）审核县人大、政协、法院、检察院、各民主党派、人民团体机关的职能配置、机构设置、人员编制和领导职数。</w:t>
      </w:r>
    </w:p>
    <w:p>
      <w:pPr>
        <w:pStyle w:val="插入文本样式-插入预算公开部门职责文件"/>
      </w:pPr>
      <w:r>
        <w:t xml:space="preserve">（六）组织拟订全县事业单位管理体制和机构改革方案，制定各类事业单位人员编制标准和管理办法，审核县委、县政府直属事业单位以及县直各部门所属事业单位的机构编制事宜。指导并协调乡镇及以下事业单位管理体制改革和机构编制管理工作。审核县委、县政府及县直各部门联系的各群众团体的机构编制事宜。负责全县事业单位法人登记管理和法人监督检查工作。</w:t>
      </w:r>
    </w:p>
    <w:p>
      <w:pPr>
        <w:pStyle w:val="插入文本样式-插入预算公开部门职责文件"/>
      </w:pPr>
      <w:r>
        <w:t xml:space="preserve">（七）负责全县机构编制的日常管理。负责对全县机构编制的总量控制、动态管理和机构编制标准化工作。负责全县机构编制实名制管理以及编制使用核准等工作。建立健全机构编制部门的各项规章制度，推进机构编制工作走向科学化、规范化、法制化轨道。</w:t>
      </w:r>
    </w:p>
    <w:p>
      <w:pPr>
        <w:pStyle w:val="插入文本样式-插入预算公开部门职责文件"/>
      </w:pPr>
      <w:r>
        <w:t xml:space="preserve">（八）负责对全县行政、事业单位管理体制和机构改革及机构编制执行情况的跟踪评估和监督检查。负责受理违反机构编制法规、纪律的检举、控告和投诉，对违反机构编制法规、纪律问题进行调查处理。</w:t>
      </w:r>
    </w:p>
    <w:p>
      <w:pPr>
        <w:pStyle w:val="插入文本样式-插入预算公开部门职责文件"/>
      </w:pPr>
      <w:r>
        <w:t xml:space="preserve">（九）负责全县机构编制信息管理和统计工作。负责全县机关事业单位中文域名注册管理工作。指导各乡镇机构编制信息化建设工作。负责县委、县政府有关机构编制工作和县机构编制委员会各类会务。</w:t>
      </w:r>
    </w:p>
    <w:p>
      <w:pPr>
        <w:pStyle w:val="插入文本样式-插入预算公开部门职责文件"/>
      </w:pPr>
      <w:r>
        <w:t xml:space="preserve">（十）负责县政府行政审批制度改革领导小组办公室的日常工作；指导和协调全县行政审批制度改革工作；组织拟订全县行政审批制度改革的地方性法规规章和政策性文件并监督实施；负责协调落实市政府取消下放的行政审批制度改革项目等事项；负责审核县级行政审批制度改革项目，提出取消、下放、保留的意见，制定有关监管的措施和规定并组织实施；负责行政审批项目的登记备案、取消调整、目录编制和审批流程等标准化管理工作；负责全县行政审批制度改革的监督检查和综合考核评价工作。</w:t>
      </w:r>
    </w:p>
    <w:p>
      <w:pPr>
        <w:pStyle w:val="插入文本样式-插入预算公开部门职责文件"/>
      </w:pPr>
      <w:r>
        <w:t xml:space="preserve">（十一）完成县委、县政府和县机构编制委员会交办的其它事项。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中共魏县县委机构编制委员会办公室本级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按照预算管理有关规定，目前部门预算的编制实行综合预算管理，即全部收入和支出都反映在预算中。中共魏县县委机构编制委员会办公室机关及所属事业单位的收支包含在部门预算中。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346.42万元，其中：一般公共预算收入346.42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魏县县委机构编制委员会办公室年度部门预算中支出预算的总体情况。2025年支出预算346.42万元，其中基本支出341.77万元，包括人员经费310.89万元和日常公用经费30.88万元；项目支出4.65万元，主要为人员薪资、社保支出、日常公用经费和两个项目：中文域名注册登记费4.65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346.42万元，较2024年预算增加11.37万元，其中：基本支出增加16.39万元，主要为人员正常晋级调资、绩效工资调整导致基本支出增加。项目支出减少5.02万元，主要为全县编制工作专项经费5.00万元专项经费取消，中文域名注册登记费减少0.02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2025年，我部门机关运行经费共计安排30.88万元，主要用于日常维修、办公用房水电费、办公用房取暖费、办公用房物业管理费等日常运行支出。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2.00万元，其中因公出国（境）费0.00万元；公务用车购置及运维费2.00万元（其中：公务用车购置费为0.00万元，公务用车运维费2.00万元)；公务接待费0.00万元。与2024年相比增加0.00万元，增减变化的主要原因是主要原因是我单位根据单位业务需要和工作安排，按照省市县相关要求，强化“三公”经费管理，压减相关经费支出已达最低线，未再对相关经费进行压减。</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以习近平新时代中国特色社会主义思想为指引，以推进国家治理体系和治理能力现代化为导向，深入贯彻中央十九大和习近平系列讲话精神，紧扣县委、县政府确定的目标任务，进一步优化部门职责配置，实现权责一致、履职到位、流程顺畅，进一步推进机构编制科学化规范化法定化，管住管好用活机构编制，严控总量、统筹使用，科学增减、妥善处理降低行政成本与满足发展需要之间关系。2023年，积极配合中央、省、市编办各项政策制定和执行，调整优化机构设置和职能配置，全力打造体制机制创新高地；开展事业单位改革试点“回头看”，重点围绕事业单位“三定”规定落实是否到位、人员划转及领导班子配备是否到位、“两清单、一章程”落实及公开是否到位，扎实推动各项改革措施落地落实。</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行政单位管理体制和机构改革:推进县级机构改革,党群政法部门体制改革,经济发达镇行政管理体制改革试点，深化乡镇改革,各类功能园区管理体制机制改革，县人大、县政协、县监察委和县级各民主党派、人民团体机关改革。</w:t>
      </w:r>
    </w:p>
    <w:p>
      <w:pPr>
        <w:pStyle w:val="插入文本样式-插入职责分类绩效目标文件"/>
      </w:pPr>
      <w:r>
        <w:t xml:space="preserve">2、事业单位管理体制和机构改革:扎实推进事业单位分类改革,扎实推进事业单位法人治理结构试点工作</w:t>
      </w:r>
    </w:p>
    <w:p>
      <w:pPr>
        <w:pStyle w:val="插入文本样式-插入职责分类绩效目标文件"/>
      </w:pPr>
      <w:r>
        <w:t xml:space="preserve">3、机构编制监管：全面推行实名制管理和编制使用核准,及时查处机构编制违法违纪案件</w:t>
      </w:r>
    </w:p>
    <w:p>
      <w:pPr>
        <w:pStyle w:val="插入文本样式-插入职责分类绩效目标文件"/>
      </w:pPr>
      <w:r>
        <w:t xml:space="preserve">4、机构编制标准化管理：制定适应我县发展的机关事业单位机构编制标准体系。</w:t>
      </w:r>
    </w:p>
    <w:p>
      <w:pPr>
        <w:pStyle w:val="插入文本样式-插入职责分类绩效目标文件"/>
      </w:pPr>
      <w:r>
        <w:t xml:space="preserve">5、事业单位法人登记管理：加强完善事业单位登记管理工作。</w:t>
      </w:r>
    </w:p>
    <w:p>
      <w:pPr>
        <w:pStyle w:val="插入文本样式-插入职责分类绩效目标文件"/>
      </w:pPr>
      <w:r>
        <w:t xml:space="preserve">6、党政群机关统一社会信用代码赋码管理工作：完成制定各类事业单位人员编制管理办法，负责推进事业单位机构编制标准体系建设。及时完成全县党政群机关统一社会信用代码赋码管理工作，各级党政机关权责清单动态调整工作整理县乡两级权责清单调整工作，根据上级要求，实现动态调整机制。</w:t>
      </w:r>
    </w:p>
    <w:p>
      <w:pPr>
        <w:pStyle w:val="插入文本样式-插入职责分类绩效目标文件"/>
      </w:pPr>
      <w:r>
        <w:t xml:space="preserve">7、事业单位分类改革：加强全县事业单位分类改革的具体工作，推进事业单位分类改革共性问题的研究和衔接，指导并组织县直部门开展事业单位清理规范和分类工作。</w:t>
      </w:r>
    </w:p>
    <w:p>
      <w:pPr>
        <w:pStyle w:val="插入文本样式-插入职责分类绩效目标文件"/>
      </w:pPr>
      <w:r>
        <w:t xml:space="preserve">8、综合事务管理：负责全县机构编制信息管理系统、电子政务和机构编制网站的建设和管理，全县机构编制统计、数据分析工作，全县机关事业单位中文域名管理。负责全县机构编制电子政务和信息化工作。负责全县机构编制统计工作；负责机构编制网站的建设管理以及网络安全工作；指导全县党政群机关、事业单位和其他非营利性单位网上名称管理工作；指导各乡镇机构编制电子政务建设和信息化建设工作。机构编制信息平台和网站运行，机关事业单位中文域名注册管理完成情况，县委县政府交办的其他任务完成情况。</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pPr>
        <w:pStyle w:val="插入文本样式-插入实现年度发展规划目标的保障措施文件"/>
      </w:pPr>
      <w:r>
        <w:t xml:space="preserve">2、制定各类事业单位人员编制管理办法，负责推进事业单位机构编制标准体系建设。强化社会管理和公共服务。规范行政行为，加强行政执法部门建设，减少和规范行政审批。制定适应我县发展的机关事业单位机构编制标准体系。</w:t>
      </w:r>
    </w:p>
    <w:p>
      <w:pPr>
        <w:pStyle w:val="插入文本样式-插入实现年度发展规划目标的保障措施文件"/>
      </w:pPr>
      <w:r>
        <w:t xml:space="preserve">3、全面整理县乡两级权责清单工作。开展加强动态调整权责清单改工作指导和培训。加强全县事业单位分类改革的具体，推进事业单位分类改革共性问题的研究和衔接，指导并组织县直部门开展事业单位清理规范和分类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4、做好机关人员管理及保障工作，为充分发挥职能作用提供有效保障。加强机关党组织建设，严格组织生活制度，丰富党建活动内容，做好党员发展、教育、管理和党务干部的教育培训工作，充分发挥党组织的战斗堡垒作用和党员的先锋模范作用。</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1、2025年中文域名注册登记费绩效目标表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13043425P00429310005A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2025年中文域名注册登记费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我县党政机关事业单位中文域名注册率100%，并且注册数量达到上级要求。党政机关事业单位政务和公益域名注册管理规范化。</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1.我县党政机关事业单位中文域名注册率100%，并且注册数量达到上级要求。党政机关事业单位政务和公益域名注册管理规范化。</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中文域名注册数量</w:t>
            </w:r>
          </w:p>
        </w:tc>
        <w:tc>
          <w:tcPr>
            <w:tcW w:w="5386" w:type="dxa"/>
            <w:vAlign w:val="center"/>
          </w:tcPr>
          <w:p>
            <w:pPr>
              <w:pStyle w:val="单元格样式2"/>
            </w:pPr>
            <w:r>
              <w:t xml:space="preserve">我县党政机关事业单位中文域名注册数量</w:t>
            </w:r>
          </w:p>
        </w:tc>
        <w:tc>
          <w:tcPr>
            <w:tcW w:w="2268" w:type="dxa"/>
            <w:vAlign w:val="center"/>
          </w:tcPr>
          <w:p>
            <w:pPr>
              <w:pStyle w:val="单元格样式2"/>
            </w:pPr>
            <w:r>
              <w:t xml:space="preserve">≥400个</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中文域名注册合格率</w:t>
            </w:r>
          </w:p>
        </w:tc>
        <w:tc>
          <w:tcPr>
            <w:tcW w:w="5386" w:type="dxa"/>
            <w:vAlign w:val="center"/>
          </w:tcPr>
          <w:p>
            <w:pPr>
              <w:pStyle w:val="单元格样式2"/>
            </w:pPr>
            <w:r>
              <w:t xml:space="preserve">我县党政机关事业单位中文域名注册率，达到100%</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中文域名注册及时率</w:t>
            </w:r>
          </w:p>
        </w:tc>
        <w:tc>
          <w:tcPr>
            <w:tcW w:w="5386" w:type="dxa"/>
            <w:vAlign w:val="center"/>
          </w:tcPr>
          <w:p>
            <w:pPr>
              <w:pStyle w:val="单元格样式2"/>
            </w:pPr>
            <w:r>
              <w:t xml:space="preserve">按照中央编办有关文件要求，在12月底前全部注册完毕</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中文域名注册登记费总额</w:t>
            </w:r>
          </w:p>
        </w:tc>
        <w:tc>
          <w:tcPr>
            <w:tcW w:w="5386" w:type="dxa"/>
            <w:vAlign w:val="center"/>
          </w:tcPr>
          <w:p>
            <w:pPr>
              <w:pStyle w:val="单元格样式2"/>
            </w:pPr>
            <w:r>
              <w:t xml:space="preserve">按照中央编办有关文件要求，收取政务和公益域名注册费用和相关工作产生的办公费</w:t>
            </w:r>
          </w:p>
        </w:tc>
        <w:tc>
          <w:tcPr>
            <w:tcW w:w="2268" w:type="dxa"/>
            <w:vAlign w:val="center"/>
          </w:tcPr>
          <w:p>
            <w:pPr>
              <w:pStyle w:val="单元格样式2"/>
            </w:pPr>
            <w:r>
              <w:t xml:space="preserve">46500元</w:t>
            </w:r>
          </w:p>
        </w:tc>
        <w:tc>
          <w:tcPr>
            <w:tcW w:w="1276" w:type="dxa"/>
            <w:vAlign w:val="center"/>
          </w:tcPr>
          <w:p>
            <w:pPr>
              <w:pStyle w:val="单元格样式2"/>
            </w:pPr>
            <w:r>
              <w:t xml:space="preserve">魏办字【2012】223号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降低访问难度</w:t>
            </w:r>
          </w:p>
        </w:tc>
        <w:tc>
          <w:tcPr>
            <w:tcW w:w="5386" w:type="dxa"/>
            <w:vAlign w:val="center"/>
          </w:tcPr>
          <w:p>
            <w:pPr>
              <w:pStyle w:val="单元格样式2"/>
            </w:pPr>
            <w:r>
              <w:t xml:space="preserve">降低访问难度</w:t>
            </w:r>
          </w:p>
        </w:tc>
        <w:tc>
          <w:tcPr>
            <w:tcW w:w="2268" w:type="dxa"/>
            <w:vAlign w:val="center"/>
          </w:tcPr>
          <w:p>
            <w:pPr>
              <w:pStyle w:val="单元格样式2"/>
            </w:pPr>
            <w:r>
              <w:t xml:space="preserve">降低</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提高中文域名推广程度</w:t>
            </w:r>
          </w:p>
        </w:tc>
        <w:tc>
          <w:tcPr>
            <w:tcW w:w="5386" w:type="dxa"/>
            <w:vAlign w:val="center"/>
          </w:tcPr>
          <w:p>
            <w:pPr>
              <w:pStyle w:val="单元格样式2"/>
            </w:pPr>
            <w:r>
              <w:t xml:space="preserve">提高中文域名推广程度</w:t>
            </w:r>
          </w:p>
        </w:tc>
        <w:tc>
          <w:tcPr>
            <w:tcW w:w="2268" w:type="dxa"/>
            <w:vAlign w:val="center"/>
          </w:tcPr>
          <w:p>
            <w:pPr>
              <w:pStyle w:val="单元格样式2"/>
            </w:pPr>
            <w:r>
              <w:t xml:space="preserve">提高</w:t>
            </w:r>
          </w:p>
        </w:tc>
        <w:tc>
          <w:tcPr>
            <w:tcW w:w="1276" w:type="dxa"/>
            <w:vAlign w:val="center"/>
          </w:tcPr>
          <w:p>
            <w:pPr>
              <w:pStyle w:val="单元格样式2"/>
            </w:pPr>
            <w:r>
              <w:t xml:space="preserve">魏办字【2012】223号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申请注册单位满意度</w:t>
            </w:r>
          </w:p>
        </w:tc>
        <w:tc>
          <w:tcPr>
            <w:tcW w:w="5386" w:type="dxa"/>
            <w:vAlign w:val="center"/>
          </w:tcPr>
          <w:p>
            <w:pPr>
              <w:pStyle w:val="单元格样式2"/>
            </w:pPr>
            <w:r>
              <w:t xml:space="preserve">申请注册单位满意度</w:t>
            </w:r>
          </w:p>
        </w:tc>
        <w:tc>
          <w:tcPr>
            <w:tcW w:w="2268" w:type="dxa"/>
            <w:vAlign w:val="center"/>
          </w:tcPr>
          <w:p>
            <w:pPr>
              <w:pStyle w:val="单元格样式2"/>
            </w:pPr>
            <w:r>
              <w:t xml:space="preserve">≥90%</w:t>
            </w:r>
          </w:p>
        </w:tc>
        <w:tc>
          <w:tcPr>
            <w:tcW w:w="1276" w:type="dxa"/>
            <w:vAlign w:val="center"/>
          </w:tcPr>
          <w:p>
            <w:pPr>
              <w:pStyle w:val="单元格样式2"/>
            </w:pPr>
            <w:r>
              <w:t xml:space="preserve">魏办字【2012】223号</w:t>
            </w:r>
          </w:p>
        </w:tc>
      </w:tr>
    </w:tbl>
    <w:p>
      <w:pPr>
        <w:sectPr>
          <w:type w:val="continuous"/>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中共魏县县委机构编制委员会办公室（含所属单位）上年末固定资产金额为49.79万元（详见下表）。本年度拟购置固定资产总额为0.00万元，已按要求列入政府采购预算，详见政府采购预算表。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225中共魏县县委机构编制委员会办公室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49.79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15.98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292</w:t>
            </w:r>
          </w:p>
        </w:tc>
        <w:tc>
          <w:tcPr>
            <w:tcW w:w="2835" w:type="dxa"/>
            <w:vAlign w:val="center"/>
          </w:tcPr>
          <w:p>
            <w:pPr>
              <w:pStyle w:val="单元格样式4"/>
            </w:pPr>
            <w:r>
              <w:t xml:space="preserve">33.81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2025-02-17T11:48:59Z</dcterms:created>
  <dcterms:modified xsi:type="dcterms:W3CDTF">2025-02-17T11:48:59Z</dcterms:modified>
</cp:coreProperties>
</file>