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一、魏县纪律检查委员会本级收支预算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一、魏县纪律检查委员会本级收支预算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222001魏县纪律检查委员会本级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2246.29</w:t>
            </w:r>
          </w:p>
        </w:tc>
        <w:tc>
          <w:tcPr>
            <w:tcW w:w="4535" w:type="dxa"/>
            <w:vAlign w:val="center"/>
          </w:tcPr>
          <w:p>
            <w:pPr>
              <w:pStyle w:val="12"/>
            </w:pPr>
            <w:r>
              <w:t>一、一般公共服务支出</w:t>
            </w:r>
          </w:p>
        </w:tc>
        <w:tc>
          <w:tcPr>
            <w:tcW w:w="2126" w:type="dxa"/>
            <w:vAlign w:val="center"/>
          </w:tcPr>
          <w:p>
            <w:pPr>
              <w:pStyle w:val="11"/>
            </w:pPr>
            <w:r>
              <w:t>2204.61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2246.29</w:t>
            </w:r>
          </w:p>
        </w:tc>
        <w:tc>
          <w:tcPr>
            <w:tcW w:w="4535" w:type="dxa"/>
            <w:vAlign w:val="center"/>
          </w:tcPr>
          <w:p>
            <w:pPr>
              <w:pStyle w:val="14"/>
            </w:pPr>
            <w:r>
              <w:t>本年支出合计</w:t>
            </w:r>
          </w:p>
        </w:tc>
        <w:tc>
          <w:tcPr>
            <w:tcW w:w="2126" w:type="dxa"/>
            <w:vAlign w:val="center"/>
          </w:tcPr>
          <w:p>
            <w:pPr>
              <w:pStyle w:val="15"/>
            </w:pPr>
            <w:r>
              <w:t>2246.29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2246.29</w:t>
            </w:r>
          </w:p>
        </w:tc>
        <w:tc>
          <w:tcPr>
            <w:tcW w:w="4535" w:type="dxa"/>
            <w:vAlign w:val="center"/>
          </w:tcPr>
          <w:p>
            <w:pPr>
              <w:pStyle w:val="14"/>
            </w:pPr>
            <w:r>
              <w:t>支出总计</w:t>
            </w:r>
          </w:p>
        </w:tc>
        <w:tc>
          <w:tcPr>
            <w:tcW w:w="2126" w:type="dxa"/>
            <w:vAlign w:val="center"/>
          </w:tcPr>
          <w:p>
            <w:pPr>
              <w:pStyle w:val="15"/>
            </w:pPr>
            <w:r>
              <w:t>2246.29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222001魏县纪律检查委员会本级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2246.29</w:t>
            </w:r>
          </w:p>
        </w:tc>
        <w:tc>
          <w:tcPr>
            <w:tcW w:w="1134" w:type="dxa"/>
            <w:vAlign w:val="center"/>
          </w:tcPr>
          <w:p>
            <w:pPr>
              <w:pStyle w:val="15"/>
            </w:pPr>
            <w:r>
              <w:t>2246.29</w:t>
            </w:r>
          </w:p>
        </w:tc>
        <w:tc>
          <w:tcPr>
            <w:tcW w:w="1134" w:type="dxa"/>
            <w:vAlign w:val="center"/>
          </w:tcPr>
          <w:p>
            <w:pPr>
              <w:pStyle w:val="15"/>
            </w:pPr>
            <w:r>
              <w:t>2246.29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2204.61</w:t>
            </w:r>
          </w:p>
        </w:tc>
        <w:tc>
          <w:tcPr>
            <w:tcW w:w="1134" w:type="dxa"/>
            <w:vAlign w:val="center"/>
          </w:tcPr>
          <w:p>
            <w:pPr>
              <w:pStyle w:val="11"/>
            </w:pPr>
            <w:r>
              <w:t>2204.61</w:t>
            </w:r>
          </w:p>
        </w:tc>
        <w:tc>
          <w:tcPr>
            <w:tcW w:w="1134" w:type="dxa"/>
            <w:vAlign w:val="center"/>
          </w:tcPr>
          <w:p>
            <w:pPr>
              <w:pStyle w:val="11"/>
            </w:pPr>
            <w:r>
              <w:t>2204.61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2204.61</w:t>
            </w:r>
          </w:p>
        </w:tc>
        <w:tc>
          <w:tcPr>
            <w:tcW w:w="1134" w:type="dxa"/>
            <w:vAlign w:val="center"/>
          </w:tcPr>
          <w:p>
            <w:pPr>
              <w:pStyle w:val="11"/>
            </w:pPr>
            <w:r>
              <w:t>2204.61</w:t>
            </w:r>
          </w:p>
        </w:tc>
        <w:tc>
          <w:tcPr>
            <w:tcW w:w="1134" w:type="dxa"/>
            <w:vAlign w:val="center"/>
          </w:tcPr>
          <w:p>
            <w:pPr>
              <w:pStyle w:val="11"/>
            </w:pPr>
            <w:r>
              <w:t>2204.61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1980.11</w:t>
            </w:r>
          </w:p>
        </w:tc>
        <w:tc>
          <w:tcPr>
            <w:tcW w:w="1134" w:type="dxa"/>
            <w:vAlign w:val="center"/>
          </w:tcPr>
          <w:p>
            <w:pPr>
              <w:pStyle w:val="11"/>
            </w:pPr>
            <w:r>
              <w:t>1980.11</w:t>
            </w:r>
          </w:p>
        </w:tc>
        <w:tc>
          <w:tcPr>
            <w:tcW w:w="1134" w:type="dxa"/>
            <w:vAlign w:val="center"/>
          </w:tcPr>
          <w:p>
            <w:pPr>
              <w:pStyle w:val="11"/>
            </w:pPr>
            <w:r>
              <w:t>1980.11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64.50</w:t>
            </w:r>
          </w:p>
        </w:tc>
        <w:tc>
          <w:tcPr>
            <w:tcW w:w="1134" w:type="dxa"/>
            <w:vAlign w:val="center"/>
          </w:tcPr>
          <w:p>
            <w:pPr>
              <w:pStyle w:val="11"/>
            </w:pPr>
            <w:r>
              <w:t>64.50</w:t>
            </w:r>
          </w:p>
        </w:tc>
        <w:tc>
          <w:tcPr>
            <w:tcW w:w="1134" w:type="dxa"/>
            <w:vAlign w:val="center"/>
          </w:tcPr>
          <w:p>
            <w:pPr>
              <w:pStyle w:val="11"/>
            </w:pPr>
            <w:r>
              <w:t>64.50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41.68</w:t>
            </w:r>
          </w:p>
        </w:tc>
        <w:tc>
          <w:tcPr>
            <w:tcW w:w="1134" w:type="dxa"/>
            <w:vAlign w:val="center"/>
          </w:tcPr>
          <w:p>
            <w:pPr>
              <w:pStyle w:val="11"/>
            </w:pPr>
            <w:r>
              <w:t>41.68</w:t>
            </w:r>
          </w:p>
        </w:tc>
        <w:tc>
          <w:tcPr>
            <w:tcW w:w="1134" w:type="dxa"/>
            <w:vAlign w:val="center"/>
          </w:tcPr>
          <w:p>
            <w:pPr>
              <w:pStyle w:val="11"/>
            </w:pPr>
            <w:r>
              <w:t>41.68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41.68</w:t>
            </w:r>
          </w:p>
        </w:tc>
        <w:tc>
          <w:tcPr>
            <w:tcW w:w="1134" w:type="dxa"/>
            <w:vAlign w:val="center"/>
          </w:tcPr>
          <w:p>
            <w:pPr>
              <w:pStyle w:val="11"/>
            </w:pPr>
            <w:r>
              <w:t>41.68</w:t>
            </w:r>
          </w:p>
        </w:tc>
        <w:tc>
          <w:tcPr>
            <w:tcW w:w="1134" w:type="dxa"/>
            <w:vAlign w:val="center"/>
          </w:tcPr>
          <w:p>
            <w:pPr>
              <w:pStyle w:val="11"/>
            </w:pPr>
            <w:r>
              <w:t>41.68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41.68</w:t>
            </w:r>
          </w:p>
        </w:tc>
        <w:tc>
          <w:tcPr>
            <w:tcW w:w="1134" w:type="dxa"/>
            <w:vAlign w:val="center"/>
          </w:tcPr>
          <w:p>
            <w:pPr>
              <w:pStyle w:val="11"/>
            </w:pPr>
            <w:r>
              <w:t>41.68</w:t>
            </w:r>
          </w:p>
        </w:tc>
        <w:tc>
          <w:tcPr>
            <w:tcW w:w="1134" w:type="dxa"/>
            <w:vAlign w:val="center"/>
          </w:tcPr>
          <w:p>
            <w:pPr>
              <w:pStyle w:val="11"/>
            </w:pPr>
            <w:r>
              <w:t>41.68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2246.29</w:t>
            </w:r>
          </w:p>
        </w:tc>
        <w:tc>
          <w:tcPr>
            <w:tcW w:w="1361" w:type="dxa"/>
            <w:vAlign w:val="center"/>
          </w:tcPr>
          <w:p>
            <w:pPr>
              <w:pStyle w:val="15"/>
            </w:pPr>
            <w:r>
              <w:t>2021.79</w:t>
            </w:r>
          </w:p>
        </w:tc>
        <w:tc>
          <w:tcPr>
            <w:tcW w:w="1361" w:type="dxa"/>
            <w:vAlign w:val="center"/>
          </w:tcPr>
          <w:p>
            <w:pPr>
              <w:pStyle w:val="15"/>
            </w:pPr>
            <w:r>
              <w:t>224.50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2204.61</w:t>
            </w:r>
          </w:p>
        </w:tc>
        <w:tc>
          <w:tcPr>
            <w:tcW w:w="1361" w:type="dxa"/>
            <w:vAlign w:val="center"/>
          </w:tcPr>
          <w:p>
            <w:pPr>
              <w:pStyle w:val="11"/>
            </w:pPr>
            <w:r>
              <w:t>1980.11</w:t>
            </w:r>
          </w:p>
        </w:tc>
        <w:tc>
          <w:tcPr>
            <w:tcW w:w="1361" w:type="dxa"/>
            <w:vAlign w:val="center"/>
          </w:tcPr>
          <w:p>
            <w:pPr>
              <w:pStyle w:val="11"/>
            </w:pPr>
            <w:r>
              <w:t>224.50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2204.61</w:t>
            </w:r>
          </w:p>
        </w:tc>
        <w:tc>
          <w:tcPr>
            <w:tcW w:w="1361" w:type="dxa"/>
            <w:vAlign w:val="center"/>
          </w:tcPr>
          <w:p>
            <w:pPr>
              <w:pStyle w:val="11"/>
            </w:pPr>
            <w:r>
              <w:t>1980.11</w:t>
            </w:r>
          </w:p>
        </w:tc>
        <w:tc>
          <w:tcPr>
            <w:tcW w:w="1361" w:type="dxa"/>
            <w:vAlign w:val="center"/>
          </w:tcPr>
          <w:p>
            <w:pPr>
              <w:pStyle w:val="11"/>
            </w:pPr>
            <w:r>
              <w:t>224.50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1980.11</w:t>
            </w:r>
          </w:p>
        </w:tc>
        <w:tc>
          <w:tcPr>
            <w:tcW w:w="1361" w:type="dxa"/>
            <w:vAlign w:val="center"/>
          </w:tcPr>
          <w:p>
            <w:pPr>
              <w:pStyle w:val="11"/>
            </w:pPr>
            <w:r>
              <w:t>1980.11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64.50</w:t>
            </w:r>
          </w:p>
        </w:tc>
        <w:tc>
          <w:tcPr>
            <w:tcW w:w="1361" w:type="dxa"/>
            <w:vAlign w:val="center"/>
          </w:tcPr>
          <w:p>
            <w:pPr>
              <w:pStyle w:val="11"/>
            </w:pPr>
          </w:p>
        </w:tc>
        <w:tc>
          <w:tcPr>
            <w:tcW w:w="1361" w:type="dxa"/>
            <w:vAlign w:val="center"/>
          </w:tcPr>
          <w:p>
            <w:pPr>
              <w:pStyle w:val="11"/>
            </w:pPr>
            <w:r>
              <w:t>64.50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2011150</w:t>
            </w:r>
          </w:p>
        </w:tc>
        <w:tc>
          <w:tcPr>
            <w:tcW w:w="4535" w:type="dxa"/>
            <w:vAlign w:val="center"/>
          </w:tcPr>
          <w:p>
            <w:pPr>
              <w:pStyle w:val="12"/>
            </w:pPr>
            <w:r>
              <w:t>事业运行</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41.68</w:t>
            </w:r>
          </w:p>
        </w:tc>
        <w:tc>
          <w:tcPr>
            <w:tcW w:w="1361" w:type="dxa"/>
            <w:vAlign w:val="center"/>
          </w:tcPr>
          <w:p>
            <w:pPr>
              <w:pStyle w:val="11"/>
            </w:pPr>
            <w:r>
              <w:t>41.68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41.68</w:t>
            </w:r>
          </w:p>
        </w:tc>
        <w:tc>
          <w:tcPr>
            <w:tcW w:w="1361" w:type="dxa"/>
            <w:vAlign w:val="center"/>
          </w:tcPr>
          <w:p>
            <w:pPr>
              <w:pStyle w:val="11"/>
            </w:pPr>
            <w:r>
              <w:t>41.68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41.68</w:t>
            </w:r>
          </w:p>
        </w:tc>
        <w:tc>
          <w:tcPr>
            <w:tcW w:w="1361" w:type="dxa"/>
            <w:vAlign w:val="center"/>
          </w:tcPr>
          <w:p>
            <w:pPr>
              <w:pStyle w:val="11"/>
            </w:pPr>
            <w:r>
              <w:t>41.68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2246.29</w:t>
            </w:r>
          </w:p>
        </w:tc>
        <w:tc>
          <w:tcPr>
            <w:tcW w:w="3402" w:type="dxa"/>
            <w:vAlign w:val="center"/>
          </w:tcPr>
          <w:p>
            <w:pPr>
              <w:pStyle w:val="12"/>
            </w:pPr>
            <w:r>
              <w:t>一、一般公共服务支出</w:t>
            </w:r>
          </w:p>
        </w:tc>
        <w:tc>
          <w:tcPr>
            <w:tcW w:w="1474" w:type="dxa"/>
            <w:vAlign w:val="center"/>
          </w:tcPr>
          <w:p>
            <w:pPr>
              <w:pStyle w:val="11"/>
            </w:pPr>
            <w:r>
              <w:t>2204.61</w:t>
            </w:r>
          </w:p>
        </w:tc>
        <w:tc>
          <w:tcPr>
            <w:tcW w:w="1474" w:type="dxa"/>
            <w:vAlign w:val="center"/>
          </w:tcPr>
          <w:p>
            <w:pPr>
              <w:pStyle w:val="11"/>
            </w:pPr>
            <w:r>
              <w:t>2204.61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41.68</w:t>
            </w:r>
          </w:p>
        </w:tc>
        <w:tc>
          <w:tcPr>
            <w:tcW w:w="1474" w:type="dxa"/>
            <w:vAlign w:val="center"/>
          </w:tcPr>
          <w:p>
            <w:pPr>
              <w:pStyle w:val="11"/>
            </w:pPr>
            <w:r>
              <w:t>41.68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2246.29</w:t>
            </w:r>
          </w:p>
        </w:tc>
        <w:tc>
          <w:tcPr>
            <w:tcW w:w="3402" w:type="dxa"/>
            <w:vAlign w:val="center"/>
          </w:tcPr>
          <w:p>
            <w:pPr>
              <w:pStyle w:val="14"/>
            </w:pPr>
            <w:r>
              <w:t>本年支出合计</w:t>
            </w:r>
          </w:p>
        </w:tc>
        <w:tc>
          <w:tcPr>
            <w:tcW w:w="1474" w:type="dxa"/>
            <w:vAlign w:val="center"/>
          </w:tcPr>
          <w:p>
            <w:pPr>
              <w:pStyle w:val="15"/>
            </w:pPr>
            <w:r>
              <w:t>2246.29</w:t>
            </w:r>
          </w:p>
        </w:tc>
        <w:tc>
          <w:tcPr>
            <w:tcW w:w="1474" w:type="dxa"/>
            <w:vAlign w:val="center"/>
          </w:tcPr>
          <w:p>
            <w:pPr>
              <w:pStyle w:val="15"/>
            </w:pPr>
            <w:r>
              <w:t>2246.29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2246.29</w:t>
            </w:r>
          </w:p>
        </w:tc>
        <w:tc>
          <w:tcPr>
            <w:tcW w:w="3402" w:type="dxa"/>
            <w:vAlign w:val="center"/>
          </w:tcPr>
          <w:p>
            <w:pPr>
              <w:pStyle w:val="14"/>
            </w:pPr>
            <w:r>
              <w:t>支出总计</w:t>
            </w:r>
          </w:p>
        </w:tc>
        <w:tc>
          <w:tcPr>
            <w:tcW w:w="1474" w:type="dxa"/>
            <w:vAlign w:val="center"/>
          </w:tcPr>
          <w:p>
            <w:pPr>
              <w:pStyle w:val="15"/>
            </w:pPr>
            <w:r>
              <w:t>2246.29</w:t>
            </w:r>
          </w:p>
        </w:tc>
        <w:tc>
          <w:tcPr>
            <w:tcW w:w="1474" w:type="dxa"/>
            <w:vAlign w:val="center"/>
          </w:tcPr>
          <w:p>
            <w:pPr>
              <w:pStyle w:val="15"/>
            </w:pPr>
            <w:r>
              <w:t>2246.29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2246.29</w:t>
            </w:r>
          </w:p>
        </w:tc>
        <w:tc>
          <w:tcPr>
            <w:tcW w:w="2551" w:type="dxa"/>
            <w:vAlign w:val="center"/>
          </w:tcPr>
          <w:p>
            <w:pPr>
              <w:pStyle w:val="15"/>
            </w:pPr>
            <w:r>
              <w:t>2021.79</w:t>
            </w:r>
          </w:p>
        </w:tc>
        <w:tc>
          <w:tcPr>
            <w:tcW w:w="2551" w:type="dxa"/>
            <w:vAlign w:val="center"/>
          </w:tcPr>
          <w:p>
            <w:pPr>
              <w:pStyle w:val="15"/>
            </w:pPr>
            <w:r>
              <w:t>224.50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2204.61</w:t>
            </w:r>
          </w:p>
        </w:tc>
        <w:tc>
          <w:tcPr>
            <w:tcW w:w="2551" w:type="dxa"/>
            <w:vAlign w:val="center"/>
          </w:tcPr>
          <w:p>
            <w:pPr>
              <w:pStyle w:val="11"/>
            </w:pPr>
            <w:r>
              <w:t>1980.11</w:t>
            </w:r>
          </w:p>
        </w:tc>
        <w:tc>
          <w:tcPr>
            <w:tcW w:w="2551" w:type="dxa"/>
            <w:vAlign w:val="center"/>
          </w:tcPr>
          <w:p>
            <w:pPr>
              <w:pStyle w:val="11"/>
            </w:pPr>
            <w:r>
              <w:t>224.50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2204.61</w:t>
            </w:r>
          </w:p>
        </w:tc>
        <w:tc>
          <w:tcPr>
            <w:tcW w:w="2551" w:type="dxa"/>
            <w:vAlign w:val="center"/>
          </w:tcPr>
          <w:p>
            <w:pPr>
              <w:pStyle w:val="11"/>
            </w:pPr>
            <w:r>
              <w:t>1980.11</w:t>
            </w:r>
          </w:p>
        </w:tc>
        <w:tc>
          <w:tcPr>
            <w:tcW w:w="2551" w:type="dxa"/>
            <w:vAlign w:val="center"/>
          </w:tcPr>
          <w:p>
            <w:pPr>
              <w:pStyle w:val="11"/>
            </w:pPr>
            <w:r>
              <w:t>224.50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1980.11</w:t>
            </w:r>
          </w:p>
        </w:tc>
        <w:tc>
          <w:tcPr>
            <w:tcW w:w="2551" w:type="dxa"/>
            <w:vAlign w:val="center"/>
          </w:tcPr>
          <w:p>
            <w:pPr>
              <w:pStyle w:val="11"/>
            </w:pPr>
            <w:r>
              <w:t>1980.11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64.50</w:t>
            </w:r>
          </w:p>
        </w:tc>
        <w:tc>
          <w:tcPr>
            <w:tcW w:w="2551" w:type="dxa"/>
            <w:vAlign w:val="center"/>
          </w:tcPr>
          <w:p>
            <w:pPr>
              <w:pStyle w:val="11"/>
            </w:pPr>
          </w:p>
        </w:tc>
        <w:tc>
          <w:tcPr>
            <w:tcW w:w="2551" w:type="dxa"/>
            <w:vAlign w:val="center"/>
          </w:tcPr>
          <w:p>
            <w:pPr>
              <w:pStyle w:val="11"/>
            </w:pPr>
            <w:r>
              <w:t>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41.68</w:t>
            </w:r>
          </w:p>
        </w:tc>
        <w:tc>
          <w:tcPr>
            <w:tcW w:w="2551" w:type="dxa"/>
            <w:vAlign w:val="center"/>
          </w:tcPr>
          <w:p>
            <w:pPr>
              <w:pStyle w:val="11"/>
            </w:pPr>
            <w:r>
              <w:t>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41.68</w:t>
            </w:r>
          </w:p>
        </w:tc>
        <w:tc>
          <w:tcPr>
            <w:tcW w:w="2551" w:type="dxa"/>
            <w:vAlign w:val="center"/>
          </w:tcPr>
          <w:p>
            <w:pPr>
              <w:pStyle w:val="11"/>
            </w:pPr>
            <w:r>
              <w:t>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41.68</w:t>
            </w:r>
          </w:p>
        </w:tc>
        <w:tc>
          <w:tcPr>
            <w:tcW w:w="2551" w:type="dxa"/>
            <w:vAlign w:val="center"/>
          </w:tcPr>
          <w:p>
            <w:pPr>
              <w:pStyle w:val="11"/>
            </w:pPr>
            <w:r>
              <w:t>41.68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2021.79</w:t>
            </w:r>
          </w:p>
        </w:tc>
        <w:tc>
          <w:tcPr>
            <w:tcW w:w="2551" w:type="dxa"/>
            <w:vAlign w:val="center"/>
          </w:tcPr>
          <w:p>
            <w:pPr>
              <w:pStyle w:val="15"/>
            </w:pPr>
            <w:r>
              <w:t>1351.31</w:t>
            </w:r>
          </w:p>
        </w:tc>
        <w:tc>
          <w:tcPr>
            <w:tcW w:w="2551" w:type="dxa"/>
            <w:vAlign w:val="center"/>
          </w:tcPr>
          <w:p>
            <w:pPr>
              <w:pStyle w:val="15"/>
            </w:pPr>
            <w:r>
              <w:t>670.48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1307.83</w:t>
            </w:r>
          </w:p>
        </w:tc>
        <w:tc>
          <w:tcPr>
            <w:tcW w:w="2551" w:type="dxa"/>
            <w:vAlign w:val="center"/>
          </w:tcPr>
          <w:p>
            <w:pPr>
              <w:pStyle w:val="11"/>
            </w:pPr>
            <w:r>
              <w:t>1307.83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581.84</w:t>
            </w:r>
          </w:p>
        </w:tc>
        <w:tc>
          <w:tcPr>
            <w:tcW w:w="2551" w:type="dxa"/>
            <w:vAlign w:val="center"/>
          </w:tcPr>
          <w:p>
            <w:pPr>
              <w:pStyle w:val="11"/>
            </w:pPr>
            <w:r>
              <w:t>581.84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205.51</w:t>
            </w:r>
          </w:p>
        </w:tc>
        <w:tc>
          <w:tcPr>
            <w:tcW w:w="2551" w:type="dxa"/>
            <w:vAlign w:val="center"/>
          </w:tcPr>
          <w:p>
            <w:pPr>
              <w:pStyle w:val="11"/>
            </w:pPr>
            <w:r>
              <w:t>205.51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142.19</w:t>
            </w:r>
          </w:p>
        </w:tc>
        <w:tc>
          <w:tcPr>
            <w:tcW w:w="2551" w:type="dxa"/>
            <w:vAlign w:val="center"/>
          </w:tcPr>
          <w:p>
            <w:pPr>
              <w:pStyle w:val="11"/>
            </w:pPr>
            <w:r>
              <w:t>142.19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26.28</w:t>
            </w:r>
          </w:p>
        </w:tc>
        <w:tc>
          <w:tcPr>
            <w:tcW w:w="2551" w:type="dxa"/>
            <w:vAlign w:val="center"/>
          </w:tcPr>
          <w:p>
            <w:pPr>
              <w:pStyle w:val="11"/>
            </w:pPr>
            <w:r>
              <w:t>26.28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183.21</w:t>
            </w:r>
          </w:p>
        </w:tc>
        <w:tc>
          <w:tcPr>
            <w:tcW w:w="2551" w:type="dxa"/>
            <w:vAlign w:val="center"/>
          </w:tcPr>
          <w:p>
            <w:pPr>
              <w:pStyle w:val="11"/>
            </w:pPr>
            <w:r>
              <w:t>183.21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91.61</w:t>
            </w:r>
          </w:p>
        </w:tc>
        <w:tc>
          <w:tcPr>
            <w:tcW w:w="2551" w:type="dxa"/>
            <w:vAlign w:val="center"/>
          </w:tcPr>
          <w:p>
            <w:pPr>
              <w:pStyle w:val="11"/>
            </w:pPr>
            <w:r>
              <w:t>91.61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71.46</w:t>
            </w:r>
          </w:p>
        </w:tc>
        <w:tc>
          <w:tcPr>
            <w:tcW w:w="2551" w:type="dxa"/>
            <w:vAlign w:val="center"/>
          </w:tcPr>
          <w:p>
            <w:pPr>
              <w:pStyle w:val="11"/>
            </w:pPr>
            <w:r>
              <w:t>71.46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5.73</w:t>
            </w:r>
          </w:p>
        </w:tc>
        <w:tc>
          <w:tcPr>
            <w:tcW w:w="2551" w:type="dxa"/>
            <w:vAlign w:val="center"/>
          </w:tcPr>
          <w:p>
            <w:pPr>
              <w:pStyle w:val="11"/>
            </w:pPr>
            <w:r>
              <w:t>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670.48</w:t>
            </w:r>
          </w:p>
        </w:tc>
        <w:tc>
          <w:tcPr>
            <w:tcW w:w="2551" w:type="dxa"/>
            <w:vAlign w:val="center"/>
          </w:tcPr>
          <w:p>
            <w:pPr>
              <w:pStyle w:val="11"/>
            </w:pPr>
          </w:p>
        </w:tc>
        <w:tc>
          <w:tcPr>
            <w:tcW w:w="2551" w:type="dxa"/>
            <w:vAlign w:val="center"/>
          </w:tcPr>
          <w:p>
            <w:pPr>
              <w:pStyle w:val="11"/>
            </w:pPr>
            <w:r>
              <w:t>670.48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104.00</w:t>
            </w:r>
          </w:p>
        </w:tc>
        <w:tc>
          <w:tcPr>
            <w:tcW w:w="2551" w:type="dxa"/>
            <w:vAlign w:val="center"/>
          </w:tcPr>
          <w:p>
            <w:pPr>
              <w:pStyle w:val="11"/>
            </w:pPr>
          </w:p>
        </w:tc>
        <w:tc>
          <w:tcPr>
            <w:tcW w:w="2551" w:type="dxa"/>
            <w:vAlign w:val="center"/>
          </w:tcPr>
          <w:p>
            <w:pPr>
              <w:pStyle w:val="11"/>
            </w:pPr>
            <w:r>
              <w:t>104.00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66.48</w:t>
            </w:r>
          </w:p>
        </w:tc>
        <w:tc>
          <w:tcPr>
            <w:tcW w:w="2551" w:type="dxa"/>
            <w:vAlign w:val="center"/>
          </w:tcPr>
          <w:p>
            <w:pPr>
              <w:pStyle w:val="11"/>
            </w:pPr>
          </w:p>
        </w:tc>
        <w:tc>
          <w:tcPr>
            <w:tcW w:w="2551" w:type="dxa"/>
            <w:vAlign w:val="center"/>
          </w:tcPr>
          <w:p>
            <w:pPr>
              <w:pStyle w:val="11"/>
            </w:pPr>
            <w:r>
              <w:t>66.48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485.00</w:t>
            </w:r>
          </w:p>
        </w:tc>
        <w:tc>
          <w:tcPr>
            <w:tcW w:w="2551" w:type="dxa"/>
            <w:vAlign w:val="center"/>
          </w:tcPr>
          <w:p>
            <w:pPr>
              <w:pStyle w:val="11"/>
            </w:pPr>
          </w:p>
        </w:tc>
        <w:tc>
          <w:tcPr>
            <w:tcW w:w="2551" w:type="dxa"/>
            <w:vAlign w:val="center"/>
          </w:tcPr>
          <w:p>
            <w:pPr>
              <w:pStyle w:val="11"/>
            </w:pPr>
            <w:r>
              <w:t>485.00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43.48</w:t>
            </w:r>
          </w:p>
        </w:tc>
        <w:tc>
          <w:tcPr>
            <w:tcW w:w="2551" w:type="dxa"/>
            <w:vAlign w:val="center"/>
          </w:tcPr>
          <w:p>
            <w:pPr>
              <w:pStyle w:val="11"/>
            </w:pPr>
            <w:r>
              <w:t>43.48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41.68</w:t>
            </w:r>
          </w:p>
        </w:tc>
        <w:tc>
          <w:tcPr>
            <w:tcW w:w="2551" w:type="dxa"/>
            <w:vAlign w:val="center"/>
          </w:tcPr>
          <w:p>
            <w:pPr>
              <w:pStyle w:val="11"/>
            </w:pPr>
            <w:r>
              <w:t>41.68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222001魏县纪律检查委员会本级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魏县纪律检查委员会本级2025年单位预算信息公开情况说明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按照《中华人民共和国预算法》、《地方预决算公开操作规程》和《关于进一步推进预算公开工作的实施意见》规定，现将魏县纪律检查委员会本级2025年单位预算公开如下：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中共魏县纪律检查委员会(简称县纪委)由中国共产党魏县代表大会选举产生，魏县监察委员会(简称县监委)由魏县人民代表大会产生，负责本行政区域内的纪检监察工作。县纪委与县监委合署办公，实行一套工作机构、两个机关名称，履行党的纪律检查和国家监察两项职责。县纪委在同级党的委员会和上级纪律检查委员会双重领导下进行工作，县监委对本级人民代表大会及其常务委员会和邯郸市监察委员会负责，并接受其监督。在邯郸市纪委监委和县委领导下，县纪委监委加强对下级纪检监察组织的领导。县委巡察工作领导小组办公室为县委工作机关，设在县纪委。</w:t>
      </w:r>
    </w:p>
    <w:p>
      <w:pPr>
        <w:pStyle w:val="17"/>
      </w:pPr>
      <w:r>
        <w:t>1、负责全县党的纪律检查工作。贯彻落实党中央和省、市、县委关于纪律检查工作的决策部署，维护党的章程和其他党内法规，检查党的路线方针政策和决议的执行情况，协助县委推进全面从严治党、加强党风建设和组织协调反腐败工作。</w:t>
      </w:r>
    </w:p>
    <w:p>
      <w:pPr>
        <w:pStyle w:val="17"/>
      </w:pPr>
      <w:r>
        <w:t>2、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3、支持配合巡视巡察工作。承担巡视巡察整改日常监督责任，做好巡视巡察整改督查督办工作，依规依纪依法处置巡视巡察移交的反映领导干部问题线索。</w:t>
      </w:r>
    </w:p>
    <w:p>
      <w:pPr>
        <w:pStyle w:val="17"/>
      </w:pPr>
      <w:r>
        <w:t>4、负责全县监察工作。贯彻落实党中央和省、市、县委关于监察工作的决策部署，维护宪法法律，依法对县委管理的行使公权力的公职人员进行监察，调查职务违法和职务犯罪，开展廉政建设和反腐败工作。</w:t>
      </w:r>
    </w:p>
    <w:p>
      <w:pPr>
        <w:pStyle w:val="17"/>
      </w:pPr>
      <w: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6、负责组织协调全面从严治党、党风廉政建设和反腐败宣传教育工作。</w:t>
      </w:r>
    </w:p>
    <w:p>
      <w:pPr>
        <w:pStyle w:val="17"/>
      </w:pPr>
      <w:r>
        <w:t>7、负责综合分析全面从严治党、党风廉政建设和反腐败工作情况，对纪检监察工作重要理论及实践问题进行调查研究;制定或者修改全县纪检监察制度，参与起草有关地方性法规和规范性文件。</w:t>
      </w:r>
    </w:p>
    <w:p>
      <w:pPr>
        <w:pStyle w:val="17"/>
      </w:pPr>
      <w:r>
        <w:t>8、负责组织协调全县反腐败追逃追赃和防逃工作，督促有关单位做好相关工作。</w:t>
      </w:r>
    </w:p>
    <w:p>
      <w:pPr>
        <w:pStyle w:val="17"/>
      </w:pPr>
      <w:r>
        <w:t>9、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科级以下干部人事工作。会同有关方面做好县纪委监委派驻机构、乡镇、县管企事业单位和其他县直单位纪检监察机构建设有关工作;组织和指导全县纪检监察系统干部教育培训工作等。</w:t>
      </w:r>
    </w:p>
    <w:p>
      <w:pPr>
        <w:pStyle w:val="17"/>
      </w:pPr>
      <w:r>
        <w:t>10、完成上级纪委监委和县委交办的其他任务。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魏县纪律检查委员会本级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2246.29万元，其中：一般公共预算收入2246.29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纪律检查委员会本级年度单位预算中支出预算的总体情况。2025年支出预算2246.29万元，其中基本支出2021.79万元，包括人员经费1351.31万元和日常公用经费670.48万元；项目支出224.50万元，主要为22个乡镇纪检监察办案经费、四套班子领导纪检监察报刊费、纪检监察业务经费等项目。</w:t>
      </w:r>
    </w:p>
    <w:p>
      <w:pPr>
        <w:pStyle w:val="18"/>
      </w:pPr>
      <w:r>
        <w:t>3、比上年增减情况</w:t>
      </w:r>
    </w:p>
    <w:p>
      <w:pPr>
        <w:pStyle w:val="18"/>
      </w:pPr>
      <w:r>
        <w:t>2025年预算收支安排2246.29万元，较2024年预算增加490.84万元，其中：基本支出增加420.84万元，主要为日常公用经费增加。项目支出增加70.00万元，主要为部分相同项目金额增加。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2025年，我单位机关运行经费共计安排670.48万元，主要用于日常维修、办公用房水电费、办公用房取暖费、办公用房物业管理费等日常运行支出。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w:t>
      </w:r>
      <w:r>
        <w:rPr>
          <w:rFonts w:hint="eastAsia"/>
          <w:lang w:val="en-US" w:eastAsia="zh-CN"/>
        </w:rPr>
        <w:t>25</w:t>
      </w:r>
      <w:r>
        <w:t>.00万元（其中：公务用车购置费为0.00万元，公务用车运维费</w:t>
      </w:r>
      <w:r>
        <w:rPr>
          <w:rFonts w:hint="eastAsia"/>
          <w:lang w:val="en-US" w:eastAsia="zh-CN"/>
        </w:rPr>
        <w:t>25</w:t>
      </w:r>
      <w:r>
        <w:t>.00万元)；公务接待费0.00万元。与2024年</w:t>
      </w:r>
      <w:r>
        <w:rPr>
          <w:rFonts w:hint="eastAsia"/>
          <w:lang w:eastAsia="zh-CN"/>
        </w:rPr>
        <w:t>持平</w:t>
      </w:r>
      <w:r>
        <w:t>，增减变化的主要原因是与2024年持平，公务用车运维费25万元主要用于公车日常燃油费开支和日常维护维修等。</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1、22个乡镇纪检监察办案经费绩效目标表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13043425P000001100705</w:t>
            </w:r>
          </w:p>
        </w:tc>
        <w:tc>
          <w:tcPr>
            <w:tcW w:w="2835" w:type="dxa"/>
            <w:vAlign w:val="center"/>
          </w:tcPr>
          <w:p>
            <w:pPr>
              <w:pStyle w:val="10"/>
            </w:pPr>
            <w:r>
              <w:t>项目名称</w:t>
            </w:r>
          </w:p>
        </w:tc>
        <w:tc>
          <w:tcPr>
            <w:tcW w:w="6095" w:type="dxa"/>
            <w:gridSpan w:val="3"/>
            <w:vAlign w:val="center"/>
          </w:tcPr>
          <w:p>
            <w:pPr>
              <w:pStyle w:val="12"/>
            </w:pPr>
            <w:r>
              <w:t>22个乡镇纪检监察办案经费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保障乡镇纪检监察业务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1.通过保障乡镇纪检监察业务，实现基层廉政风气改善。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案件查办准确率</w:t>
            </w:r>
          </w:p>
        </w:tc>
        <w:tc>
          <w:tcPr>
            <w:tcW w:w="5386" w:type="dxa"/>
            <w:vAlign w:val="center"/>
          </w:tcPr>
          <w:p>
            <w:pPr>
              <w:pStyle w:val="12"/>
            </w:pPr>
            <w:r>
              <w:t>案件查办准确率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监察涉及乡镇个数</w:t>
            </w:r>
          </w:p>
        </w:tc>
        <w:tc>
          <w:tcPr>
            <w:tcW w:w="5386" w:type="dxa"/>
            <w:vAlign w:val="center"/>
          </w:tcPr>
          <w:p>
            <w:pPr>
              <w:pStyle w:val="12"/>
            </w:pPr>
            <w:r>
              <w:t>监察涉及乡镇个数</w:t>
            </w:r>
          </w:p>
        </w:tc>
        <w:tc>
          <w:tcPr>
            <w:tcW w:w="2268" w:type="dxa"/>
            <w:vAlign w:val="center"/>
          </w:tcPr>
          <w:p>
            <w:pPr>
              <w:pStyle w:val="12"/>
            </w:pPr>
            <w:r>
              <w:t>22个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纪检监察业务经费总额</w:t>
            </w:r>
          </w:p>
        </w:tc>
        <w:tc>
          <w:tcPr>
            <w:tcW w:w="5386" w:type="dxa"/>
            <w:vAlign w:val="center"/>
          </w:tcPr>
          <w:p>
            <w:pPr>
              <w:pStyle w:val="12"/>
            </w:pPr>
            <w:r>
              <w:t>纪检监察业务经费总额</w:t>
            </w:r>
          </w:p>
        </w:tc>
        <w:tc>
          <w:tcPr>
            <w:tcW w:w="2268" w:type="dxa"/>
            <w:vAlign w:val="center"/>
          </w:tcPr>
          <w:p>
            <w:pPr>
              <w:pStyle w:val="12"/>
            </w:pPr>
            <w:r>
              <w:t>≤22万元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纪检监察工作完成时间</w:t>
            </w:r>
          </w:p>
        </w:tc>
        <w:tc>
          <w:tcPr>
            <w:tcW w:w="5386" w:type="dxa"/>
            <w:vAlign w:val="center"/>
          </w:tcPr>
          <w:p>
            <w:pPr>
              <w:pStyle w:val="12"/>
            </w:pPr>
            <w:r>
              <w:t>纪检监察工作完成时间</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基层廉政风气改善</w:t>
            </w:r>
          </w:p>
        </w:tc>
        <w:tc>
          <w:tcPr>
            <w:tcW w:w="5386" w:type="dxa"/>
            <w:vAlign w:val="center"/>
          </w:tcPr>
          <w:p>
            <w:pPr>
              <w:pStyle w:val="12"/>
            </w:pPr>
            <w:r>
              <w:t>基层廉政风气改善</w:t>
            </w:r>
          </w:p>
        </w:tc>
        <w:tc>
          <w:tcPr>
            <w:tcW w:w="2268" w:type="dxa"/>
            <w:vAlign w:val="center"/>
          </w:tcPr>
          <w:p>
            <w:pPr>
              <w:pStyle w:val="12"/>
            </w:pPr>
            <w:r>
              <w:t>显著改善</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提升办案质量</w:t>
            </w:r>
          </w:p>
        </w:tc>
        <w:tc>
          <w:tcPr>
            <w:tcW w:w="5386" w:type="dxa"/>
            <w:vAlign w:val="center"/>
          </w:tcPr>
          <w:p>
            <w:pPr>
              <w:pStyle w:val="12"/>
            </w:pPr>
            <w:r>
              <w:t>提升办案质量</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2、纪检监察业务经费绩效目标表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13043425P00000110069R</w:t>
            </w:r>
          </w:p>
        </w:tc>
        <w:tc>
          <w:tcPr>
            <w:tcW w:w="2835" w:type="dxa"/>
            <w:vAlign w:val="center"/>
          </w:tcPr>
          <w:p>
            <w:pPr>
              <w:pStyle w:val="10"/>
            </w:pPr>
            <w:r>
              <w:t>项目名称</w:t>
            </w:r>
          </w:p>
        </w:tc>
        <w:tc>
          <w:tcPr>
            <w:tcW w:w="6095" w:type="dxa"/>
            <w:gridSpan w:val="3"/>
            <w:vAlign w:val="center"/>
          </w:tcPr>
          <w:p>
            <w:pPr>
              <w:pStyle w:val="12"/>
            </w:pPr>
            <w:r>
              <w:t>纪检监察业务经费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保障纪检检察业务的正常进行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1.通过开展监督检查、审查调查等纪检监察业务，为上级决策部署和我县重点工作提供坚强保障。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重点案件办结率</w:t>
            </w:r>
          </w:p>
        </w:tc>
        <w:tc>
          <w:tcPr>
            <w:tcW w:w="5386" w:type="dxa"/>
            <w:vAlign w:val="center"/>
          </w:tcPr>
          <w:p>
            <w:pPr>
              <w:pStyle w:val="12"/>
            </w:pPr>
            <w:r>
              <w:t>重点案件办结率</w:t>
            </w:r>
          </w:p>
        </w:tc>
        <w:tc>
          <w:tcPr>
            <w:tcW w:w="2268" w:type="dxa"/>
            <w:vAlign w:val="center"/>
          </w:tcPr>
          <w:p>
            <w:pPr>
              <w:pStyle w:val="12"/>
            </w:pPr>
            <w:r>
              <w:t>≥95%</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保障重点案件办理数量</w:t>
            </w:r>
          </w:p>
        </w:tc>
        <w:tc>
          <w:tcPr>
            <w:tcW w:w="5386" w:type="dxa"/>
            <w:vAlign w:val="center"/>
          </w:tcPr>
          <w:p>
            <w:pPr>
              <w:pStyle w:val="12"/>
            </w:pPr>
            <w:r>
              <w:t>保障重点案件办理数量</w:t>
            </w:r>
          </w:p>
        </w:tc>
        <w:tc>
          <w:tcPr>
            <w:tcW w:w="2268" w:type="dxa"/>
            <w:vAlign w:val="center"/>
          </w:tcPr>
          <w:p>
            <w:pPr>
              <w:pStyle w:val="12"/>
            </w:pPr>
            <w:r>
              <w:t>≥1件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开展业务费用</w:t>
            </w:r>
          </w:p>
        </w:tc>
        <w:tc>
          <w:tcPr>
            <w:tcW w:w="5386" w:type="dxa"/>
            <w:vAlign w:val="center"/>
          </w:tcPr>
          <w:p>
            <w:pPr>
              <w:pStyle w:val="12"/>
            </w:pPr>
            <w:r>
              <w:t>开展业务费用</w:t>
            </w:r>
          </w:p>
        </w:tc>
        <w:tc>
          <w:tcPr>
            <w:tcW w:w="2268" w:type="dxa"/>
            <w:vAlign w:val="center"/>
          </w:tcPr>
          <w:p>
            <w:pPr>
              <w:pStyle w:val="12"/>
            </w:pPr>
            <w:r>
              <w:t>≤40万元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纪检监察业务得到保障</w:t>
            </w:r>
          </w:p>
        </w:tc>
        <w:tc>
          <w:tcPr>
            <w:tcW w:w="5386" w:type="dxa"/>
            <w:vAlign w:val="center"/>
          </w:tcPr>
          <w:p>
            <w:pPr>
              <w:pStyle w:val="12"/>
            </w:pPr>
            <w:r>
              <w:t>纪检监察业务得到保障</w:t>
            </w:r>
          </w:p>
        </w:tc>
        <w:tc>
          <w:tcPr>
            <w:tcW w:w="2268" w:type="dxa"/>
            <w:vAlign w:val="center"/>
          </w:tcPr>
          <w:p>
            <w:pPr>
              <w:pStyle w:val="12"/>
            </w:pPr>
            <w:r>
              <w:t>有效保障</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提高为全县重点工作保障能力</w:t>
            </w:r>
          </w:p>
        </w:tc>
        <w:tc>
          <w:tcPr>
            <w:tcW w:w="5386" w:type="dxa"/>
            <w:vAlign w:val="center"/>
          </w:tcPr>
          <w:p>
            <w:pPr>
              <w:pStyle w:val="12"/>
            </w:pPr>
            <w:r>
              <w:t>提高为全县重点工作保障能力</w:t>
            </w:r>
          </w:p>
        </w:tc>
        <w:tc>
          <w:tcPr>
            <w:tcW w:w="2268" w:type="dxa"/>
            <w:vAlign w:val="center"/>
          </w:tcPr>
          <w:p>
            <w:pPr>
              <w:pStyle w:val="12"/>
            </w:pPr>
            <w:r>
              <w:t>提高</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3、四套班子领导纪检监察报刊绩效目标表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13043425P000001100686</w:t>
            </w:r>
          </w:p>
        </w:tc>
        <w:tc>
          <w:tcPr>
            <w:tcW w:w="2835" w:type="dxa"/>
            <w:vAlign w:val="center"/>
          </w:tcPr>
          <w:p>
            <w:pPr>
              <w:pStyle w:val="10"/>
            </w:pPr>
            <w:r>
              <w:t>项目名称</w:t>
            </w:r>
          </w:p>
        </w:tc>
        <w:tc>
          <w:tcPr>
            <w:tcW w:w="6095" w:type="dxa"/>
            <w:gridSpan w:val="3"/>
            <w:vAlign w:val="center"/>
          </w:tcPr>
          <w:p>
            <w:pPr>
              <w:pStyle w:val="12"/>
            </w:pPr>
            <w:r>
              <w:t>四套班子领导纪检监察报刊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保障四套班子领导纪检监察办刊的订阅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1.通过监察报刊订阅，提供职工学习积极性，持续发挥报刊杂志引导作用。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纪检监察报刊完成率</w:t>
            </w:r>
          </w:p>
        </w:tc>
        <w:tc>
          <w:tcPr>
            <w:tcW w:w="5386" w:type="dxa"/>
            <w:vAlign w:val="center"/>
          </w:tcPr>
          <w:p>
            <w:pPr>
              <w:pStyle w:val="12"/>
            </w:pPr>
            <w:r>
              <w:t>纪检监察报刊完成率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订阅报刊种类</w:t>
            </w:r>
          </w:p>
        </w:tc>
        <w:tc>
          <w:tcPr>
            <w:tcW w:w="5386" w:type="dxa"/>
            <w:vAlign w:val="center"/>
          </w:tcPr>
          <w:p>
            <w:pPr>
              <w:pStyle w:val="12"/>
            </w:pPr>
            <w:r>
              <w:t>订阅报刊种类</w:t>
            </w:r>
          </w:p>
        </w:tc>
        <w:tc>
          <w:tcPr>
            <w:tcW w:w="2268" w:type="dxa"/>
            <w:vAlign w:val="center"/>
          </w:tcPr>
          <w:p>
            <w:pPr>
              <w:pStyle w:val="12"/>
            </w:pPr>
            <w:r>
              <w:t>≥3种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可通过订阅不同类别报刊费用明细，分别设置成本指标</w:t>
            </w:r>
          </w:p>
        </w:tc>
        <w:tc>
          <w:tcPr>
            <w:tcW w:w="5386" w:type="dxa"/>
            <w:vAlign w:val="center"/>
          </w:tcPr>
          <w:p>
            <w:pPr>
              <w:pStyle w:val="12"/>
            </w:pPr>
            <w:r>
              <w:t>可通过订阅不同类别报刊费用明细，分别设置成本指标</w:t>
            </w:r>
          </w:p>
        </w:tc>
        <w:tc>
          <w:tcPr>
            <w:tcW w:w="2268" w:type="dxa"/>
            <w:vAlign w:val="center"/>
          </w:tcPr>
          <w:p>
            <w:pPr>
              <w:pStyle w:val="12"/>
            </w:pPr>
            <w:r>
              <w:t>≤2.5万元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订阅报刊及时率</w:t>
            </w:r>
          </w:p>
        </w:tc>
        <w:tc>
          <w:tcPr>
            <w:tcW w:w="5386" w:type="dxa"/>
            <w:vAlign w:val="center"/>
          </w:tcPr>
          <w:p>
            <w:pPr>
              <w:pStyle w:val="12"/>
            </w:pPr>
            <w:r>
              <w:t>订阅报刊及时率</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促进纪检监察动态了解</w:t>
            </w:r>
          </w:p>
        </w:tc>
        <w:tc>
          <w:tcPr>
            <w:tcW w:w="5386" w:type="dxa"/>
            <w:vAlign w:val="center"/>
          </w:tcPr>
          <w:p>
            <w:pPr>
              <w:pStyle w:val="12"/>
            </w:pPr>
            <w:r>
              <w:t>促进纪检监察动态了解</w:t>
            </w:r>
          </w:p>
        </w:tc>
        <w:tc>
          <w:tcPr>
            <w:tcW w:w="2268" w:type="dxa"/>
            <w:vAlign w:val="center"/>
          </w:tcPr>
          <w:p>
            <w:pPr>
              <w:pStyle w:val="12"/>
            </w:pPr>
            <w:r>
              <w:t>有效保障</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提升职工学习积极性</w:t>
            </w:r>
          </w:p>
        </w:tc>
        <w:tc>
          <w:tcPr>
            <w:tcW w:w="5386" w:type="dxa"/>
            <w:vAlign w:val="center"/>
          </w:tcPr>
          <w:p>
            <w:pPr>
              <w:pStyle w:val="12"/>
            </w:pPr>
            <w:r>
              <w:t>提升职工学习积极性</w:t>
            </w:r>
          </w:p>
        </w:tc>
        <w:tc>
          <w:tcPr>
            <w:tcW w:w="2268" w:type="dxa"/>
            <w:vAlign w:val="center"/>
          </w:tcPr>
          <w:p>
            <w:pPr>
              <w:pStyle w:val="12"/>
            </w:pPr>
            <w:r>
              <w:t>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报刊读者满意度</w:t>
            </w:r>
          </w:p>
        </w:tc>
        <w:tc>
          <w:tcPr>
            <w:tcW w:w="5386" w:type="dxa"/>
            <w:vAlign w:val="center"/>
          </w:tcPr>
          <w:p>
            <w:pPr>
              <w:pStyle w:val="12"/>
            </w:pPr>
            <w:r>
              <w:t>报刊读者满意度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4、纪检监察档案数字化项目绩效目标表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13043425P00429310007H</w:t>
            </w:r>
          </w:p>
        </w:tc>
        <w:tc>
          <w:tcPr>
            <w:tcW w:w="2835" w:type="dxa"/>
            <w:vAlign w:val="center"/>
          </w:tcPr>
          <w:p>
            <w:pPr>
              <w:pStyle w:val="10"/>
            </w:pPr>
            <w:r>
              <w:t>项目名称</w:t>
            </w:r>
          </w:p>
        </w:tc>
        <w:tc>
          <w:tcPr>
            <w:tcW w:w="6095" w:type="dxa"/>
            <w:gridSpan w:val="3"/>
            <w:vAlign w:val="center"/>
          </w:tcPr>
          <w:p>
            <w:pPr>
              <w:pStyle w:val="12"/>
            </w:pPr>
            <w:r>
              <w:t>纪检监察档案数字化项目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用于纪检监察档案数字化建设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1.通过完成纪委监委档案数字化项目建设，实现我委档案事业发展规划规范化、信息化。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档案室建设合格率</w:t>
            </w:r>
          </w:p>
        </w:tc>
        <w:tc>
          <w:tcPr>
            <w:tcW w:w="5386" w:type="dxa"/>
            <w:vAlign w:val="center"/>
          </w:tcPr>
          <w:p>
            <w:pPr>
              <w:pStyle w:val="12"/>
            </w:pPr>
            <w:r>
              <w:t>档案室建设合格率</w:t>
            </w:r>
          </w:p>
        </w:tc>
        <w:tc>
          <w:tcPr>
            <w:tcW w:w="2268" w:type="dxa"/>
            <w:vAlign w:val="center"/>
          </w:tcPr>
          <w:p>
            <w:pPr>
              <w:pStyle w:val="12"/>
            </w:pPr>
            <w:r>
              <w:t>≥98%</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数字化档案室</w:t>
            </w:r>
          </w:p>
        </w:tc>
        <w:tc>
          <w:tcPr>
            <w:tcW w:w="5386" w:type="dxa"/>
            <w:vAlign w:val="center"/>
          </w:tcPr>
          <w:p>
            <w:pPr>
              <w:pStyle w:val="12"/>
            </w:pPr>
            <w:r>
              <w:t>数字化档案室</w:t>
            </w:r>
          </w:p>
        </w:tc>
        <w:tc>
          <w:tcPr>
            <w:tcW w:w="2268" w:type="dxa"/>
            <w:vAlign w:val="center"/>
          </w:tcPr>
          <w:p>
            <w:pPr>
              <w:pStyle w:val="12"/>
            </w:pPr>
            <w:r>
              <w:t>1间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档案室建设成本</w:t>
            </w:r>
          </w:p>
        </w:tc>
        <w:tc>
          <w:tcPr>
            <w:tcW w:w="5386" w:type="dxa"/>
            <w:vAlign w:val="center"/>
          </w:tcPr>
          <w:p>
            <w:pPr>
              <w:pStyle w:val="12"/>
            </w:pPr>
            <w:r>
              <w:t>档案室建设成本</w:t>
            </w:r>
          </w:p>
        </w:tc>
        <w:tc>
          <w:tcPr>
            <w:tcW w:w="2268" w:type="dxa"/>
            <w:vAlign w:val="center"/>
          </w:tcPr>
          <w:p>
            <w:pPr>
              <w:pStyle w:val="12"/>
            </w:pPr>
            <w:r>
              <w:t>≤120万元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竣工时间</w:t>
            </w:r>
          </w:p>
        </w:tc>
        <w:tc>
          <w:tcPr>
            <w:tcW w:w="5386" w:type="dxa"/>
            <w:vAlign w:val="center"/>
          </w:tcPr>
          <w:p>
            <w:pPr>
              <w:pStyle w:val="12"/>
            </w:pPr>
            <w:r>
              <w:t>竣工时间</w:t>
            </w:r>
          </w:p>
        </w:tc>
        <w:tc>
          <w:tcPr>
            <w:tcW w:w="2268" w:type="dxa"/>
            <w:vAlign w:val="center"/>
          </w:tcPr>
          <w:p>
            <w:pPr>
              <w:pStyle w:val="12"/>
            </w:pPr>
            <w:r>
              <w:t>2025年12月31日前</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推进档案数字化管理</w:t>
            </w:r>
          </w:p>
        </w:tc>
        <w:tc>
          <w:tcPr>
            <w:tcW w:w="5386" w:type="dxa"/>
            <w:vAlign w:val="center"/>
          </w:tcPr>
          <w:p>
            <w:pPr>
              <w:pStyle w:val="12"/>
            </w:pPr>
            <w:r>
              <w:t>推进档案数字化管理</w:t>
            </w:r>
          </w:p>
        </w:tc>
        <w:tc>
          <w:tcPr>
            <w:tcW w:w="2268" w:type="dxa"/>
            <w:vAlign w:val="center"/>
          </w:tcPr>
          <w:p>
            <w:pPr>
              <w:pStyle w:val="12"/>
            </w:pPr>
            <w:r>
              <w:t>推进</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提高档案事业发展信息化</w:t>
            </w:r>
          </w:p>
        </w:tc>
        <w:tc>
          <w:tcPr>
            <w:tcW w:w="5386" w:type="dxa"/>
            <w:vAlign w:val="center"/>
          </w:tcPr>
          <w:p>
            <w:pPr>
              <w:pStyle w:val="12"/>
            </w:pPr>
            <w:r>
              <w:t>提高档案事业发展信息化</w:t>
            </w:r>
          </w:p>
        </w:tc>
        <w:tc>
          <w:tcPr>
            <w:tcW w:w="2268" w:type="dxa"/>
            <w:vAlign w:val="center"/>
          </w:tcPr>
          <w:p>
            <w:pPr>
              <w:pStyle w:val="12"/>
            </w:pPr>
            <w:r>
              <w:t>有效提高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档案使用人员满意度</w:t>
            </w:r>
          </w:p>
        </w:tc>
        <w:tc>
          <w:tcPr>
            <w:tcW w:w="5386" w:type="dxa"/>
            <w:vAlign w:val="center"/>
          </w:tcPr>
          <w:p>
            <w:pPr>
              <w:pStyle w:val="12"/>
            </w:pPr>
            <w:r>
              <w:t>档案使用人员满意度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5、清廉魏州纪法教育馆(运维费）绩效目标表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13043425P00429310006X</w:t>
            </w:r>
          </w:p>
        </w:tc>
        <w:tc>
          <w:tcPr>
            <w:tcW w:w="2835" w:type="dxa"/>
            <w:vAlign w:val="center"/>
          </w:tcPr>
          <w:p>
            <w:pPr>
              <w:pStyle w:val="10"/>
            </w:pPr>
            <w:r>
              <w:t>项目名称</w:t>
            </w:r>
          </w:p>
        </w:tc>
        <w:tc>
          <w:tcPr>
            <w:tcW w:w="6095" w:type="dxa"/>
            <w:gridSpan w:val="3"/>
            <w:vAlign w:val="center"/>
          </w:tcPr>
          <w:p>
            <w:pPr>
              <w:pStyle w:val="12"/>
            </w:pPr>
            <w:r>
              <w:t>清廉魏州纪法教育馆(运维费）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用于清廉魏州纪法教育馆日常运行维护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1.通过廉洁文化教育基地运行维护，及时更新展览内容，加强新时代廉洁文化建设，持续优化社会风气。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场馆正常运行率</w:t>
            </w:r>
          </w:p>
        </w:tc>
        <w:tc>
          <w:tcPr>
            <w:tcW w:w="5386" w:type="dxa"/>
            <w:vAlign w:val="center"/>
          </w:tcPr>
          <w:p>
            <w:pPr>
              <w:pStyle w:val="12"/>
            </w:pPr>
            <w:r>
              <w:t>场馆正常运行率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运作场所个数</w:t>
            </w:r>
          </w:p>
        </w:tc>
        <w:tc>
          <w:tcPr>
            <w:tcW w:w="5386" w:type="dxa"/>
            <w:vAlign w:val="center"/>
          </w:tcPr>
          <w:p>
            <w:pPr>
              <w:pStyle w:val="12"/>
            </w:pPr>
            <w:r>
              <w:t>运作场所个数</w:t>
            </w:r>
          </w:p>
        </w:tc>
        <w:tc>
          <w:tcPr>
            <w:tcW w:w="2268" w:type="dxa"/>
            <w:vAlign w:val="center"/>
          </w:tcPr>
          <w:p>
            <w:pPr>
              <w:pStyle w:val="12"/>
            </w:pPr>
            <w:r>
              <w:t>1个</w:t>
            </w:r>
          </w:p>
        </w:tc>
        <w:tc>
          <w:tcPr>
            <w:tcW w:w="1276" w:type="dxa"/>
            <w:vAlign w:val="center"/>
          </w:tcPr>
          <w:p>
            <w:pPr>
              <w:pStyle w:val="12"/>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基地运行资金总额</w:t>
            </w:r>
          </w:p>
        </w:tc>
        <w:tc>
          <w:tcPr>
            <w:tcW w:w="5386" w:type="dxa"/>
            <w:vAlign w:val="center"/>
          </w:tcPr>
          <w:p>
            <w:pPr>
              <w:pStyle w:val="12"/>
            </w:pPr>
            <w:r>
              <w:t>基地运行资金总额</w:t>
            </w:r>
          </w:p>
        </w:tc>
        <w:tc>
          <w:tcPr>
            <w:tcW w:w="2268" w:type="dxa"/>
            <w:vAlign w:val="center"/>
          </w:tcPr>
          <w:p>
            <w:pPr>
              <w:pStyle w:val="12"/>
            </w:pPr>
            <w:r>
              <w:t>≤40万元</w:t>
            </w:r>
          </w:p>
        </w:tc>
        <w:tc>
          <w:tcPr>
            <w:tcW w:w="1276" w:type="dxa"/>
            <w:vAlign w:val="center"/>
          </w:tcPr>
          <w:p>
            <w:pPr>
              <w:pStyle w:val="12"/>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展览内容更新及时率</w:t>
            </w:r>
          </w:p>
        </w:tc>
        <w:tc>
          <w:tcPr>
            <w:tcW w:w="5386" w:type="dxa"/>
            <w:vAlign w:val="center"/>
          </w:tcPr>
          <w:p>
            <w:pPr>
              <w:pStyle w:val="12"/>
            </w:pPr>
            <w:r>
              <w:t>展览内容更新及时率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加强新时代廉洁文化建设</w:t>
            </w:r>
          </w:p>
        </w:tc>
        <w:tc>
          <w:tcPr>
            <w:tcW w:w="5386" w:type="dxa"/>
            <w:vAlign w:val="center"/>
          </w:tcPr>
          <w:p>
            <w:pPr>
              <w:pStyle w:val="12"/>
            </w:pPr>
            <w:r>
              <w:t>加强新时代廉洁文化建设</w:t>
            </w:r>
          </w:p>
        </w:tc>
        <w:tc>
          <w:tcPr>
            <w:tcW w:w="2268" w:type="dxa"/>
            <w:vAlign w:val="center"/>
          </w:tcPr>
          <w:p>
            <w:pPr>
              <w:pStyle w:val="12"/>
            </w:pPr>
            <w:r>
              <w:t>显著加强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持续优化社会风气</w:t>
            </w:r>
          </w:p>
        </w:tc>
        <w:tc>
          <w:tcPr>
            <w:tcW w:w="5386" w:type="dxa"/>
            <w:vAlign w:val="center"/>
          </w:tcPr>
          <w:p>
            <w:pPr>
              <w:pStyle w:val="12"/>
            </w:pPr>
            <w:r>
              <w:t>持续优化社会风气</w:t>
            </w:r>
          </w:p>
        </w:tc>
        <w:tc>
          <w:tcPr>
            <w:tcW w:w="2268" w:type="dxa"/>
            <w:vAlign w:val="center"/>
          </w:tcPr>
          <w:p>
            <w:pPr>
              <w:pStyle w:val="12"/>
            </w:pPr>
            <w:r>
              <w:t>持续优化</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参观者满意度</w:t>
            </w:r>
          </w:p>
        </w:tc>
        <w:tc>
          <w:tcPr>
            <w:tcW w:w="5386" w:type="dxa"/>
            <w:vAlign w:val="center"/>
          </w:tcPr>
          <w:p>
            <w:pPr>
              <w:pStyle w:val="12"/>
            </w:pPr>
            <w:r>
              <w:t>参观者满意度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222001魏县纪律检查委员会本级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魏县纪律检查委员会本级上年末固定资产金额为629.60万元（详见下表）。本年度拟购置固定资产总额为3.15万元，已按要求列入政府采购预算，详见政府采购预算表。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222001魏县纪律检查委员会本级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629.60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2165</w:t>
            </w:r>
          </w:p>
        </w:tc>
        <w:tc>
          <w:tcPr>
            <w:tcW w:w="2835" w:type="dxa"/>
            <w:vAlign w:val="center"/>
          </w:tcPr>
          <w:p>
            <w:pPr>
              <w:pStyle w:val="11"/>
            </w:pPr>
            <w:r>
              <w:t>222.00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1860</w:t>
            </w:r>
          </w:p>
        </w:tc>
        <w:tc>
          <w:tcPr>
            <w:tcW w:w="2835" w:type="dxa"/>
            <w:vAlign w:val="center"/>
          </w:tcPr>
          <w:p>
            <w:pPr>
              <w:pStyle w:val="11"/>
            </w:pPr>
            <w:r>
              <w:t>190.70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396.10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40941"/>
    <w:rsid w:val="33510D98"/>
    <w:rsid w:val="3853771C"/>
    <w:rsid w:val="3A764657"/>
    <w:rsid w:val="3ACF0E38"/>
    <w:rsid w:val="3E7574C6"/>
    <w:rsid w:val="3E771D08"/>
    <w:rsid w:val="3F4613A4"/>
    <w:rsid w:val="676A46EE"/>
    <w:rsid w:val="68B968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TotalTime>7</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2025-02-18T15:14:00Z</dcterms:created>
  <dc:creator>Administrator</dc:creator>
  <cp:lastModifiedBy>Administrator</cp:lastModifiedBy>
  <dcterms:modified xsi:type="dcterms:W3CDTF">2025-02-20T01:29:14Z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E2DEB6D0704C4A0688924F772D36ADDE</vt:lpwstr>
  </property>
</Properties>
</file>