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邯郸市公安局交通巡逻警察支队魏县大队</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（草案）</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邯郸市公安局交通巡逻警察支队魏县大队编制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XXX财政（厅/局）审核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1.红绿灯电子警察设备维护费、停车场租赁费绩效目标表</w:t>
        </w:r>
        <w:r>
          <w:tab/>
        </w:r>
        <w:r>
          <w:fldChar w:fldCharType="begin"/>
        </w:r>
        <w:r>
          <w:instrText xml:space="preserve">PAGEREF _Toc_4_4_0000000004 \h</w:instrText>
        </w:r>
        <w:r>
          <w:fldChar w:fldCharType="separate"/>
        </w:r>
        <w:r>
          <w:t xml:space="preserve">4</w:t>
        </w:r>
        <w:r>
          <w:fldChar w:fldCharType="end"/>
        </w:r>
      </w:hyperlink>
    </w:p>
    <w:p>
      <w:pPr>
        <w:pStyle w:val="TOC1"/>
        <w:tabs>
          <w:tab w:val="right" w:leader="dot" w:pos="9282"/>
        </w:tabs>
      </w:pPr>
      <w:hyperlink w:anchor="_Toc_4_4_0000000005" w:history="1">
        <w:r>
          <w:t xml:space="preserve">2.冀财政法[2024]50号关于提前下达2025年中央政法纪检监察转移支付资金绩效目标表</w:t>
        </w:r>
        <w:r>
          <w:tab/>
        </w:r>
        <w:r>
          <w:fldChar w:fldCharType="begin"/>
        </w:r>
        <w:r>
          <w:instrText xml:space="preserve">PAGEREF _Toc_4_4_0000000005 \h</w:instrText>
        </w:r>
        <w:r>
          <w:fldChar w:fldCharType="separate"/>
        </w:r>
        <w:r>
          <w:t xml:space="preserve">5</w:t>
        </w:r>
        <w:r>
          <w:fldChar w:fldCharType="end"/>
        </w:r>
      </w:hyperlink>
    </w:p>
    <w:p>
      <w:pPr>
        <w:pStyle w:val="TOC1"/>
        <w:tabs>
          <w:tab w:val="right" w:leader="dot" w:pos="9282"/>
        </w:tabs>
      </w:pPr>
      <w:hyperlink w:anchor="_Toc_4_4_0000000006" w:history="1">
        <w:r>
          <w:t xml:space="preserve">3.冀财政法[2024]52号关于提前下达2025年省级基层公检法司转移支付资金绩效目标表</w:t>
        </w:r>
        <w:r>
          <w:tab/>
        </w:r>
        <w:r>
          <w:fldChar w:fldCharType="begin"/>
        </w:r>
        <w:r>
          <w:instrText xml:space="preserve">PAGEREF _Toc_4_4_0000000006 \h</w:instrText>
        </w:r>
        <w:r>
          <w:fldChar w:fldCharType="separate"/>
        </w:r>
        <w:r>
          <w:t xml:space="preserve">6</w:t>
        </w:r>
        <w:r>
          <w:fldChar w:fldCharType="end"/>
        </w:r>
      </w:hyperlink>
    </w:p>
    <w:p>
      <w:pPr>
        <w:pStyle w:val="TOC1"/>
        <w:tabs>
          <w:tab w:val="right" w:leader="dot" w:pos="9282"/>
        </w:tabs>
      </w:pPr>
      <w:hyperlink w:anchor="_Toc_4_4_0000000007" w:history="1">
        <w:r>
          <w:t xml:space="preserve">4.退伍人员工资绩效目标表</w:t>
        </w:r>
        <w:r>
          <w:tab/>
        </w:r>
        <w:r>
          <w:fldChar w:fldCharType="begin"/>
        </w:r>
        <w:r>
          <w:instrText xml:space="preserve">PAGEREF _Toc_4_4_0000000007 \h</w:instrText>
        </w:r>
        <w:r>
          <w:fldChar w:fldCharType="separate"/>
        </w:r>
        <w:r>
          <w:t xml:space="preserve">7</w:t>
        </w:r>
        <w:r>
          <w:fldChar w:fldCharType="end"/>
        </w:r>
      </w:hyperlink>
    </w:p>
    <w:p>
      <w:pPr>
        <w:pStyle w:val="TOC1"/>
        <w:tabs>
          <w:tab w:val="right" w:leader="dot" w:pos="9282"/>
        </w:tabs>
      </w:pPr>
      <w:hyperlink w:anchor="_Toc_4_4_0000000008" w:history="1">
        <w:r>
          <w:t xml:space="preserve">5.政府购买服务招录辅警人员工资绩效目标表</w:t>
        </w:r>
        <w:r>
          <w:tab/>
        </w:r>
        <w:r>
          <w:fldChar w:fldCharType="begin"/>
        </w:r>
        <w:r>
          <w:instrText xml:space="preserve">PAGEREF _Toc_4_4_0000000008 \h</w:instrText>
        </w:r>
        <w:r>
          <w:fldChar w:fldCharType="separate"/>
        </w:r>
        <w:r>
          <w:t xml:space="preserve">8</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维护全县良好的道路交通秩序，缓解城市交通拥堵，提高道路通行能力；加强公路巡警建设，提升道路交通秩序管理水平。处理道路交通事故和交通事故肇事逃逸案件的查缉侦破；组织开展事故分析研判和预防对策的研究及隐患排查等预防工作；妥善处理由交通事故引发的信访工作，提高全县交通事故处理工作规范化、科学化水平，让群众在每起案件中都感受到公平正义，努力实现“事故少、秩序好、道路畅通、群众满意”的总体工作目标。开展源头监管的信息研判工作，对道路交通安全责任单位进行监管，通过监管平台，加大对重点车辆和驾驶人的监管力度，实现全县交通参与者交通安全意识、交通法制意识及交通文明意识明显增强，交通违法行为明显减少，因交通陋习和不文明交通行为导致的交通事故明显下降，守法、文明出行道德规范和良好风尚初步形成。</w:t>
      </w:r>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保障道路交通安全、畅通、有序，为人民生活和社会安定服务，维护全县良好的道路交通秩序，缓解交通拥堵，提高道路通行能力，为全县经济社会发展提供良好的道路交通环境维护全县良好的道路交通秩序，缓解城市交通拥堵，提高道路通行能力；加强公路巡警建设，提升道路交通秩序管理水平。                                                                                提高全县交通事故处理工作规范化、科学化水平，让群众在每起案件中都感受到公平正义，努力实现“事故少、秩序好、道路畅通、群众满意”的总体工作目标。设立专门机构，建立专门队伍、配发专门装备，创办与媒体合办电视、报刊、广播、网站、短信平台等专门媒体，开展宣传教育活动，不断提高全民交通安全、文明出行意识，掌握全县各类机动车辆的保有量及车辆技术参数和机动车安全技术检验，加大对报废车的管控力度，确保无故障车上路行驶。提高全县交警系统信息反馈质量和档案管理水平，提高机关文件流转效率和文印质量，杜绝因信息不畅造成各级执行力、落实力不强。</w:t>
      </w:r>
    </w:p>
    <w:p>
      <w:pPr>
        <w:pStyle w:val="插入文本样式-插入职责分类绩效目标文件"/>
      </w:pP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一）全面提升我县交通管理信息化建设水平。利用现有电子警察、智能卡口、球机抓拍设备加大对道路交通违法行为的抓拍力度，净化道路交通环境，有效遏制交通事故发生。同时发挥指挥中心优势，通过视频监控及时发现道路交通拥堵和交通事故，及时安排警力进行处置，最大限度地维护和减少人民群众生命财产安全。</w:t>
      </w:r>
    </w:p>
    <w:p>
      <w:pPr>
        <w:pStyle w:val="插入文本样式-插入实现年度发展规划目标的保障措施文件"/>
      </w:pPr>
      <w:r>
        <w:t xml:space="preserve">（二）加强重点车辆及驾驶员管理，落实源头监管措施，重点对“两客一危一货一校”车辆及驾驶员进行监管，从严查处超速超员、疲劳驾驶、超限超载等严重交通违法行为，不断提高人民群众安全感和满意度。</w:t>
      </w:r>
    </w:p>
    <w:p>
      <w:pPr>
        <w:pStyle w:val="插入文本样式-插入实现年度发展规划目标的保障措施文件"/>
      </w:pPr>
      <w:r>
        <w:t xml:space="preserve">（三）严厉打击交通违法犯罪案件，保护人民生命安全。一是加大醉驾、严重超员等危险家事案件的查处力度，二是依法打击交通肇事罪，维护社会和谐稳定。</w:t>
      </w:r>
    </w:p>
    <w:p>
      <w:pPr>
        <w:pStyle w:val="插入文本样式-插入实现年度发展规划目标的保障措施文件"/>
      </w:pPr>
      <w:r>
        <w:t xml:space="preserve">（四）努力提高交警队伍素质，加强对业务窗口和一线执勤民警的业务法律知识培训，强化执法责任担当，素质强警，着力提升民警的职业化，专业化素质，在素质强警上提升交警队伍战斗力。</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1.红绿灯电子警察设备维护费、停车场租赁费绩效目标表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451001邯郸市公安局交通巡逻警察支队魏县大队本级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13043425P00429310009Q</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红绿灯电子警察设备维护费、停车场租赁费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用于支付红绿灯电子警察维护费电费、停车场租赁费。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20%</w:t>
            </w: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1.保障交通设施正常运行，确保全县交通秩序畅通 ，减少交通事故发生。</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事故停车场租赁费</w:t>
            </w:r>
          </w:p>
        </w:tc>
        <w:tc>
          <w:tcPr>
            <w:tcW w:w="2891" w:type="dxa"/>
            <w:vAlign w:val="center"/>
          </w:tcPr>
          <w:p>
            <w:pPr>
              <w:pStyle w:val="单元格样式2"/>
            </w:pPr>
            <w:r>
              <w:t xml:space="preserve">3处事故停车场租赁费</w:t>
            </w:r>
          </w:p>
        </w:tc>
        <w:tc>
          <w:tcPr>
            <w:tcW w:w="1276" w:type="dxa"/>
            <w:vAlign w:val="center"/>
          </w:tcPr>
          <w:p>
            <w:pPr>
              <w:pStyle w:val="单元格样式2"/>
            </w:pPr>
            <w:r>
              <w:t xml:space="preserve">3处</w:t>
            </w:r>
          </w:p>
        </w:tc>
        <w:tc>
          <w:tcPr>
            <w:tcW w:w="1843" w:type="dxa"/>
            <w:vAlign w:val="center"/>
          </w:tcPr>
          <w:p>
            <w:pPr>
              <w:pStyle w:val="单元格样式2"/>
            </w:pPr>
            <w:r>
              <w:t xml:space="preserve">《中华人民共和国道路交通法》</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保障红绿灯、电子警察等设备数量</w:t>
            </w:r>
          </w:p>
        </w:tc>
        <w:tc>
          <w:tcPr>
            <w:tcW w:w="2891" w:type="dxa"/>
            <w:vAlign w:val="center"/>
          </w:tcPr>
          <w:p>
            <w:pPr>
              <w:pStyle w:val="单元格样式2"/>
            </w:pPr>
            <w:r>
              <w:t xml:space="preserve">75个红绿灯、117处电子警察、光纤租赁费、3个停车场</w:t>
            </w:r>
          </w:p>
        </w:tc>
        <w:tc>
          <w:tcPr>
            <w:tcW w:w="1276" w:type="dxa"/>
            <w:vAlign w:val="center"/>
          </w:tcPr>
          <w:p>
            <w:pPr>
              <w:pStyle w:val="单元格样式2"/>
            </w:pPr>
            <w:r>
              <w:t xml:space="preserve">≥200个</w:t>
            </w:r>
          </w:p>
        </w:tc>
        <w:tc>
          <w:tcPr>
            <w:tcW w:w="1843" w:type="dxa"/>
            <w:vAlign w:val="center"/>
          </w:tcPr>
          <w:p>
            <w:pPr>
              <w:pStyle w:val="单元格样式2"/>
            </w:pPr>
            <w:r>
              <w:t xml:space="preserve">《中华人民共和国道路交通法》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设备维修验收合格率</w:t>
            </w:r>
          </w:p>
        </w:tc>
        <w:tc>
          <w:tcPr>
            <w:tcW w:w="2891" w:type="dxa"/>
            <w:vAlign w:val="center"/>
          </w:tcPr>
          <w:p>
            <w:pPr>
              <w:pStyle w:val="单元格样式2"/>
            </w:pPr>
            <w:r>
              <w:t xml:space="preserve">设备维修验收合格率</w:t>
            </w:r>
          </w:p>
        </w:tc>
        <w:tc>
          <w:tcPr>
            <w:tcW w:w="1276" w:type="dxa"/>
            <w:vAlign w:val="center"/>
          </w:tcPr>
          <w:p>
            <w:pPr>
              <w:pStyle w:val="单元格样式2"/>
            </w:pPr>
            <w:r>
              <w:t xml:space="preserve">100%</w:t>
            </w:r>
          </w:p>
        </w:tc>
        <w:tc>
          <w:tcPr>
            <w:tcW w:w="1843" w:type="dxa"/>
            <w:vAlign w:val="center"/>
          </w:tcPr>
          <w:p>
            <w:pPr>
              <w:pStyle w:val="单元格样式2"/>
            </w:pPr>
            <w:r>
              <w:t xml:space="preserve">《中华人民共和国道路交通法》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红绿灯电子警察设备维护费、停车场租赁费成本</w:t>
            </w:r>
          </w:p>
        </w:tc>
        <w:tc>
          <w:tcPr>
            <w:tcW w:w="2891" w:type="dxa"/>
            <w:vAlign w:val="center"/>
          </w:tcPr>
          <w:p>
            <w:pPr>
              <w:pStyle w:val="单元格样式2"/>
            </w:pPr>
            <w:r>
              <w:t xml:space="preserve">红绿灯电子警察设备维护费、停车场租赁费成本</w:t>
            </w:r>
          </w:p>
        </w:tc>
        <w:tc>
          <w:tcPr>
            <w:tcW w:w="1276" w:type="dxa"/>
            <w:vAlign w:val="center"/>
          </w:tcPr>
          <w:p>
            <w:pPr>
              <w:pStyle w:val="单元格样式2"/>
            </w:pPr>
            <w:r>
              <w:t xml:space="preserve">≤180万元</w:t>
            </w:r>
          </w:p>
        </w:tc>
        <w:tc>
          <w:tcPr>
            <w:tcW w:w="1843" w:type="dxa"/>
            <w:vAlign w:val="center"/>
          </w:tcPr>
          <w:p>
            <w:pPr>
              <w:pStyle w:val="单元格样式2"/>
            </w:pPr>
            <w:r>
              <w:t xml:space="preserve">《中华人民共和国道路交通法》</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按期完成率</w:t>
            </w:r>
          </w:p>
        </w:tc>
        <w:tc>
          <w:tcPr>
            <w:tcW w:w="2891" w:type="dxa"/>
            <w:vAlign w:val="center"/>
          </w:tcPr>
          <w:p>
            <w:pPr>
              <w:pStyle w:val="单元格样式2"/>
            </w:pPr>
            <w:r>
              <w:t xml:space="preserve">按期完成率</w:t>
            </w:r>
          </w:p>
        </w:tc>
        <w:tc>
          <w:tcPr>
            <w:tcW w:w="1276" w:type="dxa"/>
            <w:vAlign w:val="center"/>
          </w:tcPr>
          <w:p>
            <w:pPr>
              <w:pStyle w:val="单元格样式2"/>
            </w:pPr>
            <w:r>
              <w:t xml:space="preserve">100%</w:t>
            </w:r>
          </w:p>
        </w:tc>
        <w:tc>
          <w:tcPr>
            <w:tcW w:w="1843" w:type="dxa"/>
            <w:vAlign w:val="center"/>
          </w:tcPr>
          <w:p>
            <w:pPr>
              <w:pStyle w:val="单元格样式2"/>
            </w:pPr>
            <w:r>
              <w:t xml:space="preserve">《中华人民共和国道路交通法》</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交通事故下降率</w:t>
            </w:r>
          </w:p>
        </w:tc>
        <w:tc>
          <w:tcPr>
            <w:tcW w:w="2891" w:type="dxa"/>
            <w:vAlign w:val="center"/>
          </w:tcPr>
          <w:p>
            <w:pPr>
              <w:pStyle w:val="单元格样式2"/>
            </w:pPr>
            <w:r>
              <w:t xml:space="preserve">交通事故数量比上半年同期下降的比例</w:t>
            </w:r>
          </w:p>
        </w:tc>
        <w:tc>
          <w:tcPr>
            <w:tcW w:w="1276" w:type="dxa"/>
            <w:vAlign w:val="center"/>
          </w:tcPr>
          <w:p>
            <w:pPr>
              <w:pStyle w:val="单元格样式2"/>
            </w:pPr>
            <w:r>
              <w:t xml:space="preserve">≥10%</w:t>
            </w:r>
          </w:p>
        </w:tc>
        <w:tc>
          <w:tcPr>
            <w:tcW w:w="1843" w:type="dxa"/>
            <w:vAlign w:val="center"/>
          </w:tcPr>
          <w:p>
            <w:pPr>
              <w:pStyle w:val="单元格样式2"/>
            </w:pPr>
            <w:r>
              <w:t xml:space="preserve">《中华人民共和国道路交通法》</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持续提高交通安全秩序</w:t>
            </w:r>
          </w:p>
        </w:tc>
        <w:tc>
          <w:tcPr>
            <w:tcW w:w="2891" w:type="dxa"/>
            <w:vAlign w:val="center"/>
          </w:tcPr>
          <w:p>
            <w:pPr>
              <w:pStyle w:val="单元格样式2"/>
            </w:pPr>
            <w:r>
              <w:t xml:space="preserve">持续提高交通安全秩序（是/否）</w:t>
            </w:r>
          </w:p>
        </w:tc>
        <w:tc>
          <w:tcPr>
            <w:tcW w:w="1276" w:type="dxa"/>
            <w:vAlign w:val="center"/>
          </w:tcPr>
          <w:p>
            <w:pPr>
              <w:pStyle w:val="单元格样式2"/>
            </w:pPr>
            <w:r>
              <w:t xml:space="preserve">持续提高</w:t>
            </w:r>
          </w:p>
        </w:tc>
        <w:tc>
          <w:tcPr>
            <w:tcW w:w="1843" w:type="dxa"/>
            <w:vAlign w:val="center"/>
          </w:tcPr>
          <w:p>
            <w:pPr>
              <w:pStyle w:val="单元格样式2"/>
            </w:pPr>
            <w:r>
              <w:t xml:space="preserve">《中华人民共和国道路交通法》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群众对交通管理工作的满意</w:t>
            </w:r>
          </w:p>
        </w:tc>
        <w:tc>
          <w:tcPr>
            <w:tcW w:w="2891" w:type="dxa"/>
            <w:vAlign w:val="center"/>
          </w:tcPr>
          <w:p>
            <w:pPr>
              <w:pStyle w:val="单元格样式2"/>
            </w:pPr>
            <w:r>
              <w:t xml:space="preserve">群众对交通管理工作的满意</w:t>
            </w:r>
          </w:p>
          <w:p>
            <w:pPr>
              <w:pStyle w:val="单元格样式2"/>
            </w:pPr>
          </w:p>
        </w:tc>
        <w:tc>
          <w:tcPr>
            <w:tcW w:w="1276" w:type="dxa"/>
            <w:vAlign w:val="center"/>
          </w:tcPr>
          <w:p>
            <w:pPr>
              <w:pStyle w:val="单元格样式2"/>
            </w:pPr>
            <w:r>
              <w:t xml:space="preserve">≥90%</w:t>
            </w:r>
          </w:p>
        </w:tc>
        <w:tc>
          <w:tcPr>
            <w:tcW w:w="1843" w:type="dxa"/>
            <w:vAlign w:val="center"/>
          </w:tcPr>
          <w:p>
            <w:pPr>
              <w:pStyle w:val="单元格样式2"/>
            </w:pPr>
            <w:r>
              <w:t xml:space="preserve">《中华人民共和国道路交通法》</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2.冀财政法[2024]50号关于提前下达2025年中央政法纪检监察转移支付资金绩效目标表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451001邯郸市公安局交通巡逻警察支队魏县大队本级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13043425P00X5GB10001K</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冀财政法[2024]50号关于提前下达2025年中央政法纪检监察转移支付资金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54.00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54.00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用于支付事故案件鉴定费、办案装备费支出。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30%</w:t>
            </w: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1.进一步提高办案质量，完善交通管理装备配置</w:t>
            </w:r>
            <w:r>
              <w:rPr/>
              <w:tab/>
            </w:r>
            <w:r>
              <w:rPr/>
              <w:tab/>
            </w:r>
            <w:r>
              <w:rPr/>
              <w:tab/>
            </w:r>
            <w:r>
              <w:rPr/>
              <w:tab/>
            </w:r>
            <w:r>
              <w:rPr/>
              <w:tab/>
            </w:r>
            <w:r>
              <w:rPr/>
              <w:tab/>
            </w:r>
            <w:r>
              <w:rPr/>
              <w:tab/>
            </w:r>
            <w:r>
              <w:rPr/>
              <w:tab/>
            </w:r>
            <w:r>
              <w:rPr/>
              <w:tab/>
            </w:r>
            <w:r>
              <w:rPr/>
              <w:tab/>
            </w:r>
            <w:r>
              <w:rPr/>
              <w:tab/>
            </w:r>
          </w:p>
          <w:p>
            <w:pPr>
              <w:pStyle w:val="单元格样式2"/>
            </w:pPr>
            <w: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办案数量</w:t>
            </w:r>
          </w:p>
        </w:tc>
        <w:tc>
          <w:tcPr>
            <w:tcW w:w="2891" w:type="dxa"/>
            <w:vAlign w:val="center"/>
          </w:tcPr>
          <w:p>
            <w:pPr>
              <w:pStyle w:val="单元格样式2"/>
            </w:pPr>
            <w:r>
              <w:t xml:space="preserve">专项资金用于办案数量</w:t>
            </w:r>
          </w:p>
        </w:tc>
        <w:tc>
          <w:tcPr>
            <w:tcW w:w="1276" w:type="dxa"/>
            <w:vAlign w:val="center"/>
          </w:tcPr>
          <w:p>
            <w:pPr>
              <w:pStyle w:val="单元格样式2"/>
            </w:pPr>
            <w:r>
              <w:t xml:space="preserve">≥100起</w:t>
            </w:r>
          </w:p>
        </w:tc>
        <w:tc>
          <w:tcPr>
            <w:tcW w:w="1843" w:type="dxa"/>
            <w:vAlign w:val="center"/>
          </w:tcPr>
          <w:p>
            <w:pPr>
              <w:pStyle w:val="单元格样式2"/>
            </w:pPr>
            <w:r>
              <w:t xml:space="preserve">《中华人民共和国道路交通安全法》</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购买装备数量</w:t>
            </w:r>
          </w:p>
        </w:tc>
        <w:tc>
          <w:tcPr>
            <w:tcW w:w="2891" w:type="dxa"/>
            <w:vAlign w:val="center"/>
          </w:tcPr>
          <w:p>
            <w:pPr>
              <w:pStyle w:val="单元格样式2"/>
            </w:pPr>
            <w:r>
              <w:t xml:space="preserve">购买交通管理装备数量</w:t>
            </w:r>
          </w:p>
        </w:tc>
        <w:tc>
          <w:tcPr>
            <w:tcW w:w="1276" w:type="dxa"/>
            <w:vAlign w:val="center"/>
          </w:tcPr>
          <w:p>
            <w:pPr>
              <w:pStyle w:val="单元格样式2"/>
            </w:pPr>
            <w:r>
              <w:t xml:space="preserve">≥100个</w:t>
            </w:r>
          </w:p>
        </w:tc>
        <w:tc>
          <w:tcPr>
            <w:tcW w:w="1843" w:type="dxa"/>
            <w:vAlign w:val="center"/>
          </w:tcPr>
          <w:p>
            <w:pPr>
              <w:pStyle w:val="单元格样式2"/>
            </w:pPr>
            <w:r>
              <w:t xml:space="preserve">2025年业务装备购买计划</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购买骑行服服装数量</w:t>
            </w:r>
          </w:p>
        </w:tc>
        <w:tc>
          <w:tcPr>
            <w:tcW w:w="2891" w:type="dxa"/>
            <w:vAlign w:val="center"/>
          </w:tcPr>
          <w:p>
            <w:pPr>
              <w:pStyle w:val="单元格样式2"/>
            </w:pPr>
            <w:r>
              <w:t xml:space="preserve">购买骑行服服装数量</w:t>
            </w:r>
          </w:p>
        </w:tc>
        <w:tc>
          <w:tcPr>
            <w:tcW w:w="1276" w:type="dxa"/>
            <w:vAlign w:val="center"/>
          </w:tcPr>
          <w:p>
            <w:pPr>
              <w:pStyle w:val="单元格样式2"/>
            </w:pPr>
            <w:r>
              <w:t xml:space="preserve">≥100套</w:t>
            </w:r>
          </w:p>
        </w:tc>
        <w:tc>
          <w:tcPr>
            <w:tcW w:w="1843" w:type="dxa"/>
            <w:vAlign w:val="center"/>
          </w:tcPr>
          <w:p>
            <w:pPr>
              <w:pStyle w:val="单元格样式2"/>
            </w:pPr>
            <w:r>
              <w:t xml:space="preserve">2025年业务装备购买计划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交通事故处理办结率</w:t>
            </w:r>
          </w:p>
        </w:tc>
        <w:tc>
          <w:tcPr>
            <w:tcW w:w="2891" w:type="dxa"/>
            <w:vAlign w:val="center"/>
          </w:tcPr>
          <w:p>
            <w:pPr>
              <w:pStyle w:val="单元格样式2"/>
            </w:pPr>
            <w:r>
              <w:t xml:space="preserve">已处理交通事故数占应处理交通事故数比率</w:t>
            </w:r>
          </w:p>
        </w:tc>
        <w:tc>
          <w:tcPr>
            <w:tcW w:w="1276" w:type="dxa"/>
            <w:vAlign w:val="center"/>
          </w:tcPr>
          <w:p>
            <w:pPr>
              <w:pStyle w:val="单元格样式2"/>
            </w:pPr>
            <w:r>
              <w:t xml:space="preserve">≥95%</w:t>
            </w:r>
          </w:p>
        </w:tc>
        <w:tc>
          <w:tcPr>
            <w:tcW w:w="1843" w:type="dxa"/>
            <w:vAlign w:val="center"/>
          </w:tcPr>
          <w:p>
            <w:pPr>
              <w:pStyle w:val="单元格样式2"/>
            </w:pPr>
            <w:r>
              <w:t xml:space="preserve">《中华人民共和国道路交通安全法》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购买装备质量达标率</w:t>
            </w:r>
          </w:p>
        </w:tc>
        <w:tc>
          <w:tcPr>
            <w:tcW w:w="2891" w:type="dxa"/>
            <w:vAlign w:val="center"/>
          </w:tcPr>
          <w:p>
            <w:pPr>
              <w:pStyle w:val="单元格样式2"/>
            </w:pPr>
            <w:r>
              <w:t xml:space="preserve">购买装备质量达标率</w:t>
            </w:r>
          </w:p>
        </w:tc>
        <w:tc>
          <w:tcPr>
            <w:tcW w:w="1276" w:type="dxa"/>
            <w:vAlign w:val="center"/>
          </w:tcPr>
          <w:p>
            <w:pPr>
              <w:pStyle w:val="单元格样式2"/>
            </w:pPr>
            <w:r>
              <w:t xml:space="preserve">≥95%</w:t>
            </w:r>
          </w:p>
        </w:tc>
        <w:tc>
          <w:tcPr>
            <w:tcW w:w="1843" w:type="dxa"/>
            <w:vAlign w:val="center"/>
          </w:tcPr>
          <w:p>
            <w:pPr>
              <w:pStyle w:val="单元格样式2"/>
            </w:pPr>
            <w:r>
              <w:t xml:space="preserve">《中华人民共和国道路交通安全法》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服装验收合格率</w:t>
            </w:r>
          </w:p>
        </w:tc>
        <w:tc>
          <w:tcPr>
            <w:tcW w:w="2891" w:type="dxa"/>
            <w:vAlign w:val="center"/>
          </w:tcPr>
          <w:p>
            <w:pPr>
              <w:pStyle w:val="单元格样式2"/>
            </w:pPr>
            <w:r>
              <w:t xml:space="preserve">服装验收合格率</w:t>
            </w:r>
          </w:p>
        </w:tc>
        <w:tc>
          <w:tcPr>
            <w:tcW w:w="1276" w:type="dxa"/>
            <w:vAlign w:val="center"/>
          </w:tcPr>
          <w:p>
            <w:pPr>
              <w:pStyle w:val="单元格样式2"/>
            </w:pPr>
            <w:r>
              <w:t xml:space="preserve">≥95%</w:t>
            </w:r>
          </w:p>
        </w:tc>
        <w:tc>
          <w:tcPr>
            <w:tcW w:w="1843" w:type="dxa"/>
            <w:vAlign w:val="center"/>
          </w:tcPr>
          <w:p>
            <w:pPr>
              <w:pStyle w:val="单元格样式2"/>
            </w:pPr>
            <w:r>
              <w:t xml:space="preserve">2025年业务装备购买计划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事故车辆检验鉴定费成本</w:t>
            </w:r>
          </w:p>
        </w:tc>
        <w:tc>
          <w:tcPr>
            <w:tcW w:w="2891" w:type="dxa"/>
            <w:vAlign w:val="center"/>
          </w:tcPr>
          <w:p>
            <w:pPr>
              <w:pStyle w:val="单元格样式2"/>
            </w:pPr>
            <w:r>
              <w:t xml:space="preserve">用于事故案件车辆检验鉴定费成本</w:t>
            </w:r>
          </w:p>
        </w:tc>
        <w:tc>
          <w:tcPr>
            <w:tcW w:w="1276" w:type="dxa"/>
            <w:vAlign w:val="center"/>
          </w:tcPr>
          <w:p>
            <w:pPr>
              <w:pStyle w:val="单元格样式2"/>
            </w:pPr>
            <w:r>
              <w:t xml:space="preserve">≤37.8万元</w:t>
            </w:r>
          </w:p>
        </w:tc>
        <w:tc>
          <w:tcPr>
            <w:tcW w:w="1843" w:type="dxa"/>
            <w:vAlign w:val="center"/>
          </w:tcPr>
          <w:p>
            <w:pPr>
              <w:pStyle w:val="单元格样式2"/>
            </w:pPr>
            <w:r>
              <w:t xml:space="preserve">《中华人民共和国道路交通安全法》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装备购置成本</w:t>
            </w:r>
          </w:p>
        </w:tc>
        <w:tc>
          <w:tcPr>
            <w:tcW w:w="2891" w:type="dxa"/>
            <w:vAlign w:val="center"/>
          </w:tcPr>
          <w:p>
            <w:pPr>
              <w:pStyle w:val="单元格样式2"/>
            </w:pPr>
            <w:r>
              <w:t xml:space="preserve">购买交通管理装备成本</w:t>
            </w:r>
          </w:p>
        </w:tc>
        <w:tc>
          <w:tcPr>
            <w:tcW w:w="1276" w:type="dxa"/>
            <w:vAlign w:val="center"/>
          </w:tcPr>
          <w:p>
            <w:pPr>
              <w:pStyle w:val="单元格样式2"/>
            </w:pPr>
            <w:r>
              <w:t xml:space="preserve">≤8.2万元</w:t>
            </w:r>
          </w:p>
        </w:tc>
        <w:tc>
          <w:tcPr>
            <w:tcW w:w="1843" w:type="dxa"/>
            <w:vAlign w:val="center"/>
          </w:tcPr>
          <w:p>
            <w:pPr>
              <w:pStyle w:val="单元格样式2"/>
            </w:pPr>
            <w:r>
              <w:t xml:space="preserve">《中华人民共和国道路交通安全法》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购买骑行服成本</w:t>
            </w:r>
          </w:p>
        </w:tc>
        <w:tc>
          <w:tcPr>
            <w:tcW w:w="2891" w:type="dxa"/>
            <w:vAlign w:val="center"/>
          </w:tcPr>
          <w:p>
            <w:pPr>
              <w:pStyle w:val="单元格样式2"/>
            </w:pPr>
            <w:r>
              <w:t xml:space="preserve">购买骑行服成本</w:t>
            </w:r>
          </w:p>
        </w:tc>
        <w:tc>
          <w:tcPr>
            <w:tcW w:w="1276" w:type="dxa"/>
            <w:vAlign w:val="center"/>
          </w:tcPr>
          <w:p>
            <w:pPr>
              <w:pStyle w:val="单元格样式2"/>
            </w:pPr>
            <w:r>
              <w:t xml:space="preserve">≤8万元</w:t>
            </w:r>
          </w:p>
        </w:tc>
        <w:tc>
          <w:tcPr>
            <w:tcW w:w="1843" w:type="dxa"/>
            <w:vAlign w:val="center"/>
          </w:tcPr>
          <w:p>
            <w:pPr>
              <w:pStyle w:val="单元格样式2"/>
            </w:pPr>
            <w:r>
              <w:t xml:space="preserve">《中华人民共和国道路交通安全法》</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治安、刑事案件处理及时性</w:t>
            </w:r>
          </w:p>
        </w:tc>
        <w:tc>
          <w:tcPr>
            <w:tcW w:w="2891" w:type="dxa"/>
            <w:vAlign w:val="center"/>
          </w:tcPr>
          <w:p>
            <w:pPr>
              <w:pStyle w:val="单元格样式2"/>
            </w:pPr>
            <w:r>
              <w:t xml:space="preserve">用于案件处理的平均时间</w:t>
            </w:r>
          </w:p>
        </w:tc>
        <w:tc>
          <w:tcPr>
            <w:tcW w:w="1276" w:type="dxa"/>
            <w:vAlign w:val="center"/>
          </w:tcPr>
          <w:p>
            <w:pPr>
              <w:pStyle w:val="单元格样式2"/>
            </w:pPr>
            <w:r>
              <w:t xml:space="preserve">及时</w:t>
            </w:r>
          </w:p>
        </w:tc>
        <w:tc>
          <w:tcPr>
            <w:tcW w:w="1843" w:type="dxa"/>
            <w:vAlign w:val="center"/>
          </w:tcPr>
          <w:p>
            <w:pPr>
              <w:pStyle w:val="单元格样式2"/>
            </w:pPr>
            <w:r>
              <w:t xml:space="preserve">《中华人民共和国道路交通安全法》</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因交通事故财产损失降低率</w:t>
            </w:r>
          </w:p>
        </w:tc>
        <w:tc>
          <w:tcPr>
            <w:tcW w:w="2891" w:type="dxa"/>
            <w:vAlign w:val="center"/>
          </w:tcPr>
          <w:p>
            <w:pPr>
              <w:pStyle w:val="单元格样式2"/>
            </w:pPr>
            <w:r>
              <w:t xml:space="preserve">因交通事故财产损失降低率</w:t>
            </w:r>
          </w:p>
        </w:tc>
        <w:tc>
          <w:tcPr>
            <w:tcW w:w="1276" w:type="dxa"/>
            <w:vAlign w:val="center"/>
          </w:tcPr>
          <w:p>
            <w:pPr>
              <w:pStyle w:val="单元格样式2"/>
            </w:pPr>
            <w:r>
              <w:t xml:space="preserve">≥30%</w:t>
            </w:r>
          </w:p>
        </w:tc>
        <w:tc>
          <w:tcPr>
            <w:tcW w:w="1843" w:type="dxa"/>
            <w:vAlign w:val="center"/>
          </w:tcPr>
          <w:p>
            <w:pPr>
              <w:pStyle w:val="单元格样式2"/>
            </w:pPr>
            <w:r>
              <w:t xml:space="preserve">《中华人民共和国道路交通安全法》</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保障道路交通畅通持续提高</w:t>
            </w:r>
          </w:p>
        </w:tc>
        <w:tc>
          <w:tcPr>
            <w:tcW w:w="2891" w:type="dxa"/>
            <w:vAlign w:val="center"/>
          </w:tcPr>
          <w:p>
            <w:pPr>
              <w:pStyle w:val="单元格样式2"/>
            </w:pPr>
            <w:r>
              <w:t xml:space="preserve">保障道路交通畅通、安全、有序</w:t>
            </w:r>
          </w:p>
        </w:tc>
        <w:tc>
          <w:tcPr>
            <w:tcW w:w="1276" w:type="dxa"/>
            <w:vAlign w:val="center"/>
          </w:tcPr>
          <w:p>
            <w:pPr>
              <w:pStyle w:val="单元格样式2"/>
            </w:pPr>
            <w:r>
              <w:t xml:space="preserve">持续提高</w:t>
            </w:r>
          </w:p>
        </w:tc>
        <w:tc>
          <w:tcPr>
            <w:tcW w:w="1843" w:type="dxa"/>
            <w:vAlign w:val="center"/>
          </w:tcPr>
          <w:p>
            <w:pPr>
              <w:pStyle w:val="单元格样式2"/>
            </w:pPr>
            <w:r>
              <w:t xml:space="preserve">《中华人民共和国道路交通安全法》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群众对交通管理工作的满意度</w:t>
            </w:r>
          </w:p>
        </w:tc>
        <w:tc>
          <w:tcPr>
            <w:tcW w:w="2891" w:type="dxa"/>
            <w:vAlign w:val="center"/>
          </w:tcPr>
          <w:p>
            <w:pPr>
              <w:pStyle w:val="单元格样式2"/>
            </w:pPr>
            <w:r>
              <w:t xml:space="preserve">通过问卷调查满意度</w:t>
            </w:r>
          </w:p>
        </w:tc>
        <w:tc>
          <w:tcPr>
            <w:tcW w:w="1276" w:type="dxa"/>
            <w:vAlign w:val="center"/>
          </w:tcPr>
          <w:p>
            <w:pPr>
              <w:pStyle w:val="单元格样式2"/>
            </w:pPr>
            <w:r>
              <w:t xml:space="preserve">≥90%</w:t>
            </w:r>
          </w:p>
        </w:tc>
        <w:tc>
          <w:tcPr>
            <w:tcW w:w="1843" w:type="dxa"/>
            <w:vAlign w:val="center"/>
          </w:tcPr>
          <w:p>
            <w:pPr>
              <w:pStyle w:val="单元格样式2"/>
            </w:pPr>
            <w:r>
              <w:t xml:space="preserve">《中华人民共和国道路交通安全法》</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3.冀财政法[2024]52号关于提前下达2025年省级基层公检法司转移支付资金绩效目标表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451001邯郸市公安局交通巡逻警察支队魏县大队本级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13043425P004MEK10001X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冀财政法[2024]52号关于提前下达2025年省级基层公检法司转移支付资金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24.00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24.00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用于支付事故案件鉴定费、装备费支出。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30%</w:t>
            </w: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1.进一步提高办案质量，完善交通管理装备配置</w:t>
            </w:r>
            <w:r>
              <w:rPr/>
              <w:tab/>
            </w:r>
            <w:r>
              <w:rPr/>
              <w:tab/>
            </w:r>
            <w:r>
              <w:rPr/>
              <w:tab/>
            </w:r>
            <w:r>
              <w:rPr/>
              <w:tab/>
            </w:r>
            <w:r>
              <w:rPr/>
              <w:tab/>
            </w:r>
            <w:r>
              <w:rPr/>
              <w:tab/>
            </w:r>
            <w:r>
              <w:rPr/>
              <w:tab/>
            </w:r>
            <w:r>
              <w:rPr/>
              <w:tab/>
            </w:r>
            <w:r>
              <w:rPr/>
              <w:tab/>
            </w:r>
            <w:r>
              <w:rPr/>
              <w:tab/>
            </w:r>
            <w:r>
              <w:rPr/>
              <w:tab/>
            </w:r>
          </w:p>
          <w:p>
            <w:pPr>
              <w:pStyle w:val="单元格样式2"/>
            </w:pPr>
            <w: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办案数量</w:t>
            </w:r>
          </w:p>
        </w:tc>
        <w:tc>
          <w:tcPr>
            <w:tcW w:w="2891" w:type="dxa"/>
            <w:vAlign w:val="center"/>
          </w:tcPr>
          <w:p>
            <w:pPr>
              <w:pStyle w:val="单元格样式2"/>
            </w:pPr>
            <w:r>
              <w:t xml:space="preserve">专项资金用于办案数量</w:t>
            </w:r>
          </w:p>
        </w:tc>
        <w:tc>
          <w:tcPr>
            <w:tcW w:w="1276" w:type="dxa"/>
            <w:vAlign w:val="center"/>
          </w:tcPr>
          <w:p>
            <w:pPr>
              <w:pStyle w:val="单元格样式2"/>
            </w:pPr>
            <w:r>
              <w:t xml:space="preserve">≥100起</w:t>
            </w:r>
          </w:p>
        </w:tc>
        <w:tc>
          <w:tcPr>
            <w:tcW w:w="1843" w:type="dxa"/>
            <w:vAlign w:val="center"/>
          </w:tcPr>
          <w:p>
            <w:pPr>
              <w:pStyle w:val="单元格样式2"/>
            </w:pPr>
            <w:r>
              <w:t xml:space="preserve">《中华人民共和国道路交通安全法》</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购买装备数量</w:t>
            </w:r>
          </w:p>
        </w:tc>
        <w:tc>
          <w:tcPr>
            <w:tcW w:w="2891" w:type="dxa"/>
            <w:vAlign w:val="center"/>
          </w:tcPr>
          <w:p>
            <w:pPr>
              <w:pStyle w:val="单元格样式2"/>
            </w:pPr>
            <w:r>
              <w:t xml:space="preserve">购买交通管理装备数量</w:t>
            </w:r>
          </w:p>
        </w:tc>
        <w:tc>
          <w:tcPr>
            <w:tcW w:w="1276" w:type="dxa"/>
            <w:vAlign w:val="center"/>
          </w:tcPr>
          <w:p>
            <w:pPr>
              <w:pStyle w:val="单元格样式2"/>
            </w:pPr>
            <w:r>
              <w:t xml:space="preserve">≥10台</w:t>
            </w:r>
          </w:p>
        </w:tc>
        <w:tc>
          <w:tcPr>
            <w:tcW w:w="1843" w:type="dxa"/>
            <w:vAlign w:val="center"/>
          </w:tcPr>
          <w:p>
            <w:pPr>
              <w:pStyle w:val="单元格样式2"/>
            </w:pPr>
            <w:r>
              <w:t xml:space="preserve">《中华人民共和国道路交通安全法》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交通事故处理办结率</w:t>
            </w:r>
          </w:p>
        </w:tc>
        <w:tc>
          <w:tcPr>
            <w:tcW w:w="2891" w:type="dxa"/>
            <w:vAlign w:val="center"/>
          </w:tcPr>
          <w:p>
            <w:pPr>
              <w:pStyle w:val="单元格样式2"/>
            </w:pPr>
            <w:r>
              <w:t xml:space="preserve">已处理交通事故数占应处理交通事故数比率</w:t>
            </w:r>
          </w:p>
        </w:tc>
        <w:tc>
          <w:tcPr>
            <w:tcW w:w="1276" w:type="dxa"/>
            <w:vAlign w:val="center"/>
          </w:tcPr>
          <w:p>
            <w:pPr>
              <w:pStyle w:val="单元格样式2"/>
            </w:pPr>
            <w:r>
              <w:t xml:space="preserve">≥95%</w:t>
            </w:r>
          </w:p>
        </w:tc>
        <w:tc>
          <w:tcPr>
            <w:tcW w:w="1843" w:type="dxa"/>
            <w:vAlign w:val="center"/>
          </w:tcPr>
          <w:p>
            <w:pPr>
              <w:pStyle w:val="单元格样式2"/>
            </w:pPr>
            <w:r>
              <w:t xml:space="preserve">《中华人民共和国道路交通安全法》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购买装备质量达标率</w:t>
            </w:r>
          </w:p>
        </w:tc>
        <w:tc>
          <w:tcPr>
            <w:tcW w:w="2891" w:type="dxa"/>
            <w:vAlign w:val="center"/>
          </w:tcPr>
          <w:p>
            <w:pPr>
              <w:pStyle w:val="单元格样式2"/>
            </w:pPr>
            <w:r>
              <w:t xml:space="preserve">购买装备质量达标率</w:t>
            </w:r>
          </w:p>
        </w:tc>
        <w:tc>
          <w:tcPr>
            <w:tcW w:w="1276" w:type="dxa"/>
            <w:vAlign w:val="center"/>
          </w:tcPr>
          <w:p>
            <w:pPr>
              <w:pStyle w:val="单元格样式2"/>
            </w:pPr>
            <w:r>
              <w:t xml:space="preserve">≥95%</w:t>
            </w:r>
          </w:p>
        </w:tc>
        <w:tc>
          <w:tcPr>
            <w:tcW w:w="1843" w:type="dxa"/>
            <w:vAlign w:val="center"/>
          </w:tcPr>
          <w:p>
            <w:pPr>
              <w:pStyle w:val="单元格样式2"/>
            </w:pPr>
            <w:r>
              <w:t xml:space="preserve">2025年业务装备购置计划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装备购置成本</w:t>
            </w:r>
          </w:p>
        </w:tc>
        <w:tc>
          <w:tcPr>
            <w:tcW w:w="2891" w:type="dxa"/>
            <w:vAlign w:val="center"/>
          </w:tcPr>
          <w:p>
            <w:pPr>
              <w:pStyle w:val="单元格样式2"/>
            </w:pPr>
            <w:r>
              <w:t xml:space="preserve">购买交通管理装备成本</w:t>
            </w:r>
          </w:p>
        </w:tc>
        <w:tc>
          <w:tcPr>
            <w:tcW w:w="1276" w:type="dxa"/>
            <w:vAlign w:val="center"/>
          </w:tcPr>
          <w:p>
            <w:pPr>
              <w:pStyle w:val="单元格样式2"/>
            </w:pPr>
            <w:r>
              <w:t xml:space="preserve">≤10万元</w:t>
            </w:r>
          </w:p>
        </w:tc>
        <w:tc>
          <w:tcPr>
            <w:tcW w:w="1843" w:type="dxa"/>
            <w:vAlign w:val="center"/>
          </w:tcPr>
          <w:p>
            <w:pPr>
              <w:pStyle w:val="单元格样式2"/>
            </w:pPr>
            <w:r>
              <w:t xml:space="preserve">《中华人民共和国道路交通安全法》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事故车辆检验鉴定费成本</w:t>
            </w:r>
          </w:p>
        </w:tc>
        <w:tc>
          <w:tcPr>
            <w:tcW w:w="2891" w:type="dxa"/>
            <w:vAlign w:val="center"/>
          </w:tcPr>
          <w:p>
            <w:pPr>
              <w:pStyle w:val="单元格样式2"/>
            </w:pPr>
            <w:r>
              <w:t xml:space="preserve">用于事故案件车辆检验鉴定费成本</w:t>
            </w:r>
          </w:p>
        </w:tc>
        <w:tc>
          <w:tcPr>
            <w:tcW w:w="1276" w:type="dxa"/>
            <w:vAlign w:val="center"/>
          </w:tcPr>
          <w:p>
            <w:pPr>
              <w:pStyle w:val="单元格样式2"/>
            </w:pPr>
            <w:r>
              <w:t xml:space="preserve">≤14万元</w:t>
            </w:r>
          </w:p>
        </w:tc>
        <w:tc>
          <w:tcPr>
            <w:tcW w:w="1843" w:type="dxa"/>
            <w:vAlign w:val="center"/>
          </w:tcPr>
          <w:p>
            <w:pPr>
              <w:pStyle w:val="单元格样式2"/>
            </w:pPr>
            <w:r>
              <w:t xml:space="preserve">《中华人民共和国道路交通安全法》</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治安、刑事案件处理及时性</w:t>
            </w:r>
          </w:p>
        </w:tc>
        <w:tc>
          <w:tcPr>
            <w:tcW w:w="2891" w:type="dxa"/>
            <w:vAlign w:val="center"/>
          </w:tcPr>
          <w:p>
            <w:pPr>
              <w:pStyle w:val="单元格样式2"/>
            </w:pPr>
            <w:r>
              <w:t xml:space="preserve">治安、刑事案件处理及时性</w:t>
            </w:r>
          </w:p>
        </w:tc>
        <w:tc>
          <w:tcPr>
            <w:tcW w:w="1276" w:type="dxa"/>
            <w:vAlign w:val="center"/>
          </w:tcPr>
          <w:p>
            <w:pPr>
              <w:pStyle w:val="单元格样式2"/>
            </w:pPr>
            <w:r>
              <w:t xml:space="preserve">及时</w:t>
            </w:r>
          </w:p>
        </w:tc>
        <w:tc>
          <w:tcPr>
            <w:tcW w:w="1843" w:type="dxa"/>
            <w:vAlign w:val="center"/>
          </w:tcPr>
          <w:p>
            <w:pPr>
              <w:pStyle w:val="单元格样式2"/>
            </w:pPr>
            <w:r>
              <w:t xml:space="preserve">《中华人民共和国道路交通安全法》</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因交通事故财产损失降低率</w:t>
            </w:r>
          </w:p>
        </w:tc>
        <w:tc>
          <w:tcPr>
            <w:tcW w:w="2891" w:type="dxa"/>
            <w:vAlign w:val="center"/>
          </w:tcPr>
          <w:p>
            <w:pPr>
              <w:pStyle w:val="单元格样式2"/>
            </w:pPr>
            <w:r>
              <w:t xml:space="preserve">因交通事故财产损失降低率</w:t>
            </w:r>
          </w:p>
        </w:tc>
        <w:tc>
          <w:tcPr>
            <w:tcW w:w="1276" w:type="dxa"/>
            <w:vAlign w:val="center"/>
          </w:tcPr>
          <w:p>
            <w:pPr>
              <w:pStyle w:val="单元格样式2"/>
            </w:pPr>
            <w:r>
              <w:t xml:space="preserve">≥30%</w:t>
            </w:r>
          </w:p>
        </w:tc>
        <w:tc>
          <w:tcPr>
            <w:tcW w:w="1843" w:type="dxa"/>
            <w:vAlign w:val="center"/>
          </w:tcPr>
          <w:p>
            <w:pPr>
              <w:pStyle w:val="单元格样式2"/>
            </w:pPr>
            <w:r>
              <w:t xml:space="preserve">《中华人民共和国道路交通安全法》</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保障道路交通畅通持续提高</w:t>
            </w:r>
          </w:p>
        </w:tc>
        <w:tc>
          <w:tcPr>
            <w:tcW w:w="2891" w:type="dxa"/>
            <w:vAlign w:val="center"/>
          </w:tcPr>
          <w:p>
            <w:pPr>
              <w:pStyle w:val="单元格样式2"/>
            </w:pPr>
            <w:r>
              <w:t xml:space="preserve">保障道路交通畅通、安全、有序</w:t>
            </w:r>
          </w:p>
        </w:tc>
        <w:tc>
          <w:tcPr>
            <w:tcW w:w="1276" w:type="dxa"/>
            <w:vAlign w:val="center"/>
          </w:tcPr>
          <w:p>
            <w:pPr>
              <w:pStyle w:val="单元格样式2"/>
            </w:pPr>
            <w:r>
              <w:t xml:space="preserve">持续提高</w:t>
            </w:r>
          </w:p>
        </w:tc>
        <w:tc>
          <w:tcPr>
            <w:tcW w:w="1843" w:type="dxa"/>
            <w:vAlign w:val="center"/>
          </w:tcPr>
          <w:p>
            <w:pPr>
              <w:pStyle w:val="单元格样式2"/>
            </w:pPr>
            <w:r>
              <w:t xml:space="preserve">《中华人民共和国道路交通安全法》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群众对交通管理工作的满意度</w:t>
            </w:r>
          </w:p>
        </w:tc>
        <w:tc>
          <w:tcPr>
            <w:tcW w:w="2891" w:type="dxa"/>
            <w:vAlign w:val="center"/>
          </w:tcPr>
          <w:p>
            <w:pPr>
              <w:pStyle w:val="单元格样式2"/>
            </w:pPr>
            <w:r>
              <w:t xml:space="preserve">通过问卷调查满意度</w:t>
            </w:r>
          </w:p>
        </w:tc>
        <w:tc>
          <w:tcPr>
            <w:tcW w:w="1276" w:type="dxa"/>
            <w:vAlign w:val="center"/>
          </w:tcPr>
          <w:p>
            <w:pPr>
              <w:pStyle w:val="单元格样式2"/>
            </w:pPr>
            <w:r>
              <w:t xml:space="preserve">≥90%</w:t>
            </w:r>
          </w:p>
        </w:tc>
        <w:tc>
          <w:tcPr>
            <w:tcW w:w="1843" w:type="dxa"/>
            <w:vAlign w:val="center"/>
          </w:tcPr>
          <w:p>
            <w:pPr>
              <w:pStyle w:val="单元格样式2"/>
            </w:pPr>
            <w:r>
              <w:t xml:space="preserve">发放实际调查问卷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4.退伍人员工资绩效目标表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451001邯郸市公安局交通巡逻警察支队魏县大队本级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13043425P00450110052M</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退伍人员工资</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用于支付退伍人员工资及社保支出。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30%</w:t>
            </w: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1.保障各类警务工作正常运转，极大提高道路交通秩序，预防和减少交通事故发生。</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发放辅警工资和缴纳保险人数</w:t>
            </w:r>
          </w:p>
        </w:tc>
        <w:tc>
          <w:tcPr>
            <w:tcW w:w="2891" w:type="dxa"/>
            <w:vAlign w:val="center"/>
          </w:tcPr>
          <w:p>
            <w:pPr>
              <w:pStyle w:val="单元格样式2"/>
            </w:pPr>
            <w:r>
              <w:t xml:space="preserve">全年按辅警人数发放工资和交纳保险</w:t>
            </w:r>
          </w:p>
          <w:p>
            <w:pPr>
              <w:pStyle w:val="单元格样式2"/>
            </w:pPr>
          </w:p>
        </w:tc>
        <w:tc>
          <w:tcPr>
            <w:tcW w:w="1276" w:type="dxa"/>
            <w:vAlign w:val="center"/>
          </w:tcPr>
          <w:p>
            <w:pPr>
              <w:pStyle w:val="单元格样式2"/>
            </w:pPr>
            <w:r>
              <w:t xml:space="preserve">20人</w:t>
            </w:r>
          </w:p>
        </w:tc>
        <w:tc>
          <w:tcPr>
            <w:tcW w:w="1843" w:type="dxa"/>
            <w:vAlign w:val="center"/>
          </w:tcPr>
          <w:p>
            <w:pPr>
              <w:pStyle w:val="单元格样式2"/>
            </w:pPr>
            <w:r>
              <w:t xml:space="preserve">《劳务派遣人员签订合同》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辅警保险缴纳种类</w:t>
            </w:r>
          </w:p>
        </w:tc>
        <w:tc>
          <w:tcPr>
            <w:tcW w:w="2891" w:type="dxa"/>
            <w:vAlign w:val="center"/>
          </w:tcPr>
          <w:p>
            <w:pPr>
              <w:pStyle w:val="单元格样式2"/>
            </w:pPr>
            <w:r>
              <w:t xml:space="preserve">缴纳养老、职业年金、医疗、工伤、住房公积金5种社会保险</w:t>
            </w:r>
          </w:p>
        </w:tc>
        <w:tc>
          <w:tcPr>
            <w:tcW w:w="1276" w:type="dxa"/>
            <w:vAlign w:val="center"/>
          </w:tcPr>
          <w:p>
            <w:pPr>
              <w:pStyle w:val="单元格样式2"/>
            </w:pPr>
            <w:r>
              <w:t xml:space="preserve">≥5种</w:t>
            </w:r>
          </w:p>
        </w:tc>
        <w:tc>
          <w:tcPr>
            <w:tcW w:w="1843" w:type="dxa"/>
            <w:vAlign w:val="center"/>
          </w:tcPr>
          <w:p>
            <w:pPr>
              <w:pStyle w:val="单元格样式2"/>
            </w:pPr>
            <w:r>
              <w:t xml:space="preserve">《劳务派遣人员签订合同》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工资及保险发放准确率</w:t>
            </w:r>
          </w:p>
        </w:tc>
        <w:tc>
          <w:tcPr>
            <w:tcW w:w="2891" w:type="dxa"/>
            <w:vAlign w:val="center"/>
          </w:tcPr>
          <w:p>
            <w:pPr>
              <w:pStyle w:val="单元格样式2"/>
            </w:pPr>
            <w:r>
              <w:t xml:space="preserve">工资及保险发放准确率</w:t>
            </w:r>
          </w:p>
        </w:tc>
        <w:tc>
          <w:tcPr>
            <w:tcW w:w="1276" w:type="dxa"/>
            <w:vAlign w:val="center"/>
          </w:tcPr>
          <w:p>
            <w:pPr>
              <w:pStyle w:val="单元格样式2"/>
            </w:pPr>
            <w:r>
              <w:t xml:space="preserve">≥95%</w:t>
            </w:r>
          </w:p>
        </w:tc>
        <w:tc>
          <w:tcPr>
            <w:tcW w:w="1843" w:type="dxa"/>
            <w:vAlign w:val="center"/>
          </w:tcPr>
          <w:p>
            <w:pPr>
              <w:pStyle w:val="单元格样式2"/>
            </w:pPr>
            <w:r>
              <w:t xml:space="preserve">《劳务派遣人员签订合同》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工资及保险成本总额</w:t>
            </w:r>
          </w:p>
        </w:tc>
        <w:tc>
          <w:tcPr>
            <w:tcW w:w="2891" w:type="dxa"/>
            <w:vAlign w:val="center"/>
          </w:tcPr>
          <w:p>
            <w:pPr>
              <w:pStyle w:val="单元格样式2"/>
            </w:pPr>
            <w:r>
              <w:t xml:space="preserve">工资及保险成本总额</w:t>
            </w:r>
          </w:p>
        </w:tc>
        <w:tc>
          <w:tcPr>
            <w:tcW w:w="1276" w:type="dxa"/>
            <w:vAlign w:val="center"/>
          </w:tcPr>
          <w:p>
            <w:pPr>
              <w:pStyle w:val="单元格样式2"/>
            </w:pPr>
            <w:r>
              <w:t xml:space="preserve">≤70万元</w:t>
            </w:r>
          </w:p>
        </w:tc>
        <w:tc>
          <w:tcPr>
            <w:tcW w:w="1843" w:type="dxa"/>
            <w:vAlign w:val="center"/>
          </w:tcPr>
          <w:p>
            <w:pPr>
              <w:pStyle w:val="单元格样式2"/>
            </w:pPr>
            <w:r>
              <w:t xml:space="preserve">《劳务派遣人员签订合同》</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工资及保险发放缴纳及时率</w:t>
            </w:r>
          </w:p>
        </w:tc>
        <w:tc>
          <w:tcPr>
            <w:tcW w:w="2891" w:type="dxa"/>
            <w:vAlign w:val="center"/>
          </w:tcPr>
          <w:p>
            <w:pPr>
              <w:pStyle w:val="单元格样式2"/>
            </w:pPr>
            <w:r>
              <w:t xml:space="preserve">工资及保险发放缴纳及时率</w:t>
            </w:r>
          </w:p>
        </w:tc>
        <w:tc>
          <w:tcPr>
            <w:tcW w:w="1276" w:type="dxa"/>
            <w:vAlign w:val="center"/>
          </w:tcPr>
          <w:p>
            <w:pPr>
              <w:pStyle w:val="单元格样式2"/>
            </w:pPr>
            <w:r>
              <w:t xml:space="preserve">100%</w:t>
            </w:r>
          </w:p>
        </w:tc>
        <w:tc>
          <w:tcPr>
            <w:tcW w:w="1843" w:type="dxa"/>
            <w:vAlign w:val="center"/>
          </w:tcPr>
          <w:p>
            <w:pPr>
              <w:pStyle w:val="单元格样式2"/>
            </w:pPr>
            <w:r>
              <w:t xml:space="preserve">《劳务派遣人员签订合同》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提升辅警工作效率</w:t>
            </w:r>
          </w:p>
        </w:tc>
        <w:tc>
          <w:tcPr>
            <w:tcW w:w="2891" w:type="dxa"/>
            <w:vAlign w:val="center"/>
          </w:tcPr>
          <w:p>
            <w:pPr>
              <w:pStyle w:val="单元格样式2"/>
            </w:pPr>
            <w:r>
              <w:t xml:space="preserve">有效提升辅警工作效率</w:t>
            </w:r>
          </w:p>
        </w:tc>
        <w:tc>
          <w:tcPr>
            <w:tcW w:w="1276" w:type="dxa"/>
            <w:vAlign w:val="center"/>
          </w:tcPr>
          <w:p>
            <w:pPr>
              <w:pStyle w:val="单元格样式2"/>
            </w:pPr>
            <w:r>
              <w:t xml:space="preserve">有效提升</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vAlign w:val="center"/>
          </w:tcPr>
          <w:p>
            <w:pPr>
              <w:pStyle w:val="单元格样式2"/>
            </w:pPr>
            <w:r>
              <w:t xml:space="preserve">保障业务工作顺利经销，维护社会稳定</w:t>
            </w:r>
          </w:p>
        </w:tc>
        <w:tc>
          <w:tcPr>
            <w:tcW w:w="1276" w:type="dxa"/>
            <w:vAlign w:val="center"/>
          </w:tcPr>
          <w:p>
            <w:pPr>
              <w:pStyle w:val="单元格样式2"/>
            </w:pPr>
            <w:r>
              <w:t xml:space="preserve">维护</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辅警人员满意度</w:t>
            </w:r>
          </w:p>
        </w:tc>
        <w:tc>
          <w:tcPr>
            <w:tcW w:w="2891" w:type="dxa"/>
            <w:vAlign w:val="center"/>
          </w:tcPr>
          <w:p>
            <w:pPr>
              <w:pStyle w:val="单元格样式2"/>
            </w:pPr>
            <w:r>
              <w:t xml:space="preserve">辅警对发放工资和缴纳保险满意人员占总人数比率</w:t>
            </w:r>
          </w:p>
        </w:tc>
        <w:tc>
          <w:tcPr>
            <w:tcW w:w="1276" w:type="dxa"/>
            <w:vAlign w:val="center"/>
          </w:tcPr>
          <w:p>
            <w:pPr>
              <w:pStyle w:val="单元格样式2"/>
            </w:pPr>
            <w:r>
              <w:t xml:space="preserve">≥90%</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5.政府购买服务招录辅警人员工资绩效目标表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451001邯郸市公安局交通巡逻警察支队魏县大队本级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13043425P004501100512</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政府购买服务招录辅警人员工资</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821.00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821.00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用于支付230名警务辅助人员工资和社保缴纳。</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30%</w:t>
            </w: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1.通过招录230名警务辅助人员可缓解警力不足、保障各类警务工作正常运转，极大提高道路通行秩序，预防交通事故发生。</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发放辅警工资和缴纳保险人数</w:t>
            </w:r>
          </w:p>
        </w:tc>
        <w:tc>
          <w:tcPr>
            <w:tcW w:w="2891" w:type="dxa"/>
            <w:vAlign w:val="center"/>
          </w:tcPr>
          <w:p>
            <w:pPr>
              <w:pStyle w:val="单元格样式2"/>
            </w:pPr>
            <w:r>
              <w:t xml:space="preserve">全年按辅警人数发放工资和交纳保险</w:t>
            </w:r>
          </w:p>
          <w:p>
            <w:pPr>
              <w:pStyle w:val="单元格样式2"/>
            </w:pPr>
          </w:p>
        </w:tc>
        <w:tc>
          <w:tcPr>
            <w:tcW w:w="1276" w:type="dxa"/>
            <w:vAlign w:val="center"/>
          </w:tcPr>
          <w:p>
            <w:pPr>
              <w:pStyle w:val="单元格样式2"/>
            </w:pPr>
            <w:r>
              <w:t xml:space="preserve">230人</w:t>
            </w:r>
          </w:p>
        </w:tc>
        <w:tc>
          <w:tcPr>
            <w:tcW w:w="1843" w:type="dxa"/>
            <w:vAlign w:val="center"/>
          </w:tcPr>
          <w:p>
            <w:pPr>
              <w:pStyle w:val="单元格样式2"/>
            </w:pPr>
            <w:r>
              <w:t xml:space="preserve">《劳务派遣人员签订合同》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辅警保险缴纳种类</w:t>
            </w:r>
          </w:p>
        </w:tc>
        <w:tc>
          <w:tcPr>
            <w:tcW w:w="2891" w:type="dxa"/>
            <w:vAlign w:val="center"/>
          </w:tcPr>
          <w:p>
            <w:pPr>
              <w:pStyle w:val="单元格样式2"/>
            </w:pPr>
            <w:r>
              <w:t xml:space="preserve">缴纳养老、医疗、工伤、失业四种社会保险</w:t>
            </w:r>
          </w:p>
        </w:tc>
        <w:tc>
          <w:tcPr>
            <w:tcW w:w="1276" w:type="dxa"/>
            <w:vAlign w:val="center"/>
          </w:tcPr>
          <w:p>
            <w:pPr>
              <w:pStyle w:val="单元格样式2"/>
            </w:pPr>
            <w:r>
              <w:t xml:space="preserve">≥4种</w:t>
            </w:r>
          </w:p>
        </w:tc>
        <w:tc>
          <w:tcPr>
            <w:tcW w:w="1843" w:type="dxa"/>
            <w:vAlign w:val="center"/>
          </w:tcPr>
          <w:p>
            <w:pPr>
              <w:pStyle w:val="单元格样式2"/>
            </w:pPr>
            <w:r>
              <w:t xml:space="preserve">《劳务派遣人员签订合同》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工资及保险发放准确率</w:t>
            </w:r>
          </w:p>
        </w:tc>
        <w:tc>
          <w:tcPr>
            <w:tcW w:w="2891" w:type="dxa"/>
            <w:vAlign w:val="center"/>
          </w:tcPr>
          <w:p>
            <w:pPr>
              <w:pStyle w:val="单元格样式2"/>
            </w:pPr>
            <w:r>
              <w:t xml:space="preserve">工资及保险发放准确率</w:t>
            </w:r>
          </w:p>
        </w:tc>
        <w:tc>
          <w:tcPr>
            <w:tcW w:w="1276" w:type="dxa"/>
            <w:vAlign w:val="center"/>
          </w:tcPr>
          <w:p>
            <w:pPr>
              <w:pStyle w:val="单元格样式2"/>
            </w:pPr>
            <w:r>
              <w:t xml:space="preserve">≥95%</w:t>
            </w:r>
          </w:p>
        </w:tc>
        <w:tc>
          <w:tcPr>
            <w:tcW w:w="1843" w:type="dxa"/>
            <w:vAlign w:val="center"/>
          </w:tcPr>
          <w:p>
            <w:pPr>
              <w:pStyle w:val="单元格样式2"/>
            </w:pPr>
            <w:r>
              <w:t xml:space="preserve">《劳务派遣人员签订合同》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工资及保险成本总额</w:t>
            </w:r>
          </w:p>
        </w:tc>
        <w:tc>
          <w:tcPr>
            <w:tcW w:w="2891" w:type="dxa"/>
            <w:vAlign w:val="center"/>
          </w:tcPr>
          <w:p>
            <w:pPr>
              <w:pStyle w:val="单元格样式2"/>
            </w:pPr>
            <w:r>
              <w:t xml:space="preserve">工资及保险成本总额</w:t>
            </w:r>
          </w:p>
        </w:tc>
        <w:tc>
          <w:tcPr>
            <w:tcW w:w="1276" w:type="dxa"/>
            <w:vAlign w:val="center"/>
          </w:tcPr>
          <w:p>
            <w:pPr>
              <w:pStyle w:val="单元格样式2"/>
            </w:pPr>
            <w:r>
              <w:t xml:space="preserve">≤821万元</w:t>
            </w:r>
          </w:p>
        </w:tc>
        <w:tc>
          <w:tcPr>
            <w:tcW w:w="1843" w:type="dxa"/>
            <w:vAlign w:val="center"/>
          </w:tcPr>
          <w:p>
            <w:pPr>
              <w:pStyle w:val="单元格样式2"/>
            </w:pPr>
            <w:r>
              <w:t xml:space="preserve">《劳务派遣人员签订合同》</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工资及保险发放缴纳及时率</w:t>
            </w:r>
          </w:p>
        </w:tc>
        <w:tc>
          <w:tcPr>
            <w:tcW w:w="2891" w:type="dxa"/>
            <w:vAlign w:val="center"/>
          </w:tcPr>
          <w:p>
            <w:pPr>
              <w:pStyle w:val="单元格样式2"/>
            </w:pPr>
            <w:r>
              <w:t xml:space="preserve">工资及保险发放缴纳及时率</w:t>
            </w:r>
          </w:p>
        </w:tc>
        <w:tc>
          <w:tcPr>
            <w:tcW w:w="1276" w:type="dxa"/>
            <w:vAlign w:val="center"/>
          </w:tcPr>
          <w:p>
            <w:pPr>
              <w:pStyle w:val="单元格样式2"/>
            </w:pPr>
            <w:r>
              <w:t xml:space="preserve">100%</w:t>
            </w:r>
          </w:p>
        </w:tc>
        <w:tc>
          <w:tcPr>
            <w:tcW w:w="1843" w:type="dxa"/>
            <w:vAlign w:val="center"/>
          </w:tcPr>
          <w:p>
            <w:pPr>
              <w:pStyle w:val="单元格样式2"/>
            </w:pPr>
            <w:r>
              <w:t xml:space="preserve">《劳务派遣人员签订合同》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提升辅警工作效率</w:t>
            </w:r>
          </w:p>
        </w:tc>
        <w:tc>
          <w:tcPr>
            <w:tcW w:w="2891" w:type="dxa"/>
            <w:vAlign w:val="center"/>
          </w:tcPr>
          <w:p>
            <w:pPr>
              <w:pStyle w:val="单元格样式2"/>
            </w:pPr>
            <w:r>
              <w:t xml:space="preserve">有效提升辅警工作效率</w:t>
            </w:r>
          </w:p>
        </w:tc>
        <w:tc>
          <w:tcPr>
            <w:tcW w:w="1276" w:type="dxa"/>
            <w:vAlign w:val="center"/>
          </w:tcPr>
          <w:p>
            <w:pPr>
              <w:pStyle w:val="单元格样式2"/>
            </w:pPr>
            <w:r>
              <w:t xml:space="preserve">有效提升</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vAlign w:val="center"/>
          </w:tcPr>
          <w:p>
            <w:pPr>
              <w:pStyle w:val="单元格样式2"/>
            </w:pPr>
            <w:r>
              <w:t xml:space="preserve">保障业务工作顺利经销，维护社会稳定</w:t>
            </w:r>
          </w:p>
        </w:tc>
        <w:tc>
          <w:tcPr>
            <w:tcW w:w="1276" w:type="dxa"/>
            <w:vAlign w:val="center"/>
          </w:tcPr>
          <w:p>
            <w:pPr>
              <w:pStyle w:val="单元格样式2"/>
            </w:pPr>
            <w:r>
              <w:t xml:space="preserve">维护</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辅警人员满意度</w:t>
            </w:r>
          </w:p>
        </w:tc>
        <w:tc>
          <w:tcPr>
            <w:tcW w:w="2891" w:type="dxa"/>
            <w:vAlign w:val="center"/>
          </w:tcPr>
          <w:p>
            <w:pPr>
              <w:pStyle w:val="单元格样式2"/>
            </w:pPr>
            <w:r>
              <w:t xml:space="preserve">辅警对发放工资和缴纳保险满意人员占总人数比率</w:t>
            </w:r>
          </w:p>
        </w:tc>
        <w:tc>
          <w:tcPr>
            <w:tcW w:w="1276" w:type="dxa"/>
            <w:vAlign w:val="center"/>
          </w:tcPr>
          <w:p>
            <w:pPr>
              <w:pStyle w:val="单元格样式2"/>
            </w:pPr>
            <w:r>
              <w:t xml:space="preserve">≥90%</w:t>
            </w:r>
          </w:p>
        </w:tc>
        <w:tc>
          <w:tcPr>
            <w:tcW w:w="1843" w:type="dxa"/>
            <w:vAlign w:val="center"/>
          </w:tcPr>
          <w:p>
            <w:pPr>
              <w:pStyle w:val="单元格样式2"/>
            </w:pPr>
            <w:r>
              <w:t xml:space="preserve">发放实际问卷调查</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2025-02-17T15:03:17Z</dcterms:created>
  <dcterms:modified xsi:type="dcterms:W3CDTF">2025-02-17T15:03:17Z</dcterms:modified>
</cp:coreProperties>
</file>