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3CE7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Style w:val="5"/>
          <w:rFonts w:hint="eastAsia" w:ascii="方正小标宋_GBK" w:hAnsi="方正小标宋_GBK" w:eastAsia="方正小标宋_GBK" w:cs="方正小标宋_GBK"/>
          <w:color w:val="333333"/>
          <w:spacing w:val="0"/>
          <w:sz w:val="44"/>
          <w:szCs w:val="44"/>
          <w:shd w:val="clear" w:fill="FFFFFF"/>
        </w:rPr>
      </w:pPr>
    </w:p>
    <w:p w14:paraId="3D82DE3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Style w:val="5"/>
          <w:rFonts w:hint="eastAsia" w:ascii="方正小标宋_GBK" w:hAnsi="方正小标宋_GBK" w:eastAsia="方正小标宋_GBK" w:cs="方正小标宋_GBK"/>
          <w:b w:val="0"/>
          <w:bCs/>
          <w:color w:val="333333"/>
          <w:spacing w:val="0"/>
          <w:sz w:val="44"/>
          <w:szCs w:val="44"/>
          <w:shd w:val="clear" w:fill="FFFFFF"/>
        </w:rPr>
      </w:pPr>
      <w:r>
        <w:rPr>
          <w:rStyle w:val="5"/>
          <w:rFonts w:hint="eastAsia" w:ascii="方正小标宋_GBK" w:hAnsi="方正小标宋_GBK" w:eastAsia="方正小标宋_GBK" w:cs="方正小标宋_GBK"/>
          <w:b w:val="0"/>
          <w:bCs/>
          <w:color w:val="333333"/>
          <w:spacing w:val="0"/>
          <w:sz w:val="44"/>
          <w:szCs w:val="44"/>
          <w:shd w:val="clear" w:fill="FFFFFF"/>
        </w:rPr>
        <w:t>魏县审计局</w:t>
      </w:r>
    </w:p>
    <w:p w14:paraId="302F210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val="0"/>
          <w:bCs/>
          <w:sz w:val="44"/>
          <w:szCs w:val="44"/>
        </w:rPr>
      </w:pPr>
      <w:r>
        <w:rPr>
          <w:rStyle w:val="5"/>
          <w:rFonts w:hint="eastAsia" w:ascii="方正小标宋_GBK" w:hAnsi="方正小标宋_GBK" w:eastAsia="方正小标宋_GBK" w:cs="方正小标宋_GBK"/>
          <w:b w:val="0"/>
          <w:bCs/>
          <w:color w:val="333333"/>
          <w:spacing w:val="0"/>
          <w:sz w:val="44"/>
          <w:szCs w:val="44"/>
          <w:shd w:val="clear" w:fill="FFFFFF"/>
        </w:rPr>
        <w:t>202</w:t>
      </w:r>
      <w:r>
        <w:rPr>
          <w:rStyle w:val="5"/>
          <w:rFonts w:hint="eastAsia" w:ascii="方正小标宋_GBK" w:hAnsi="方正小标宋_GBK" w:eastAsia="方正小标宋_GBK" w:cs="方正小标宋_GBK"/>
          <w:b w:val="0"/>
          <w:bCs/>
          <w:color w:val="333333"/>
          <w:spacing w:val="0"/>
          <w:sz w:val="44"/>
          <w:szCs w:val="44"/>
          <w:shd w:val="clear" w:fill="FFFFFF"/>
          <w:lang w:val="en-US" w:eastAsia="zh-CN"/>
        </w:rPr>
        <w:t>4</w:t>
      </w:r>
      <w:r>
        <w:rPr>
          <w:rStyle w:val="5"/>
          <w:rFonts w:hint="eastAsia" w:ascii="方正小标宋_GBK" w:hAnsi="方正小标宋_GBK" w:eastAsia="方正小标宋_GBK" w:cs="方正小标宋_GBK"/>
          <w:b w:val="0"/>
          <w:bCs/>
          <w:color w:val="333333"/>
          <w:spacing w:val="0"/>
          <w:sz w:val="44"/>
          <w:szCs w:val="44"/>
          <w:shd w:val="clear" w:fill="FFFFFF"/>
        </w:rPr>
        <w:t>年政府信息公开工作年度报告</w:t>
      </w:r>
    </w:p>
    <w:p w14:paraId="7B6A40D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b w:val="0"/>
          <w:bCs/>
        </w:rPr>
      </w:pPr>
      <w:r>
        <w:rPr>
          <w:rFonts w:hint="eastAsia" w:ascii="宋体" w:hAnsi="宋体" w:eastAsia="宋体" w:cs="宋体"/>
          <w:b w:val="0"/>
          <w:bCs/>
          <w:color w:val="333333"/>
          <w:spacing w:val="0"/>
          <w:shd w:val="clear" w:fill="FFFFFF"/>
        </w:rPr>
        <w:t> </w:t>
      </w:r>
    </w:p>
    <w:p w14:paraId="59DEB16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按照《中华人民共和国政府信息公开条例》的有关规定，以及《国务院办公厅政府信</w:t>
      </w:r>
      <w:bookmarkStart w:id="0" w:name="_GoBack"/>
      <w:bookmarkEnd w:id="0"/>
      <w:r>
        <w:rPr>
          <w:rFonts w:hint="eastAsia" w:ascii="仿宋_GB2312" w:hAnsi="仿宋_GB2312" w:eastAsia="仿宋_GB2312" w:cs="仿宋_GB2312"/>
          <w:spacing w:val="0"/>
          <w:sz w:val="32"/>
          <w:szCs w:val="32"/>
        </w:rPr>
        <w:t>息与政务公开办公室关于政府信息公开工作年度报告有关事项的通知》（国办公开办函〔2019〕60号）等文件要求，现将我单位</w:t>
      </w:r>
      <w:r>
        <w:rPr>
          <w:rFonts w:hint="eastAsia" w:ascii="仿宋_GB2312" w:hAnsi="仿宋_GB2312" w:eastAsia="仿宋_GB2312" w:cs="仿宋_GB2312"/>
          <w:spacing w:val="0"/>
          <w:sz w:val="32"/>
          <w:szCs w:val="32"/>
          <w:lang w:eastAsia="zh-CN"/>
        </w:rPr>
        <w:t>202</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年度政府信息公开工作有关情况报告如下： </w:t>
      </w:r>
    </w:p>
    <w:p w14:paraId="1E93AD6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5"/>
          <w:rFonts w:hint="eastAsia" w:ascii="黑体" w:hAnsi="黑体" w:eastAsia="黑体" w:cs="黑体"/>
          <w:b w:val="0"/>
          <w:bCs/>
          <w:color w:val="333333"/>
          <w:spacing w:val="0"/>
          <w:sz w:val="32"/>
          <w:szCs w:val="32"/>
          <w:shd w:val="clear" w:fill="FFFFFF"/>
        </w:rPr>
      </w:pPr>
      <w:r>
        <w:rPr>
          <w:rStyle w:val="5"/>
          <w:rFonts w:hint="eastAsia" w:ascii="黑体" w:hAnsi="黑体" w:eastAsia="黑体" w:cs="黑体"/>
          <w:b w:val="0"/>
          <w:bCs/>
          <w:color w:val="333333"/>
          <w:spacing w:val="0"/>
          <w:sz w:val="32"/>
          <w:szCs w:val="32"/>
          <w:shd w:val="clear" w:fill="FFFFFF"/>
        </w:rPr>
        <w:t>一、总体情况 </w:t>
      </w:r>
    </w:p>
    <w:p w14:paraId="7DCF768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lang w:eastAsia="zh-CN"/>
        </w:rPr>
        <w:t>202</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年以来，县审计局认真贯彻落</w:t>
      </w:r>
      <w:r>
        <w:rPr>
          <w:rFonts w:hint="eastAsia" w:ascii="仿宋_GB2312" w:hAnsi="仿宋_GB2312" w:eastAsia="仿宋_GB2312" w:cs="仿宋_GB2312"/>
          <w:spacing w:val="0"/>
          <w:sz w:val="32"/>
          <w:szCs w:val="32"/>
          <w:highlight w:val="none"/>
        </w:rPr>
        <w:t>实《中华人民共和国政府信息公开条例》</w:t>
      </w:r>
      <w:r>
        <w:rPr>
          <w:rFonts w:hint="eastAsia" w:ascii="仿宋_GB2312" w:hAnsi="仿宋_GB2312" w:eastAsia="仿宋_GB2312" w:cs="仿宋_GB2312"/>
          <w:spacing w:val="0"/>
          <w:sz w:val="32"/>
          <w:szCs w:val="32"/>
          <w:highlight w:val="none"/>
          <w:lang w:val="en-US" w:eastAsia="zh-CN"/>
        </w:rPr>
        <w:t>等</w:t>
      </w:r>
      <w:r>
        <w:rPr>
          <w:rFonts w:hint="eastAsia" w:ascii="仿宋_GB2312" w:hAnsi="仿宋_GB2312" w:eastAsia="仿宋_GB2312" w:cs="仿宋_GB2312"/>
          <w:spacing w:val="0"/>
          <w:sz w:val="32"/>
          <w:szCs w:val="32"/>
          <w:highlight w:val="none"/>
        </w:rPr>
        <w:t>相</w:t>
      </w:r>
      <w:r>
        <w:rPr>
          <w:rFonts w:hint="eastAsia" w:ascii="仿宋_GB2312" w:hAnsi="仿宋_GB2312" w:eastAsia="仿宋_GB2312" w:cs="仿宋_GB2312"/>
          <w:spacing w:val="0"/>
          <w:sz w:val="32"/>
          <w:szCs w:val="32"/>
        </w:rPr>
        <w:t>关文件要求，始终坚持“以政务公开是常态，不公开是例外为”原则，全面推进政务信息公开工作，立足本职，规范程序，创新思路，全力推进和完成各项信息公开工作，认真开展政府信息公开日常基础性工作，坚持做到对政务情况主动公开，确保应该公开的政务信息能够及时公开。 </w:t>
      </w:r>
    </w:p>
    <w:p w14:paraId="620BC33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 w:hAnsi="楷体" w:eastAsia="楷体" w:cs="楷体"/>
          <w:b w:val="0"/>
          <w:bCs/>
          <w:sz w:val="32"/>
          <w:szCs w:val="32"/>
        </w:rPr>
      </w:pPr>
      <w:r>
        <w:rPr>
          <w:rStyle w:val="5"/>
          <w:rFonts w:hint="eastAsia" w:ascii="楷体" w:hAnsi="楷体" w:eastAsia="楷体" w:cs="楷体"/>
          <w:b w:val="0"/>
          <w:bCs/>
          <w:spacing w:val="0"/>
          <w:sz w:val="32"/>
          <w:szCs w:val="32"/>
        </w:rPr>
        <w:t>（一）领导重视、健全组织 </w:t>
      </w:r>
    </w:p>
    <w:p w14:paraId="24718EA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年初，为确保各项信息公开工作落到实处，成立由党组书记、局长担任组长，分管政务信息工作的副局长担任副组长，办公室及各股室相关人员为成员的政务信息公开领导小组，明确专职信息报送员，具体负责政府信息公开工作，分工明确，职责清晰，严格落实责任。</w:t>
      </w:r>
      <w:r>
        <w:rPr>
          <w:rFonts w:hint="eastAsia" w:ascii="仿宋_GB2312" w:hAnsi="仿宋_GB2312" w:eastAsia="仿宋_GB2312" w:cs="仿宋_GB2312"/>
          <w:spacing w:val="0"/>
          <w:sz w:val="32"/>
          <w:szCs w:val="32"/>
          <w:lang w:eastAsia="zh-CN"/>
        </w:rPr>
        <w:t>202</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年，局政务信息公开领导小组共计召开3次专题会议，督促指导政府信息与政务公开工作，并结合工作实际，制订了信息公开实施方案和信息公开工作计划，实行了目标责任制，安排专人负责信息公开工作的日常事务，不定期对公开情况进行检查，确保了政府信息与政务公开工作的顺利开展。</w:t>
      </w:r>
    </w:p>
    <w:p w14:paraId="700C7AF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5"/>
          <w:rFonts w:hint="eastAsia" w:ascii="楷体" w:hAnsi="楷体" w:eastAsia="楷体" w:cs="楷体"/>
          <w:b w:val="0"/>
          <w:bCs/>
          <w:spacing w:val="0"/>
          <w:sz w:val="32"/>
          <w:szCs w:val="32"/>
        </w:rPr>
      </w:pPr>
      <w:r>
        <w:rPr>
          <w:rStyle w:val="5"/>
          <w:rFonts w:hint="eastAsia" w:ascii="楷体" w:hAnsi="楷体" w:eastAsia="楷体" w:cs="楷体"/>
          <w:b w:val="0"/>
          <w:bCs/>
          <w:spacing w:val="0"/>
          <w:sz w:val="32"/>
          <w:szCs w:val="32"/>
        </w:rPr>
        <w:t>（二）突出重点、内容丰富 </w:t>
      </w:r>
    </w:p>
    <w:p w14:paraId="3DBC78A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及时对信息公开内容和工作范围进行了认真研究，确定和规范了信息公开的重点内容，严格按照规定的公开类别、公开时间和公开程序要求，重点公开部门预决算情况。及时修订、补充《信息公开内容目录》，并严格执行。对信息公开内容及时审定、更新、充实，使公开内容全面真实、及时准确、重点突出、群众满意。 </w:t>
      </w:r>
    </w:p>
    <w:p w14:paraId="34A39D1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5"/>
          <w:rFonts w:hint="eastAsia" w:ascii="楷体" w:hAnsi="楷体" w:eastAsia="楷体" w:cs="楷体"/>
          <w:b w:val="0"/>
          <w:bCs/>
          <w:spacing w:val="0"/>
          <w:sz w:val="32"/>
          <w:szCs w:val="32"/>
        </w:rPr>
      </w:pPr>
      <w:r>
        <w:rPr>
          <w:rStyle w:val="5"/>
          <w:rFonts w:hint="eastAsia" w:ascii="楷体" w:hAnsi="楷体" w:eastAsia="楷体" w:cs="楷体"/>
          <w:b w:val="0"/>
          <w:bCs/>
          <w:spacing w:val="0"/>
          <w:sz w:val="32"/>
          <w:szCs w:val="32"/>
        </w:rPr>
        <w:t>（三）公开规范、效果明显 </w:t>
      </w:r>
    </w:p>
    <w:p w14:paraId="25B30D3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通过推行信息公开，运用多种便于公众知晓的形式传递信息，为公众提供方便快捷的服务，做到了制度性、政策性内容长期公开，阶段性工作逐段公开，经常性工作及时公开，动态性工作随时公开，确保信息公开及时有效。</w:t>
      </w:r>
    </w:p>
    <w:p w14:paraId="2DF03B1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Style w:val="5"/>
          <w:rFonts w:hint="eastAsia" w:ascii="黑体" w:hAnsi="黑体" w:eastAsia="黑体" w:cs="黑体"/>
          <w:b w:val="0"/>
          <w:bCs/>
          <w:color w:val="333333"/>
          <w:spacing w:val="0"/>
          <w:sz w:val="32"/>
          <w:szCs w:val="32"/>
          <w:shd w:val="clear" w:fill="FFFFFF"/>
        </w:rPr>
        <w:t>二、主动公开政府信息情况</w:t>
      </w:r>
    </w:p>
    <w:tbl>
      <w:tblPr>
        <w:tblStyle w:val="3"/>
        <w:tblW w:w="9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30"/>
        <w:gridCol w:w="2430"/>
        <w:gridCol w:w="2430"/>
        <w:gridCol w:w="2445"/>
      </w:tblGrid>
      <w:tr w14:paraId="5D6AD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73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14:paraId="38348C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第二十条第（一）项</w:t>
            </w:r>
          </w:p>
        </w:tc>
      </w:tr>
      <w:tr w14:paraId="43B57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62CDC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信息内容</w:t>
            </w:r>
          </w:p>
        </w:tc>
        <w:tc>
          <w:tcPr>
            <w:tcW w:w="243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34545A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本年制发件数</w:t>
            </w:r>
          </w:p>
        </w:tc>
        <w:tc>
          <w:tcPr>
            <w:tcW w:w="243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3018F2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本年废止件数</w:t>
            </w:r>
          </w:p>
        </w:tc>
        <w:tc>
          <w:tcPr>
            <w:tcW w:w="243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2E46E6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现行有效件数</w:t>
            </w:r>
          </w:p>
        </w:tc>
      </w:tr>
      <w:tr w14:paraId="16365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5EFB6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规章</w:t>
            </w:r>
          </w:p>
        </w:tc>
        <w:tc>
          <w:tcPr>
            <w:tcW w:w="24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F18EA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pacing w:val="0"/>
                <w:sz w:val="19"/>
                <w:szCs w:val="19"/>
              </w:rPr>
            </w:pPr>
            <w:r>
              <w:rPr>
                <w:rFonts w:hint="eastAsia" w:ascii="宋体" w:hAnsi="宋体" w:eastAsia="宋体" w:cs="宋体"/>
                <w:spacing w:val="0"/>
                <w:sz w:val="19"/>
                <w:szCs w:val="19"/>
              </w:rPr>
              <w:t>0</w:t>
            </w:r>
          </w:p>
        </w:tc>
        <w:tc>
          <w:tcPr>
            <w:tcW w:w="24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978D9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pacing w:val="0"/>
                <w:sz w:val="19"/>
                <w:szCs w:val="19"/>
              </w:rPr>
            </w:pPr>
            <w:r>
              <w:rPr>
                <w:rFonts w:hint="eastAsia" w:ascii="宋体" w:hAnsi="宋体" w:eastAsia="宋体" w:cs="宋体"/>
                <w:spacing w:val="0"/>
                <w:sz w:val="19"/>
                <w:szCs w:val="19"/>
              </w:rPr>
              <w:t>0</w:t>
            </w:r>
          </w:p>
        </w:tc>
        <w:tc>
          <w:tcPr>
            <w:tcW w:w="24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5EA95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pacing w:val="0"/>
                <w:sz w:val="19"/>
                <w:szCs w:val="19"/>
              </w:rPr>
            </w:pPr>
            <w:r>
              <w:rPr>
                <w:rFonts w:hint="default" w:ascii="宋体" w:hAnsi="宋体" w:eastAsia="宋体" w:cs="宋体"/>
                <w:spacing w:val="0"/>
                <w:sz w:val="19"/>
                <w:szCs w:val="19"/>
              </w:rPr>
              <w:t>0</w:t>
            </w:r>
          </w:p>
        </w:tc>
      </w:tr>
      <w:tr w14:paraId="72A58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A6912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行政规范性文件</w:t>
            </w:r>
          </w:p>
        </w:tc>
        <w:tc>
          <w:tcPr>
            <w:tcW w:w="24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A46FB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pacing w:val="0"/>
                <w:sz w:val="19"/>
                <w:szCs w:val="19"/>
              </w:rPr>
            </w:pPr>
            <w:r>
              <w:rPr>
                <w:rFonts w:hint="eastAsia" w:ascii="宋体" w:hAnsi="宋体" w:eastAsia="宋体" w:cs="宋体"/>
                <w:spacing w:val="0"/>
                <w:sz w:val="19"/>
                <w:szCs w:val="19"/>
              </w:rPr>
              <w:t>0</w:t>
            </w:r>
          </w:p>
        </w:tc>
        <w:tc>
          <w:tcPr>
            <w:tcW w:w="24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A3B4D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pacing w:val="0"/>
                <w:sz w:val="19"/>
                <w:szCs w:val="19"/>
              </w:rPr>
            </w:pPr>
            <w:r>
              <w:rPr>
                <w:rFonts w:hint="eastAsia" w:ascii="宋体" w:hAnsi="宋体" w:eastAsia="宋体" w:cs="宋体"/>
                <w:spacing w:val="0"/>
                <w:sz w:val="19"/>
                <w:szCs w:val="19"/>
              </w:rPr>
              <w:t>0</w:t>
            </w:r>
          </w:p>
        </w:tc>
        <w:tc>
          <w:tcPr>
            <w:tcW w:w="24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DE4A7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pacing w:val="0"/>
                <w:sz w:val="19"/>
                <w:szCs w:val="19"/>
              </w:rPr>
            </w:pPr>
            <w:r>
              <w:rPr>
                <w:rFonts w:hint="default" w:ascii="宋体" w:hAnsi="宋体" w:eastAsia="宋体" w:cs="宋体"/>
                <w:spacing w:val="0"/>
                <w:sz w:val="19"/>
                <w:szCs w:val="19"/>
              </w:rPr>
              <w:t>1</w:t>
            </w:r>
          </w:p>
        </w:tc>
      </w:tr>
      <w:tr w14:paraId="33F3A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9735" w:type="dxa"/>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14:paraId="36A0AA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第二十条第（五）项</w:t>
            </w:r>
          </w:p>
        </w:tc>
      </w:tr>
      <w:tr w14:paraId="32816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64070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信息内容</w:t>
            </w:r>
          </w:p>
        </w:tc>
        <w:tc>
          <w:tcPr>
            <w:tcW w:w="7305" w:type="dxa"/>
            <w:gridSpan w:val="3"/>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3415EE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本年处理决定数量</w:t>
            </w:r>
          </w:p>
        </w:tc>
      </w:tr>
      <w:tr w14:paraId="744FB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30EB1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行政许可</w:t>
            </w:r>
          </w:p>
        </w:tc>
        <w:tc>
          <w:tcPr>
            <w:tcW w:w="7305" w:type="dxa"/>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BA837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宋体" w:hAnsi="宋体" w:eastAsia="宋体" w:cs="宋体"/>
                <w:spacing w:val="0"/>
                <w:sz w:val="19"/>
                <w:szCs w:val="19"/>
              </w:rPr>
              <w:t>0</w:t>
            </w:r>
          </w:p>
        </w:tc>
      </w:tr>
      <w:tr w14:paraId="277D4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9735" w:type="dxa"/>
            <w:gridSpan w:val="4"/>
            <w:tcBorders>
              <w:top w:val="nil"/>
              <w:left w:val="single" w:color="auto" w:sz="6" w:space="0"/>
              <w:bottom w:val="single" w:color="auto" w:sz="4" w:space="0"/>
              <w:right w:val="single" w:color="auto" w:sz="6" w:space="0"/>
            </w:tcBorders>
            <w:shd w:val="clear" w:color="auto" w:fill="C6D9F1"/>
            <w:tcMar>
              <w:top w:w="0" w:type="dxa"/>
              <w:left w:w="60" w:type="dxa"/>
              <w:bottom w:w="0" w:type="dxa"/>
              <w:right w:w="60" w:type="dxa"/>
            </w:tcMar>
            <w:vAlign w:val="center"/>
          </w:tcPr>
          <w:p w14:paraId="3821CA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第二十条第（六）项</w:t>
            </w:r>
          </w:p>
        </w:tc>
      </w:tr>
      <w:tr w14:paraId="09C78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2430" w:type="dxa"/>
            <w:tcBorders>
              <w:top w:val="single" w:color="auto" w:sz="4"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47238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信息内容</w:t>
            </w:r>
          </w:p>
        </w:tc>
        <w:tc>
          <w:tcPr>
            <w:tcW w:w="7305" w:type="dxa"/>
            <w:gridSpan w:val="3"/>
            <w:tcBorders>
              <w:top w:val="single" w:color="auto" w:sz="4"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37EE89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本年处理决定数量</w:t>
            </w:r>
          </w:p>
        </w:tc>
      </w:tr>
      <w:tr w14:paraId="65DA4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DD698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行政处罚</w:t>
            </w:r>
          </w:p>
        </w:tc>
        <w:tc>
          <w:tcPr>
            <w:tcW w:w="7305" w:type="dxa"/>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8611B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pacing w:val="0"/>
                <w:sz w:val="19"/>
                <w:szCs w:val="19"/>
              </w:rPr>
            </w:pPr>
            <w:r>
              <w:rPr>
                <w:rFonts w:hint="eastAsia" w:ascii="宋体" w:hAnsi="宋体" w:eastAsia="宋体" w:cs="宋体"/>
                <w:spacing w:val="0"/>
                <w:sz w:val="19"/>
                <w:szCs w:val="19"/>
              </w:rPr>
              <w:t>0</w:t>
            </w:r>
          </w:p>
        </w:tc>
      </w:tr>
      <w:tr w14:paraId="04F06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0A6CE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行政强制</w:t>
            </w:r>
          </w:p>
        </w:tc>
        <w:tc>
          <w:tcPr>
            <w:tcW w:w="7305" w:type="dxa"/>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60170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pacing w:val="0"/>
                <w:sz w:val="19"/>
                <w:szCs w:val="19"/>
              </w:rPr>
            </w:pPr>
            <w:r>
              <w:rPr>
                <w:rFonts w:hint="eastAsia" w:ascii="宋体" w:hAnsi="宋体" w:eastAsia="宋体" w:cs="宋体"/>
                <w:spacing w:val="0"/>
                <w:sz w:val="19"/>
                <w:szCs w:val="19"/>
              </w:rPr>
              <w:t>0</w:t>
            </w:r>
          </w:p>
        </w:tc>
      </w:tr>
      <w:tr w14:paraId="3BEC0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9735" w:type="dxa"/>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14:paraId="0574C6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第二十条第（八）项</w:t>
            </w:r>
          </w:p>
        </w:tc>
      </w:tr>
      <w:tr w14:paraId="36E6C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D3940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信息内容</w:t>
            </w:r>
          </w:p>
        </w:tc>
        <w:tc>
          <w:tcPr>
            <w:tcW w:w="7305" w:type="dxa"/>
            <w:gridSpan w:val="3"/>
            <w:tcBorders>
              <w:top w:val="single" w:color="auto" w:sz="6" w:space="0"/>
              <w:left w:val="nil"/>
              <w:bottom w:val="single" w:color="auto" w:sz="6" w:space="0"/>
              <w:right w:val="single" w:color="000000" w:sz="6" w:space="0"/>
            </w:tcBorders>
            <w:shd w:val="clear" w:color="auto" w:fill="auto"/>
            <w:tcMar>
              <w:top w:w="0" w:type="dxa"/>
              <w:left w:w="60" w:type="dxa"/>
              <w:bottom w:w="0" w:type="dxa"/>
              <w:right w:w="60" w:type="dxa"/>
            </w:tcMar>
            <w:vAlign w:val="center"/>
          </w:tcPr>
          <w:p w14:paraId="1467CD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本年收费金额（单位：万元）</w:t>
            </w:r>
          </w:p>
        </w:tc>
      </w:tr>
      <w:tr w14:paraId="2A7C2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023EE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行政事业性收费</w:t>
            </w:r>
          </w:p>
        </w:tc>
        <w:tc>
          <w:tcPr>
            <w:tcW w:w="7305" w:type="dxa"/>
            <w:gridSpan w:val="3"/>
            <w:tcBorders>
              <w:top w:val="nil"/>
              <w:left w:val="nil"/>
              <w:bottom w:val="single" w:color="auto" w:sz="6" w:space="0"/>
              <w:right w:val="single" w:color="000000" w:sz="6" w:space="0"/>
            </w:tcBorders>
            <w:shd w:val="clear" w:color="auto" w:fill="auto"/>
            <w:tcMar>
              <w:top w:w="0" w:type="dxa"/>
              <w:left w:w="60" w:type="dxa"/>
              <w:bottom w:w="0" w:type="dxa"/>
              <w:right w:w="60" w:type="dxa"/>
            </w:tcMar>
            <w:vAlign w:val="center"/>
          </w:tcPr>
          <w:p w14:paraId="3F6386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0</w:t>
            </w:r>
          </w:p>
        </w:tc>
      </w:tr>
    </w:tbl>
    <w:p w14:paraId="4C243343">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75" w:afterAutospacing="0"/>
        <w:ind w:left="0" w:right="0"/>
        <w:textAlignment w:val="auto"/>
      </w:pPr>
    </w:p>
    <w:p w14:paraId="664BBE0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Style w:val="5"/>
          <w:rFonts w:hint="eastAsia" w:ascii="黑体" w:hAnsi="黑体" w:eastAsia="黑体" w:cs="黑体"/>
          <w:b w:val="0"/>
          <w:bCs/>
          <w:color w:val="333333"/>
          <w:spacing w:val="0"/>
          <w:sz w:val="32"/>
          <w:szCs w:val="32"/>
          <w:shd w:val="clear" w:fill="FFFFFF"/>
        </w:rPr>
        <w:t>三、收到和处理政府信息公开申请情况</w:t>
      </w:r>
    </w:p>
    <w:tbl>
      <w:tblPr>
        <w:tblStyle w:val="3"/>
        <w:tblW w:w="9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60"/>
        <w:gridCol w:w="941"/>
        <w:gridCol w:w="3205"/>
        <w:gridCol w:w="692"/>
        <w:gridCol w:w="692"/>
        <w:gridCol w:w="692"/>
        <w:gridCol w:w="692"/>
        <w:gridCol w:w="692"/>
        <w:gridCol w:w="692"/>
        <w:gridCol w:w="692"/>
      </w:tblGrid>
      <w:tr w14:paraId="1683E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145"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30A4A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楷体" w:hAnsi="楷体" w:eastAsia="楷体" w:cs="楷体"/>
                <w:spacing w:val="0"/>
                <w:sz w:val="19"/>
                <w:szCs w:val="19"/>
              </w:rPr>
              <w:t>（本列数据的勾稽关系为：第一项加第二项之和，等于第三项加第四项之和）</w:t>
            </w:r>
          </w:p>
        </w:tc>
        <w:tc>
          <w:tcPr>
            <w:tcW w:w="4995" w:type="dxa"/>
            <w:gridSpan w:val="7"/>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75E17C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申请人情况</w:t>
            </w:r>
          </w:p>
        </w:tc>
      </w:tr>
      <w:tr w14:paraId="7F08E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14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21361C2">
            <w:pPr>
              <w:rPr>
                <w:rFonts w:hint="eastAsia" w:ascii="宋体"/>
                <w:sz w:val="24"/>
                <w:szCs w:val="24"/>
              </w:rPr>
            </w:pPr>
          </w:p>
        </w:tc>
        <w:tc>
          <w:tcPr>
            <w:tcW w:w="720" w:type="dxa"/>
            <w:vMerge w:val="restar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3F315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自然人</w:t>
            </w:r>
          </w:p>
        </w:tc>
        <w:tc>
          <w:tcPr>
            <w:tcW w:w="3570" w:type="dxa"/>
            <w:gridSpan w:val="5"/>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40871F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法人或其他组织</w:t>
            </w:r>
          </w:p>
        </w:tc>
        <w:tc>
          <w:tcPr>
            <w:tcW w:w="720" w:type="dxa"/>
            <w:vMerge w:val="restart"/>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4A1429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总计</w:t>
            </w:r>
          </w:p>
        </w:tc>
      </w:tr>
      <w:tr w14:paraId="4764F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14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04ADA71">
            <w:pPr>
              <w:rPr>
                <w:rFonts w:hint="eastAsia" w:ascii="宋体"/>
                <w:sz w:val="24"/>
                <w:szCs w:val="24"/>
              </w:rPr>
            </w:pPr>
          </w:p>
        </w:tc>
        <w:tc>
          <w:tcPr>
            <w:tcW w:w="720"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E74EA82">
            <w:pPr>
              <w:rPr>
                <w:rFonts w:hint="eastAsia" w:ascii="宋体"/>
                <w:sz w:val="24"/>
                <w:szCs w:val="24"/>
              </w:rPr>
            </w:pP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A9885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商业</w:t>
            </w:r>
          </w:p>
          <w:p w14:paraId="5587FE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企业</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7C7FC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科研</w:t>
            </w:r>
          </w:p>
          <w:p w14:paraId="35E293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机构</w:t>
            </w:r>
          </w:p>
        </w:tc>
        <w:tc>
          <w:tcPr>
            <w:tcW w:w="72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7E78D2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社会公益组织</w:t>
            </w:r>
          </w:p>
        </w:tc>
        <w:tc>
          <w:tcPr>
            <w:tcW w:w="72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40A341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法律服务机构</w:t>
            </w:r>
          </w:p>
        </w:tc>
        <w:tc>
          <w:tcPr>
            <w:tcW w:w="72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36F4F4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其他</w:t>
            </w:r>
          </w:p>
        </w:tc>
        <w:tc>
          <w:tcPr>
            <w:tcW w:w="720" w:type="dxa"/>
            <w:vMerge w:val="continue"/>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66C43F73">
            <w:pPr>
              <w:rPr>
                <w:rFonts w:hint="eastAsia" w:ascii="宋体"/>
                <w:sz w:val="24"/>
                <w:szCs w:val="24"/>
              </w:rPr>
            </w:pPr>
          </w:p>
        </w:tc>
      </w:tr>
      <w:tr w14:paraId="0BB4E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145"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51EC5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一、本年新收政府信息公开申请数量</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A2141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eastAsia"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90340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967C6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8686D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627C6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6AE1B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EA0D3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r>
      <w:tr w14:paraId="7F95B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145"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E9D56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二、上年结转政府信息公开申请数量</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B89BE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28629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61698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137EF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6CD5D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93281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FFB50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r>
      <w:tr w14:paraId="4A7E3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80"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3E306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三、本年度办理结果</w:t>
            </w:r>
          </w:p>
        </w:tc>
        <w:tc>
          <w:tcPr>
            <w:tcW w:w="4365"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8F734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（一）予以公开</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76147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BE8B2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6598A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C3D98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0C8BD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B54D5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682380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r>
      <w:tr w14:paraId="79847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851C6F4">
            <w:pPr>
              <w:rPr>
                <w:rFonts w:hint="eastAsia" w:ascii="宋体"/>
                <w:sz w:val="24"/>
                <w:szCs w:val="24"/>
              </w:rPr>
            </w:pPr>
          </w:p>
        </w:tc>
        <w:tc>
          <w:tcPr>
            <w:tcW w:w="4365"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334CB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（二）部分公开</w:t>
            </w:r>
            <w:r>
              <w:rPr>
                <w:rFonts w:hint="eastAsia" w:ascii="楷体" w:hAnsi="楷体" w:eastAsia="楷体" w:cs="楷体"/>
                <w:spacing w:val="0"/>
                <w:sz w:val="19"/>
                <w:szCs w:val="19"/>
              </w:rPr>
              <w:t>（区分处理的，只计这一情形，不计其他情形）</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D4C17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7A2CE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BFD2A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DF148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9C0B3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144F3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86C91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r>
      <w:tr w14:paraId="0C1AD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5B2DF07">
            <w:pPr>
              <w:rPr>
                <w:rFonts w:hint="eastAsia" w:ascii="宋体"/>
                <w:sz w:val="24"/>
                <w:szCs w:val="24"/>
              </w:rPr>
            </w:pPr>
          </w:p>
        </w:tc>
        <w:tc>
          <w:tcPr>
            <w:tcW w:w="960" w:type="dxa"/>
            <w:vMerge w:val="restar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0EC4F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（三）不予公开</w:t>
            </w: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14:paraId="331E72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1.属于国家秘密</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27BE7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FB385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006A5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4D8DF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BB69A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D7FA6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7E55F4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r>
      <w:tr w14:paraId="1A43C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88A8401">
            <w:pPr>
              <w:rPr>
                <w:rFonts w:hint="eastAsia" w:ascii="宋体"/>
                <w:sz w:val="24"/>
                <w:szCs w:val="24"/>
              </w:rPr>
            </w:pPr>
          </w:p>
        </w:tc>
        <w:tc>
          <w:tcPr>
            <w:tcW w:w="960"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46C7FE5">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14:paraId="222C5F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2.其他法律行政法规禁止公开</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8387E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B123A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BF41C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0C588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74720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632E1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C08CC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r>
      <w:tr w14:paraId="0D75A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A943215">
            <w:pPr>
              <w:rPr>
                <w:rFonts w:hint="eastAsia" w:ascii="宋体"/>
                <w:sz w:val="24"/>
                <w:szCs w:val="24"/>
              </w:rPr>
            </w:pPr>
          </w:p>
        </w:tc>
        <w:tc>
          <w:tcPr>
            <w:tcW w:w="960"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2F44DDB">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14:paraId="442F65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3.危及“三安全一稳定”</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30A10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95599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2912A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19A3E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76DB8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93B79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3D070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r>
      <w:tr w14:paraId="4483B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08AB7CC">
            <w:pPr>
              <w:rPr>
                <w:rFonts w:hint="eastAsia" w:ascii="宋体"/>
                <w:sz w:val="24"/>
                <w:szCs w:val="24"/>
              </w:rPr>
            </w:pPr>
          </w:p>
        </w:tc>
        <w:tc>
          <w:tcPr>
            <w:tcW w:w="960"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6670DB3">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14:paraId="6B317C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4.保护第三方合法权益</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CC373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30B82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2608B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48C1F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966C4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B1EDB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90C3A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r>
      <w:tr w14:paraId="26407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57B3AC2">
            <w:pPr>
              <w:rPr>
                <w:rFonts w:hint="eastAsia" w:ascii="宋体"/>
                <w:sz w:val="24"/>
                <w:szCs w:val="24"/>
              </w:rPr>
            </w:pPr>
          </w:p>
        </w:tc>
        <w:tc>
          <w:tcPr>
            <w:tcW w:w="960"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A0F6873">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14:paraId="520FE0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5.属于三类内部事务信息</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96E7D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D2B71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3B0B9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062E7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BC6D0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7FC65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CDB9B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r>
      <w:tr w14:paraId="682A0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FCBB220">
            <w:pPr>
              <w:rPr>
                <w:rFonts w:hint="eastAsia" w:ascii="宋体"/>
                <w:sz w:val="24"/>
                <w:szCs w:val="24"/>
              </w:rPr>
            </w:pPr>
          </w:p>
        </w:tc>
        <w:tc>
          <w:tcPr>
            <w:tcW w:w="960"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4ED27A7">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14:paraId="373FA9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6.属于四类过程性信息</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98C96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121A5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57E64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02CAE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D75B7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7CA96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5908F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r>
      <w:tr w14:paraId="2EB98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AC1A2F8">
            <w:pPr>
              <w:rPr>
                <w:rFonts w:hint="eastAsia" w:ascii="宋体"/>
                <w:sz w:val="24"/>
                <w:szCs w:val="24"/>
              </w:rPr>
            </w:pPr>
          </w:p>
        </w:tc>
        <w:tc>
          <w:tcPr>
            <w:tcW w:w="960"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C617D74">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14:paraId="750B8D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7.属于行政执法案卷</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48EB3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CE6D3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617D4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74402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625BD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1C757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B45CA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r>
      <w:tr w14:paraId="47C12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C2B0CDE">
            <w:pPr>
              <w:rPr>
                <w:rFonts w:hint="eastAsia" w:ascii="宋体"/>
                <w:sz w:val="24"/>
                <w:szCs w:val="24"/>
              </w:rPr>
            </w:pPr>
          </w:p>
        </w:tc>
        <w:tc>
          <w:tcPr>
            <w:tcW w:w="960"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62C7A7B">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14:paraId="391E11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8.属于行政查询事项</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A13E7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7473A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C0C14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530FB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B54C8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083AD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F9185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r>
      <w:tr w14:paraId="52DA1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1BD2C07">
            <w:pPr>
              <w:rPr>
                <w:rFonts w:hint="eastAsia" w:ascii="宋体"/>
                <w:sz w:val="24"/>
                <w:szCs w:val="24"/>
              </w:rPr>
            </w:pPr>
          </w:p>
        </w:tc>
        <w:tc>
          <w:tcPr>
            <w:tcW w:w="960" w:type="dxa"/>
            <w:vMerge w:val="restar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F1D98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（四）无法提供</w:t>
            </w: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14:paraId="3BD8EC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1.本机关不掌握相关政府信息</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18DF0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E4076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DA335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EE2AF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023E2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E8FDA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422BE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r>
      <w:tr w14:paraId="47329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6BE502C">
            <w:pPr>
              <w:rPr>
                <w:rFonts w:hint="eastAsia" w:ascii="宋体"/>
                <w:sz w:val="24"/>
                <w:szCs w:val="24"/>
              </w:rPr>
            </w:pPr>
          </w:p>
        </w:tc>
        <w:tc>
          <w:tcPr>
            <w:tcW w:w="960"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875814B">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14:paraId="26BDA4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2.没有现成信息需要另行制作</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F7611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55D1C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FEF6D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E61C5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0E649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1132D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BB51E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r>
      <w:tr w14:paraId="611B7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E7CDB25">
            <w:pPr>
              <w:rPr>
                <w:rFonts w:hint="eastAsia" w:ascii="宋体"/>
                <w:sz w:val="24"/>
                <w:szCs w:val="24"/>
              </w:rPr>
            </w:pPr>
          </w:p>
        </w:tc>
        <w:tc>
          <w:tcPr>
            <w:tcW w:w="960"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3EEA634">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14:paraId="7E3CDE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3.补正后申请内容仍不明确</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A9C6C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56098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CC751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12E51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FC844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210C9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91427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r>
      <w:tr w14:paraId="5C49E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F07310D">
            <w:pPr>
              <w:rPr>
                <w:rFonts w:hint="eastAsia" w:ascii="宋体"/>
                <w:sz w:val="24"/>
                <w:szCs w:val="24"/>
              </w:rPr>
            </w:pPr>
          </w:p>
        </w:tc>
        <w:tc>
          <w:tcPr>
            <w:tcW w:w="960" w:type="dxa"/>
            <w:vMerge w:val="restar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231FC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（五）不予处理</w:t>
            </w: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14:paraId="4A0B9C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1.信访举报投诉类申请</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0EB02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C162C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3F2A6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96708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03E78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4E6D0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CDA05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r>
      <w:tr w14:paraId="21667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DEEB410">
            <w:pPr>
              <w:rPr>
                <w:rFonts w:hint="eastAsia" w:ascii="宋体"/>
                <w:sz w:val="24"/>
                <w:szCs w:val="24"/>
              </w:rPr>
            </w:pPr>
          </w:p>
        </w:tc>
        <w:tc>
          <w:tcPr>
            <w:tcW w:w="960"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3803786">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14:paraId="2B39B0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2.重复申请</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8843D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BDC66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BCE99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55B24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9C17C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6E267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A035B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r>
      <w:tr w14:paraId="5B72C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489B5B6">
            <w:pPr>
              <w:rPr>
                <w:rFonts w:hint="eastAsia" w:ascii="宋体"/>
                <w:sz w:val="24"/>
                <w:szCs w:val="24"/>
              </w:rPr>
            </w:pPr>
          </w:p>
        </w:tc>
        <w:tc>
          <w:tcPr>
            <w:tcW w:w="960"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26F208E">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14:paraId="6F132C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3.要求提供公开出版物</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0280B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9C677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C090D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46625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5986A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BA485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89BE0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r>
      <w:tr w14:paraId="641A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A9EC019">
            <w:pPr>
              <w:rPr>
                <w:rFonts w:hint="eastAsia" w:ascii="宋体"/>
                <w:sz w:val="24"/>
                <w:szCs w:val="24"/>
              </w:rPr>
            </w:pPr>
          </w:p>
        </w:tc>
        <w:tc>
          <w:tcPr>
            <w:tcW w:w="960"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01E15F5">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14:paraId="3347BE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4.无正当理由大量反复申请</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9C2AB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69E2B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A9932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FC3B3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FA53E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415B2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277E6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r>
      <w:tr w14:paraId="6A759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015D383">
            <w:pPr>
              <w:rPr>
                <w:rFonts w:hint="eastAsia" w:ascii="宋体"/>
                <w:sz w:val="24"/>
                <w:szCs w:val="24"/>
              </w:rPr>
            </w:pPr>
          </w:p>
        </w:tc>
        <w:tc>
          <w:tcPr>
            <w:tcW w:w="960"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BD90676">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2CD65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5.要求行政机关确认或重新出具已获取信息</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FBE0F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512C8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12A15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4A367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385BA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AFD36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1A74E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r>
      <w:tr w14:paraId="5C5E6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804917C">
            <w:pPr>
              <w:rPr>
                <w:rFonts w:hint="eastAsia" w:ascii="宋体"/>
                <w:sz w:val="24"/>
                <w:szCs w:val="24"/>
              </w:rPr>
            </w:pPr>
          </w:p>
        </w:tc>
        <w:tc>
          <w:tcPr>
            <w:tcW w:w="960" w:type="dxa"/>
            <w:vMerge w:val="restar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74B8A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（六）其他处理</w:t>
            </w:r>
          </w:p>
        </w:tc>
        <w:tc>
          <w:tcPr>
            <w:tcW w:w="3405" w:type="dxa"/>
            <w:tcBorders>
              <w:top w:val="nil"/>
              <w:left w:val="nil"/>
              <w:bottom w:val="single" w:color="auto" w:sz="4" w:space="0"/>
              <w:right w:val="single" w:color="auto" w:sz="6" w:space="0"/>
            </w:tcBorders>
            <w:shd w:val="clear" w:color="auto" w:fill="auto"/>
            <w:tcMar>
              <w:top w:w="0" w:type="dxa"/>
              <w:left w:w="60" w:type="dxa"/>
              <w:bottom w:w="0" w:type="dxa"/>
              <w:right w:w="60" w:type="dxa"/>
            </w:tcMar>
            <w:vAlign w:val="center"/>
          </w:tcPr>
          <w:p w14:paraId="6AEAD8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1.申请人无正当理由逾期不补正、行政机关不再处理其政府信息公开申请</w:t>
            </w:r>
          </w:p>
        </w:tc>
        <w:tc>
          <w:tcPr>
            <w:tcW w:w="720" w:type="dxa"/>
            <w:tcBorders>
              <w:top w:val="nil"/>
              <w:left w:val="nil"/>
              <w:bottom w:val="single" w:color="auto" w:sz="4" w:space="0"/>
              <w:right w:val="single" w:color="auto" w:sz="6" w:space="0"/>
            </w:tcBorders>
            <w:shd w:val="clear" w:color="auto" w:fill="auto"/>
            <w:tcMar>
              <w:top w:w="0" w:type="dxa"/>
              <w:left w:w="60" w:type="dxa"/>
              <w:bottom w:w="0" w:type="dxa"/>
              <w:right w:w="60" w:type="dxa"/>
            </w:tcMar>
            <w:vAlign w:val="center"/>
          </w:tcPr>
          <w:p w14:paraId="68029C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4" w:space="0"/>
              <w:right w:val="single" w:color="auto" w:sz="6" w:space="0"/>
            </w:tcBorders>
            <w:shd w:val="clear" w:color="auto" w:fill="auto"/>
            <w:tcMar>
              <w:top w:w="0" w:type="dxa"/>
              <w:left w:w="60" w:type="dxa"/>
              <w:bottom w:w="0" w:type="dxa"/>
              <w:right w:w="60" w:type="dxa"/>
            </w:tcMar>
            <w:vAlign w:val="center"/>
          </w:tcPr>
          <w:p w14:paraId="62495B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4" w:space="0"/>
              <w:right w:val="single" w:color="auto" w:sz="6" w:space="0"/>
            </w:tcBorders>
            <w:shd w:val="clear" w:color="auto" w:fill="auto"/>
            <w:tcMar>
              <w:top w:w="0" w:type="dxa"/>
              <w:left w:w="60" w:type="dxa"/>
              <w:bottom w:w="0" w:type="dxa"/>
              <w:right w:w="60" w:type="dxa"/>
            </w:tcMar>
            <w:vAlign w:val="center"/>
          </w:tcPr>
          <w:p w14:paraId="246BC8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4" w:space="0"/>
              <w:right w:val="single" w:color="auto" w:sz="6" w:space="0"/>
            </w:tcBorders>
            <w:shd w:val="clear" w:color="auto" w:fill="auto"/>
            <w:tcMar>
              <w:top w:w="0" w:type="dxa"/>
              <w:left w:w="60" w:type="dxa"/>
              <w:bottom w:w="0" w:type="dxa"/>
              <w:right w:w="60" w:type="dxa"/>
            </w:tcMar>
            <w:vAlign w:val="center"/>
          </w:tcPr>
          <w:p w14:paraId="7B3481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4" w:space="0"/>
              <w:right w:val="single" w:color="auto" w:sz="6" w:space="0"/>
            </w:tcBorders>
            <w:shd w:val="clear" w:color="auto" w:fill="auto"/>
            <w:tcMar>
              <w:top w:w="0" w:type="dxa"/>
              <w:left w:w="60" w:type="dxa"/>
              <w:bottom w:w="0" w:type="dxa"/>
              <w:right w:w="60" w:type="dxa"/>
            </w:tcMar>
            <w:vAlign w:val="center"/>
          </w:tcPr>
          <w:p w14:paraId="69E1B5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4" w:space="0"/>
              <w:right w:val="single" w:color="auto" w:sz="6" w:space="0"/>
            </w:tcBorders>
            <w:shd w:val="clear" w:color="auto" w:fill="auto"/>
            <w:tcMar>
              <w:top w:w="0" w:type="dxa"/>
              <w:left w:w="60" w:type="dxa"/>
              <w:bottom w:w="0" w:type="dxa"/>
              <w:right w:w="60" w:type="dxa"/>
            </w:tcMar>
            <w:vAlign w:val="center"/>
          </w:tcPr>
          <w:p w14:paraId="52B234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4" w:space="0"/>
              <w:right w:val="single" w:color="auto" w:sz="6" w:space="0"/>
            </w:tcBorders>
            <w:shd w:val="clear" w:color="auto" w:fill="auto"/>
            <w:tcMar>
              <w:top w:w="0" w:type="dxa"/>
              <w:left w:w="60" w:type="dxa"/>
              <w:bottom w:w="0" w:type="dxa"/>
              <w:right w:w="60" w:type="dxa"/>
            </w:tcMar>
            <w:vAlign w:val="center"/>
          </w:tcPr>
          <w:p w14:paraId="0BA068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r>
      <w:tr w14:paraId="49EFD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0A0740C">
            <w:pPr>
              <w:rPr>
                <w:rFonts w:hint="eastAsia" w:ascii="宋体"/>
                <w:sz w:val="24"/>
                <w:szCs w:val="24"/>
              </w:rPr>
            </w:pPr>
          </w:p>
        </w:tc>
        <w:tc>
          <w:tcPr>
            <w:tcW w:w="960"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FE8517D">
            <w:pPr>
              <w:rPr>
                <w:rFonts w:hint="eastAsia" w:ascii="宋体"/>
                <w:sz w:val="24"/>
                <w:szCs w:val="24"/>
              </w:rPr>
            </w:pPr>
          </w:p>
        </w:tc>
        <w:tc>
          <w:tcPr>
            <w:tcW w:w="3405" w:type="dxa"/>
            <w:tcBorders>
              <w:top w:val="single" w:color="auto" w:sz="4"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5529BF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2.申请人逾期未按收费通知要求缴纳费用、行政机关不再处理其政府信息公开申请</w:t>
            </w:r>
          </w:p>
        </w:tc>
        <w:tc>
          <w:tcPr>
            <w:tcW w:w="720" w:type="dxa"/>
            <w:tcBorders>
              <w:top w:val="single" w:color="auto" w:sz="4"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5B9DF4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single" w:color="auto" w:sz="4"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5686DF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single" w:color="auto" w:sz="4"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290F4D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single" w:color="auto" w:sz="4"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7D8843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single" w:color="auto" w:sz="4"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0EE126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single" w:color="auto" w:sz="4"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455BC4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single" w:color="auto" w:sz="4"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52B93A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r>
      <w:tr w14:paraId="6DBB2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88123E6">
            <w:pPr>
              <w:rPr>
                <w:rFonts w:hint="eastAsia" w:ascii="宋体"/>
                <w:sz w:val="24"/>
                <w:szCs w:val="24"/>
              </w:rPr>
            </w:pPr>
          </w:p>
        </w:tc>
        <w:tc>
          <w:tcPr>
            <w:tcW w:w="960"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E1E98BB">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7C83A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3.其他</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CB5EA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A0C9E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BACBF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B8EB9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D9149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E12CB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8CAB8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r>
      <w:tr w14:paraId="28CCD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7675A68">
            <w:pPr>
              <w:rPr>
                <w:rFonts w:hint="eastAsia" w:ascii="宋体"/>
                <w:sz w:val="24"/>
                <w:szCs w:val="24"/>
              </w:rPr>
            </w:pPr>
          </w:p>
        </w:tc>
        <w:tc>
          <w:tcPr>
            <w:tcW w:w="4365"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B3F47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（七）总计</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056E1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00DD6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88CD7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7B72F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07C15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FB38B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F5A87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r>
      <w:tr w14:paraId="47127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145"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CF9D1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四、结转下年度继续办理</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2D513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7B7D4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83088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279DC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A9C5A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7540E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595DB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eastAsia" w:ascii="宋体" w:hAnsi="宋体" w:eastAsia="宋体" w:cs="宋体"/>
                <w:spacing w:val="0"/>
                <w:sz w:val="19"/>
                <w:szCs w:val="19"/>
              </w:rPr>
              <w:t>0</w:t>
            </w:r>
          </w:p>
        </w:tc>
      </w:tr>
    </w:tbl>
    <w:p w14:paraId="7A73D68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Style w:val="5"/>
          <w:rFonts w:hint="eastAsia" w:ascii="黑体" w:hAnsi="黑体" w:eastAsia="黑体" w:cs="黑体"/>
          <w:b w:val="0"/>
          <w:bCs/>
          <w:color w:val="333333"/>
          <w:spacing w:val="0"/>
          <w:sz w:val="32"/>
          <w:szCs w:val="32"/>
          <w:shd w:val="clear" w:fill="FFFFFF"/>
        </w:rPr>
        <w:t>四、政府信息公开行政复议、行政诉讼情况</w:t>
      </w:r>
      <w:r>
        <w:rPr>
          <w:rFonts w:hint="eastAsia" w:ascii="宋体" w:hAnsi="宋体" w:eastAsia="宋体" w:cs="宋体"/>
          <w:color w:val="333333"/>
          <w:spacing w:val="0"/>
          <w:shd w:val="clear" w:fill="FFFFFF"/>
        </w:rPr>
        <w:t> </w:t>
      </w:r>
    </w:p>
    <w:tbl>
      <w:tblPr>
        <w:tblStyle w:val="3"/>
        <w:tblW w:w="9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50"/>
        <w:gridCol w:w="650"/>
        <w:gridCol w:w="650"/>
        <w:gridCol w:w="650"/>
        <w:gridCol w:w="650"/>
        <w:gridCol w:w="650"/>
        <w:gridCol w:w="650"/>
        <w:gridCol w:w="650"/>
        <w:gridCol w:w="650"/>
        <w:gridCol w:w="650"/>
        <w:gridCol w:w="650"/>
        <w:gridCol w:w="650"/>
        <w:gridCol w:w="650"/>
        <w:gridCol w:w="650"/>
        <w:gridCol w:w="650"/>
      </w:tblGrid>
      <w:tr w14:paraId="15668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21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C7000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行政复议</w:t>
            </w:r>
          </w:p>
        </w:tc>
        <w:tc>
          <w:tcPr>
            <w:tcW w:w="6435"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55CC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行政诉讼</w:t>
            </w:r>
          </w:p>
        </w:tc>
      </w:tr>
      <w:tr w14:paraId="45D26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4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8C4D1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结果维持</w:t>
            </w:r>
          </w:p>
        </w:tc>
        <w:tc>
          <w:tcPr>
            <w:tcW w:w="64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F5FD9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结果</w:t>
            </w:r>
            <w:r>
              <w:rPr>
                <w:rFonts w:hint="eastAsia" w:ascii="宋体" w:hAnsi="宋体" w:eastAsia="宋体" w:cs="宋体"/>
                <w:spacing w:val="0"/>
                <w:sz w:val="19"/>
                <w:szCs w:val="19"/>
              </w:rPr>
              <w:br w:type="textWrapping"/>
            </w:r>
            <w:r>
              <w:rPr>
                <w:rFonts w:hint="eastAsia" w:ascii="宋体" w:hAnsi="宋体" w:eastAsia="宋体" w:cs="宋体"/>
                <w:spacing w:val="0"/>
                <w:sz w:val="19"/>
                <w:szCs w:val="19"/>
              </w:rPr>
              <w:t>纠正</w:t>
            </w:r>
          </w:p>
        </w:tc>
        <w:tc>
          <w:tcPr>
            <w:tcW w:w="64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C8119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其他</w:t>
            </w:r>
            <w:r>
              <w:rPr>
                <w:rFonts w:hint="eastAsia" w:ascii="宋体" w:hAnsi="宋体" w:eastAsia="宋体" w:cs="宋体"/>
                <w:spacing w:val="0"/>
                <w:sz w:val="19"/>
                <w:szCs w:val="19"/>
              </w:rPr>
              <w:br w:type="textWrapping"/>
            </w:r>
            <w:r>
              <w:rPr>
                <w:rFonts w:hint="eastAsia" w:ascii="宋体" w:hAnsi="宋体" w:eastAsia="宋体" w:cs="宋体"/>
                <w:spacing w:val="0"/>
                <w:sz w:val="19"/>
                <w:szCs w:val="19"/>
              </w:rPr>
              <w:t>结果</w:t>
            </w:r>
          </w:p>
        </w:tc>
        <w:tc>
          <w:tcPr>
            <w:tcW w:w="64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E23B3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尚未</w:t>
            </w:r>
            <w:r>
              <w:rPr>
                <w:rFonts w:hint="eastAsia" w:ascii="宋体" w:hAnsi="宋体" w:eastAsia="宋体" w:cs="宋体"/>
                <w:spacing w:val="0"/>
                <w:sz w:val="19"/>
                <w:szCs w:val="19"/>
              </w:rPr>
              <w:br w:type="textWrapping"/>
            </w:r>
            <w:r>
              <w:rPr>
                <w:rFonts w:hint="eastAsia" w:ascii="宋体" w:hAnsi="宋体" w:eastAsia="宋体" w:cs="宋体"/>
                <w:spacing w:val="0"/>
                <w:sz w:val="19"/>
                <w:szCs w:val="19"/>
              </w:rPr>
              <w:t>审结</w:t>
            </w:r>
          </w:p>
        </w:tc>
        <w:tc>
          <w:tcPr>
            <w:tcW w:w="64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9E58E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总计</w:t>
            </w:r>
          </w:p>
        </w:tc>
        <w:tc>
          <w:tcPr>
            <w:tcW w:w="321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FD6F1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未经复议直接起诉</w:t>
            </w:r>
          </w:p>
        </w:tc>
        <w:tc>
          <w:tcPr>
            <w:tcW w:w="321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5FC91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复议后起诉</w:t>
            </w:r>
          </w:p>
        </w:tc>
      </w:tr>
      <w:tr w14:paraId="52BB2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DCBC2E2">
            <w:pPr>
              <w:rPr>
                <w:rFonts w:hint="eastAsia" w:ascii="宋体"/>
                <w:sz w:val="24"/>
                <w:szCs w:val="24"/>
              </w:rPr>
            </w:pPr>
          </w:p>
        </w:tc>
        <w:tc>
          <w:tcPr>
            <w:tcW w:w="64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BB241CF">
            <w:pPr>
              <w:rPr>
                <w:rFonts w:hint="eastAsia" w:ascii="宋体"/>
                <w:sz w:val="24"/>
                <w:szCs w:val="24"/>
              </w:rPr>
            </w:pPr>
          </w:p>
        </w:tc>
        <w:tc>
          <w:tcPr>
            <w:tcW w:w="64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6ECC044">
            <w:pPr>
              <w:rPr>
                <w:rFonts w:hint="eastAsia" w:ascii="宋体"/>
                <w:sz w:val="24"/>
                <w:szCs w:val="24"/>
              </w:rPr>
            </w:pPr>
          </w:p>
        </w:tc>
        <w:tc>
          <w:tcPr>
            <w:tcW w:w="64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B3611FC">
            <w:pPr>
              <w:rPr>
                <w:rFonts w:hint="eastAsia" w:ascii="宋体"/>
                <w:sz w:val="24"/>
                <w:szCs w:val="24"/>
              </w:rPr>
            </w:pPr>
          </w:p>
        </w:tc>
        <w:tc>
          <w:tcPr>
            <w:tcW w:w="64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56012B8">
            <w:pPr>
              <w:rPr>
                <w:rFonts w:hint="eastAsia" w:ascii="宋体"/>
                <w:sz w:val="24"/>
                <w:szCs w:val="24"/>
              </w:rPr>
            </w:pP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4048C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结果</w:t>
            </w:r>
            <w:r>
              <w:rPr>
                <w:rFonts w:hint="eastAsia" w:ascii="宋体" w:hAnsi="宋体" w:eastAsia="宋体" w:cs="宋体"/>
                <w:spacing w:val="0"/>
                <w:sz w:val="19"/>
                <w:szCs w:val="19"/>
              </w:rPr>
              <w:br w:type="textWrapping"/>
            </w:r>
            <w:r>
              <w:rPr>
                <w:rFonts w:hint="eastAsia" w:ascii="宋体" w:hAnsi="宋体" w:eastAsia="宋体" w:cs="宋体"/>
                <w:spacing w:val="0"/>
                <w:sz w:val="19"/>
                <w:szCs w:val="19"/>
              </w:rPr>
              <w:t>维持</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B12F5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结果</w:t>
            </w:r>
            <w:r>
              <w:rPr>
                <w:rFonts w:hint="eastAsia" w:ascii="宋体" w:hAnsi="宋体" w:eastAsia="宋体" w:cs="宋体"/>
                <w:spacing w:val="0"/>
                <w:sz w:val="19"/>
                <w:szCs w:val="19"/>
              </w:rPr>
              <w:br w:type="textWrapping"/>
            </w:r>
            <w:r>
              <w:rPr>
                <w:rFonts w:hint="eastAsia" w:ascii="宋体" w:hAnsi="宋体" w:eastAsia="宋体" w:cs="宋体"/>
                <w:spacing w:val="0"/>
                <w:sz w:val="19"/>
                <w:szCs w:val="19"/>
              </w:rPr>
              <w:t>纠正</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67BA1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其他</w:t>
            </w:r>
            <w:r>
              <w:rPr>
                <w:rFonts w:hint="eastAsia" w:ascii="宋体" w:hAnsi="宋体" w:eastAsia="宋体" w:cs="宋体"/>
                <w:spacing w:val="0"/>
                <w:sz w:val="19"/>
                <w:szCs w:val="19"/>
              </w:rPr>
              <w:br w:type="textWrapping"/>
            </w:r>
            <w:r>
              <w:rPr>
                <w:rFonts w:hint="eastAsia" w:ascii="宋体" w:hAnsi="宋体" w:eastAsia="宋体" w:cs="宋体"/>
                <w:spacing w:val="0"/>
                <w:sz w:val="19"/>
                <w:szCs w:val="19"/>
              </w:rPr>
              <w:t>结果</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56B9C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尚未</w:t>
            </w:r>
            <w:r>
              <w:rPr>
                <w:rFonts w:hint="eastAsia" w:ascii="宋体" w:hAnsi="宋体" w:eastAsia="宋体" w:cs="宋体"/>
                <w:spacing w:val="0"/>
                <w:sz w:val="19"/>
                <w:szCs w:val="19"/>
              </w:rPr>
              <w:br w:type="textWrapping"/>
            </w:r>
            <w:r>
              <w:rPr>
                <w:rFonts w:hint="eastAsia" w:ascii="宋体" w:hAnsi="宋体" w:eastAsia="宋体" w:cs="宋体"/>
                <w:spacing w:val="0"/>
                <w:sz w:val="19"/>
                <w:szCs w:val="19"/>
              </w:rPr>
              <w:t>审结</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2C3E2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总计</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437C6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结果</w:t>
            </w:r>
            <w:r>
              <w:rPr>
                <w:rFonts w:hint="eastAsia" w:ascii="宋体" w:hAnsi="宋体" w:eastAsia="宋体" w:cs="宋体"/>
                <w:spacing w:val="0"/>
                <w:sz w:val="19"/>
                <w:szCs w:val="19"/>
              </w:rPr>
              <w:br w:type="textWrapping"/>
            </w:r>
            <w:r>
              <w:rPr>
                <w:rFonts w:hint="eastAsia" w:ascii="宋体" w:hAnsi="宋体" w:eastAsia="宋体" w:cs="宋体"/>
                <w:spacing w:val="0"/>
                <w:sz w:val="19"/>
                <w:szCs w:val="19"/>
              </w:rPr>
              <w:t>维持</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CAC6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结果</w:t>
            </w:r>
            <w:r>
              <w:rPr>
                <w:rFonts w:hint="eastAsia" w:ascii="宋体" w:hAnsi="宋体" w:eastAsia="宋体" w:cs="宋体"/>
                <w:spacing w:val="0"/>
                <w:sz w:val="19"/>
                <w:szCs w:val="19"/>
              </w:rPr>
              <w:br w:type="textWrapping"/>
            </w:r>
            <w:r>
              <w:rPr>
                <w:rFonts w:hint="eastAsia" w:ascii="宋体" w:hAnsi="宋体" w:eastAsia="宋体" w:cs="宋体"/>
                <w:spacing w:val="0"/>
                <w:sz w:val="19"/>
                <w:szCs w:val="19"/>
              </w:rPr>
              <w:t>纠正</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3FB05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其他</w:t>
            </w:r>
            <w:r>
              <w:rPr>
                <w:rFonts w:hint="eastAsia" w:ascii="宋体" w:hAnsi="宋体" w:eastAsia="宋体" w:cs="宋体"/>
                <w:spacing w:val="0"/>
                <w:sz w:val="19"/>
                <w:szCs w:val="19"/>
              </w:rPr>
              <w:br w:type="textWrapping"/>
            </w:r>
            <w:r>
              <w:rPr>
                <w:rFonts w:hint="eastAsia" w:ascii="宋体" w:hAnsi="宋体" w:eastAsia="宋体" w:cs="宋体"/>
                <w:spacing w:val="0"/>
                <w:sz w:val="19"/>
                <w:szCs w:val="19"/>
              </w:rPr>
              <w:t>结果</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5ADD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尚未</w:t>
            </w:r>
            <w:r>
              <w:rPr>
                <w:rFonts w:hint="eastAsia" w:ascii="宋体" w:hAnsi="宋体" w:eastAsia="宋体" w:cs="宋体"/>
                <w:spacing w:val="0"/>
                <w:sz w:val="19"/>
                <w:szCs w:val="19"/>
              </w:rPr>
              <w:br w:type="textWrapping"/>
            </w:r>
            <w:r>
              <w:rPr>
                <w:rFonts w:hint="eastAsia" w:ascii="宋体" w:hAnsi="宋体" w:eastAsia="宋体" w:cs="宋体"/>
                <w:spacing w:val="0"/>
                <w:sz w:val="19"/>
                <w:szCs w:val="19"/>
              </w:rPr>
              <w:t>审结</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D2527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总计</w:t>
            </w:r>
          </w:p>
        </w:tc>
      </w:tr>
      <w:tr w14:paraId="7A163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64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7FAF5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CAC90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74721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DE747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C8D0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A4394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3A01E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C6243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EBAC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085DA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E7443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5FE53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10BCC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1C1D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default" w:ascii="宋体" w:hAnsi="宋体" w:eastAsia="宋体" w:cs="宋体"/>
                <w:spacing w:val="0"/>
                <w:sz w:val="19"/>
                <w:szCs w:val="19"/>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2BE2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0"/>
                <w:sz w:val="19"/>
                <w:szCs w:val="19"/>
              </w:rPr>
            </w:pPr>
            <w:r>
              <w:rPr>
                <w:rFonts w:hint="eastAsia" w:ascii="宋体" w:hAnsi="宋体" w:eastAsia="宋体" w:cs="宋体"/>
                <w:spacing w:val="0"/>
                <w:sz w:val="19"/>
                <w:szCs w:val="19"/>
              </w:rPr>
              <w:t>0</w:t>
            </w:r>
          </w:p>
        </w:tc>
      </w:tr>
    </w:tbl>
    <w:p w14:paraId="54D2E4A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5"/>
          <w:rFonts w:hint="eastAsia" w:ascii="黑体" w:hAnsi="黑体" w:eastAsia="黑体" w:cs="黑体"/>
          <w:b w:val="0"/>
          <w:bCs/>
          <w:color w:val="333333"/>
          <w:spacing w:val="0"/>
          <w:sz w:val="32"/>
          <w:szCs w:val="32"/>
          <w:shd w:val="clear" w:fill="FFFFFF"/>
        </w:rPr>
      </w:pPr>
      <w:r>
        <w:rPr>
          <w:rStyle w:val="5"/>
          <w:rFonts w:hint="eastAsia" w:ascii="黑体" w:hAnsi="黑体" w:eastAsia="黑体" w:cs="黑体"/>
          <w:b w:val="0"/>
          <w:bCs/>
          <w:color w:val="333333"/>
          <w:spacing w:val="0"/>
          <w:sz w:val="32"/>
          <w:szCs w:val="32"/>
          <w:shd w:val="clear" w:fill="FFFFFF"/>
        </w:rPr>
        <w:t>五、存在的主要问题及改进情况</w:t>
      </w:r>
    </w:p>
    <w:p w14:paraId="3CEBDED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202</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年，县审计局在政府信息公开工作中规范了信息公开的形为、完善了信息公开的相关工作机制，取得了一定的成效。但在主动公开政府信息内容的全面性还有不足之处，今后将从以下几个方面加以改进： </w:t>
      </w:r>
    </w:p>
    <w:p w14:paraId="0B171B9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pacing w:val="0"/>
          <w:sz w:val="32"/>
          <w:szCs w:val="32"/>
        </w:rPr>
      </w:pPr>
      <w:r>
        <w:rPr>
          <w:rStyle w:val="5"/>
          <w:rFonts w:hint="eastAsia" w:ascii="楷体" w:hAnsi="楷体" w:eastAsia="楷体" w:cs="楷体"/>
          <w:b w:val="0"/>
          <w:bCs/>
          <w:spacing w:val="0"/>
          <w:sz w:val="32"/>
          <w:szCs w:val="32"/>
        </w:rPr>
        <w:t>（一）</w:t>
      </w:r>
      <w:r>
        <w:rPr>
          <w:rStyle w:val="5"/>
          <w:rFonts w:hint="eastAsia" w:ascii="楷体" w:hAnsi="楷体" w:eastAsia="楷体" w:cs="楷体"/>
          <w:b w:val="0"/>
          <w:bCs/>
          <w:spacing w:val="0"/>
          <w:sz w:val="32"/>
          <w:szCs w:val="32"/>
          <w:lang w:eastAsia="zh-CN"/>
        </w:rPr>
        <w:t>提高认识，增强信息公开程度。</w:t>
      </w:r>
      <w:r>
        <w:rPr>
          <w:rFonts w:hint="eastAsia" w:ascii="仿宋_GB2312" w:hAnsi="仿宋_GB2312" w:eastAsia="仿宋_GB2312" w:cs="仿宋_GB2312"/>
          <w:spacing w:val="0"/>
          <w:sz w:val="32"/>
          <w:szCs w:val="32"/>
          <w:lang w:eastAsia="zh-CN"/>
        </w:rPr>
        <w:t>转变思想观念，认识到信息公开的目的是促进政治民主、经济发展和社会进步，保密是为了维护国家的安全和利益，二者都是国家利益之所在，不可偏废。</w:t>
      </w:r>
    </w:p>
    <w:p w14:paraId="6F68389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Style w:val="5"/>
          <w:rFonts w:hint="eastAsia" w:ascii="楷体" w:hAnsi="楷体" w:eastAsia="楷体" w:cs="楷体"/>
          <w:b w:val="0"/>
          <w:bCs/>
          <w:spacing w:val="0"/>
          <w:sz w:val="32"/>
          <w:szCs w:val="32"/>
        </w:rPr>
        <w:t>（</w:t>
      </w:r>
      <w:r>
        <w:rPr>
          <w:rStyle w:val="5"/>
          <w:rFonts w:hint="eastAsia" w:ascii="楷体" w:hAnsi="楷体" w:eastAsia="楷体" w:cs="楷体"/>
          <w:b w:val="0"/>
          <w:bCs/>
          <w:spacing w:val="0"/>
          <w:sz w:val="32"/>
          <w:szCs w:val="32"/>
          <w:lang w:eastAsia="zh-CN"/>
        </w:rPr>
        <w:t>二</w:t>
      </w:r>
      <w:r>
        <w:rPr>
          <w:rStyle w:val="5"/>
          <w:rFonts w:hint="eastAsia" w:ascii="楷体" w:hAnsi="楷体" w:eastAsia="楷体" w:cs="楷体"/>
          <w:b w:val="0"/>
          <w:bCs/>
          <w:spacing w:val="0"/>
          <w:sz w:val="32"/>
          <w:szCs w:val="32"/>
        </w:rPr>
        <w:t>）规范信息公开工作流程。</w:t>
      </w:r>
      <w:r>
        <w:rPr>
          <w:rFonts w:hint="eastAsia" w:ascii="仿宋_GB2312" w:hAnsi="仿宋_GB2312" w:eastAsia="仿宋_GB2312" w:cs="仿宋_GB2312"/>
          <w:spacing w:val="0"/>
          <w:sz w:val="32"/>
          <w:szCs w:val="32"/>
        </w:rPr>
        <w:t>按照“以政务公开是常态，不公开是例外”的总体要求，进一步做好信息公开工作，确保政府信息公开工作能按照既定的工作流程有效运作。</w:t>
      </w:r>
    </w:p>
    <w:p w14:paraId="615833E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Style w:val="5"/>
          <w:rFonts w:hint="eastAsia" w:ascii="楷体" w:hAnsi="楷体" w:eastAsia="楷体" w:cs="楷体"/>
          <w:b w:val="0"/>
          <w:bCs/>
          <w:spacing w:val="0"/>
          <w:sz w:val="32"/>
          <w:szCs w:val="32"/>
        </w:rPr>
        <w:t>（</w:t>
      </w:r>
      <w:r>
        <w:rPr>
          <w:rStyle w:val="5"/>
          <w:rFonts w:hint="eastAsia" w:ascii="楷体" w:hAnsi="楷体" w:eastAsia="楷体" w:cs="楷体"/>
          <w:b w:val="0"/>
          <w:bCs/>
          <w:spacing w:val="0"/>
          <w:sz w:val="32"/>
          <w:szCs w:val="32"/>
          <w:lang w:eastAsia="zh-CN"/>
        </w:rPr>
        <w:t>三</w:t>
      </w:r>
      <w:r>
        <w:rPr>
          <w:rStyle w:val="5"/>
          <w:rFonts w:hint="eastAsia" w:ascii="楷体" w:hAnsi="楷体" w:eastAsia="楷体" w:cs="楷体"/>
          <w:b w:val="0"/>
          <w:bCs/>
          <w:spacing w:val="0"/>
          <w:sz w:val="32"/>
          <w:szCs w:val="32"/>
        </w:rPr>
        <w:t>）完善信息公开管理制度。</w:t>
      </w:r>
      <w:r>
        <w:rPr>
          <w:rFonts w:hint="eastAsia" w:ascii="仿宋_GB2312" w:hAnsi="仿宋_GB2312" w:eastAsia="仿宋_GB2312" w:cs="仿宋_GB2312"/>
          <w:spacing w:val="0"/>
          <w:sz w:val="32"/>
          <w:szCs w:val="32"/>
        </w:rPr>
        <w:t>健全政府信息公开发布、依法申请公开、保密审查、责任追究等制度，严格把关，确保信息发布及时、权威、规范，确保政府信息公开工作的落实开展</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做到动态工作随时公开、日常性工作按时公开、阶段性工作逐段公开。</w:t>
      </w:r>
    </w:p>
    <w:p w14:paraId="7C9A5FA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5"/>
          <w:rFonts w:hint="eastAsia" w:ascii="黑体" w:hAnsi="黑体" w:eastAsia="黑体" w:cs="黑体"/>
          <w:b w:val="0"/>
          <w:bCs/>
          <w:color w:val="333333"/>
          <w:spacing w:val="0"/>
          <w:sz w:val="32"/>
          <w:szCs w:val="32"/>
          <w:shd w:val="clear" w:fill="FFFFFF"/>
        </w:rPr>
      </w:pPr>
      <w:r>
        <w:rPr>
          <w:rStyle w:val="5"/>
          <w:rFonts w:hint="eastAsia" w:ascii="黑体" w:hAnsi="黑体" w:eastAsia="黑体" w:cs="黑体"/>
          <w:b w:val="0"/>
          <w:bCs/>
          <w:color w:val="333333"/>
          <w:spacing w:val="0"/>
          <w:sz w:val="32"/>
          <w:szCs w:val="32"/>
          <w:shd w:val="clear" w:fill="FFFFFF"/>
        </w:rPr>
        <w:t>六、其他需要报告的事项</w:t>
      </w:r>
    </w:p>
    <w:p w14:paraId="590F649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依据《政府信息公开信息处理费管理办法》规定，本年度未收取政府信息处理费。 </w:t>
      </w:r>
    </w:p>
    <w:p w14:paraId="2C410DA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pacing w:val="0"/>
          <w:sz w:val="32"/>
          <w:szCs w:val="32"/>
          <w:shd w:val="clear" w:fill="FFFFFF"/>
        </w:rPr>
      </w:pPr>
      <w:r>
        <w:rPr>
          <w:rFonts w:hint="eastAsia" w:ascii="仿宋_GB2312" w:hAnsi="仿宋_GB2312" w:eastAsia="仿宋_GB2312" w:cs="仿宋_GB2312"/>
          <w:spacing w:val="0"/>
          <w:sz w:val="32"/>
          <w:szCs w:val="32"/>
          <w:shd w:val="clear" w:fill="FFFFFF"/>
        </w:rPr>
        <w:t> </w:t>
      </w:r>
    </w:p>
    <w:p w14:paraId="2FFA766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pacing w:val="0"/>
          <w:sz w:val="32"/>
          <w:szCs w:val="32"/>
          <w:shd w:val="clear" w:fill="FFFFFF"/>
        </w:rPr>
      </w:pPr>
    </w:p>
    <w:p w14:paraId="6221786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shd w:val="clear" w:fill="FFFFFF"/>
        </w:rPr>
        <w:t>                                      </w:t>
      </w:r>
      <w:r>
        <w:rPr>
          <w:rFonts w:hint="eastAsia" w:ascii="仿宋_GB2312" w:hAnsi="仿宋_GB2312" w:eastAsia="仿宋_GB2312" w:cs="仿宋_GB2312"/>
          <w:spacing w:val="0"/>
          <w:sz w:val="32"/>
          <w:szCs w:val="32"/>
          <w:shd w:val="clear" w:fill="FFFFFF"/>
          <w:lang w:val="en-US" w:eastAsia="zh-CN"/>
        </w:rPr>
        <w:t xml:space="preserve">  </w:t>
      </w:r>
      <w:r>
        <w:rPr>
          <w:rFonts w:hint="eastAsia" w:ascii="仿宋_GB2312" w:hAnsi="仿宋_GB2312" w:eastAsia="仿宋_GB2312" w:cs="仿宋_GB2312"/>
          <w:spacing w:val="0"/>
          <w:sz w:val="32"/>
          <w:szCs w:val="32"/>
          <w:shd w:val="clear" w:fill="FFFFFF"/>
        </w:rPr>
        <w:t>魏县审计局</w:t>
      </w:r>
    </w:p>
    <w:p w14:paraId="32369CD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shd w:val="clear" w:fill="FFFFFF"/>
        </w:rPr>
        <w:t>                                      202</w:t>
      </w:r>
      <w:r>
        <w:rPr>
          <w:rFonts w:hint="eastAsia" w:ascii="仿宋_GB2312" w:hAnsi="仿宋_GB2312" w:eastAsia="仿宋_GB2312" w:cs="仿宋_GB2312"/>
          <w:spacing w:val="0"/>
          <w:sz w:val="32"/>
          <w:szCs w:val="32"/>
          <w:shd w:val="clear" w:fill="FFFFFF"/>
          <w:lang w:val="en-US" w:eastAsia="zh-CN"/>
        </w:rPr>
        <w:t>5</w:t>
      </w:r>
      <w:r>
        <w:rPr>
          <w:rFonts w:hint="eastAsia" w:ascii="仿宋_GB2312" w:hAnsi="仿宋_GB2312" w:eastAsia="仿宋_GB2312" w:cs="仿宋_GB2312"/>
          <w:spacing w:val="0"/>
          <w:sz w:val="32"/>
          <w:szCs w:val="32"/>
          <w:shd w:val="clear" w:fill="FFFFFF"/>
        </w:rPr>
        <w:t>年1月</w:t>
      </w:r>
      <w:r>
        <w:rPr>
          <w:rFonts w:hint="eastAsia" w:ascii="仿宋_GB2312" w:hAnsi="仿宋_GB2312" w:eastAsia="仿宋_GB2312" w:cs="仿宋_GB2312"/>
          <w:spacing w:val="0"/>
          <w:sz w:val="32"/>
          <w:szCs w:val="32"/>
          <w:shd w:val="clear" w:fill="FFFFFF"/>
          <w:lang w:val="en-US" w:eastAsia="zh-CN"/>
        </w:rPr>
        <w:t>13</w:t>
      </w:r>
      <w:r>
        <w:rPr>
          <w:rFonts w:hint="eastAsia" w:ascii="仿宋_GB2312" w:hAnsi="仿宋_GB2312" w:eastAsia="仿宋_GB2312" w:cs="仿宋_GB2312"/>
          <w:spacing w:val="0"/>
          <w:sz w:val="32"/>
          <w:szCs w:val="32"/>
          <w:shd w:val="clear" w:fill="FFFFFF"/>
        </w:rPr>
        <w:t>日</w:t>
      </w:r>
    </w:p>
    <w:p w14:paraId="2EF925B1">
      <w:pPr>
        <w:pStyle w:val="2"/>
        <w:keepNext w:val="0"/>
        <w:keepLines w:val="0"/>
        <w:widowControl/>
        <w:suppressLineNumbers w:val="0"/>
        <w:spacing w:before="75" w:beforeAutospacing="0" w:after="75" w:afterAutospacing="0"/>
        <w:ind w:left="0" w:right="0"/>
        <w:rPr>
          <w:rFonts w:hint="eastAsia" w:ascii="仿宋_GB2312" w:hAnsi="仿宋_GB2312" w:eastAsia="仿宋_GB2312" w:cs="仿宋_GB2312"/>
          <w:sz w:val="32"/>
          <w:szCs w:val="32"/>
        </w:rPr>
      </w:pPr>
    </w:p>
    <w:p w14:paraId="1DDCD591">
      <w:pPr>
        <w:pStyle w:val="2"/>
        <w:keepNext w:val="0"/>
        <w:keepLines w:val="0"/>
        <w:widowControl/>
        <w:suppressLineNumbers w:val="0"/>
        <w:spacing w:before="75" w:beforeAutospacing="0" w:after="75" w:afterAutospacing="0"/>
        <w:ind w:left="0" w:right="0"/>
        <w:rPr>
          <w:rFonts w:hint="eastAsia" w:ascii="仿宋_GB2312" w:hAnsi="仿宋_GB2312" w:eastAsia="仿宋_GB2312" w:cs="仿宋_GB2312"/>
          <w:sz w:val="32"/>
          <w:szCs w:val="32"/>
        </w:rPr>
      </w:pPr>
    </w:p>
    <w:p w14:paraId="265F99F9">
      <w:pPr>
        <w:rPr>
          <w:rFonts w:hint="eastAsia" w:ascii="仿宋_GB2312" w:hAnsi="仿宋_GB2312" w:eastAsia="仿宋_GB2312" w:cs="仿宋_GB2312"/>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MmYwY2E0ODRkYzcyMWYyM2RmZTI5OTM1MTQxODMifQ=="/>
  </w:docVars>
  <w:rsids>
    <w:rsidRoot w:val="134833B4"/>
    <w:rsid w:val="00CD3142"/>
    <w:rsid w:val="022F3000"/>
    <w:rsid w:val="030B0FEF"/>
    <w:rsid w:val="05557275"/>
    <w:rsid w:val="05B66C8F"/>
    <w:rsid w:val="07DC62EB"/>
    <w:rsid w:val="08E20390"/>
    <w:rsid w:val="09C707CB"/>
    <w:rsid w:val="0B0F3A0A"/>
    <w:rsid w:val="0D191848"/>
    <w:rsid w:val="0E7019A5"/>
    <w:rsid w:val="11BE0614"/>
    <w:rsid w:val="1226611F"/>
    <w:rsid w:val="134833B4"/>
    <w:rsid w:val="13FA41EA"/>
    <w:rsid w:val="1434317D"/>
    <w:rsid w:val="17E15EFC"/>
    <w:rsid w:val="1C177C1F"/>
    <w:rsid w:val="22584292"/>
    <w:rsid w:val="22614C07"/>
    <w:rsid w:val="266D30B2"/>
    <w:rsid w:val="27A24AA0"/>
    <w:rsid w:val="28A549DB"/>
    <w:rsid w:val="295108F9"/>
    <w:rsid w:val="2BD83729"/>
    <w:rsid w:val="2C823811"/>
    <w:rsid w:val="2F283F6D"/>
    <w:rsid w:val="2FBE1148"/>
    <w:rsid w:val="2FF41FDE"/>
    <w:rsid w:val="302F3016"/>
    <w:rsid w:val="30646094"/>
    <w:rsid w:val="339A6AF2"/>
    <w:rsid w:val="3762240D"/>
    <w:rsid w:val="3A38402B"/>
    <w:rsid w:val="3C667C14"/>
    <w:rsid w:val="3D37198B"/>
    <w:rsid w:val="415724FC"/>
    <w:rsid w:val="4255690C"/>
    <w:rsid w:val="43BB07BE"/>
    <w:rsid w:val="44243657"/>
    <w:rsid w:val="46BB0E35"/>
    <w:rsid w:val="47E1200B"/>
    <w:rsid w:val="487C1FF8"/>
    <w:rsid w:val="4A061E6D"/>
    <w:rsid w:val="4BC13264"/>
    <w:rsid w:val="4F3877A3"/>
    <w:rsid w:val="51D07D5D"/>
    <w:rsid w:val="5B614857"/>
    <w:rsid w:val="5C2B64CB"/>
    <w:rsid w:val="5CBC0573"/>
    <w:rsid w:val="5E3806B8"/>
    <w:rsid w:val="5F660938"/>
    <w:rsid w:val="603E4A2C"/>
    <w:rsid w:val="6212377B"/>
    <w:rsid w:val="62DD25D8"/>
    <w:rsid w:val="63BF07A5"/>
    <w:rsid w:val="64906F67"/>
    <w:rsid w:val="687F619C"/>
    <w:rsid w:val="68922259"/>
    <w:rsid w:val="6BDC3353"/>
    <w:rsid w:val="6E7A19D9"/>
    <w:rsid w:val="6ED958DF"/>
    <w:rsid w:val="6F423A2A"/>
    <w:rsid w:val="701B7FB3"/>
    <w:rsid w:val="746B51D8"/>
    <w:rsid w:val="75383CE8"/>
    <w:rsid w:val="759E38D0"/>
    <w:rsid w:val="75CE3731"/>
    <w:rsid w:val="77D206BD"/>
    <w:rsid w:val="78CF4963"/>
    <w:rsid w:val="78DF3CF7"/>
    <w:rsid w:val="7B190FCD"/>
    <w:rsid w:val="7BBC0DD2"/>
    <w:rsid w:val="7C7A7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2143</Words>
  <Characters>2185</Characters>
  <Lines>0</Lines>
  <Paragraphs>0</Paragraphs>
  <TotalTime>45</TotalTime>
  <ScaleCrop>false</ScaleCrop>
  <LinksUpToDate>false</LinksUpToDate>
  <CharactersWithSpaces>2275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2024-01-17T07:56:00Z</dcterms:created>
  <dc:creator>WPS_1637308892</dc:creator>
  <cp:lastModifiedBy>WPS_1637308892</cp:lastModifiedBy>
  <dcterms:modified xsi:type="dcterms:W3CDTF">2025-01-14T02:25:51Z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737FBFEE198746B3ABFD7A7DDB59C63B_13</vt:lpwstr>
  </property>
  <property fmtid="{D5CDD505-2E9C-101B-9397-08002B2CF9AE}" pid="4" name="KSOTemplateDocerSaveRecord">
    <vt:lpwstr>eyJoZGlkIjoiYWU0MjIxMWQ0NmNhMTg3N2UwYWRmN2IwM2ZhODliMjYiLCJ1c2VySWQiOiIxMjkyMjE5NzgyIn0=</vt:lpwstr>
  </property>
</Properties>
</file>