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0F5CC">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jc w:val="center"/>
        <w:textAlignment w:val="auto"/>
        <w:rPr>
          <w:rFonts w:hint="default" w:ascii="宋体" w:hAnsi="宋体" w:eastAsia="宋体" w:cs="宋体"/>
          <w:b/>
          <w:bCs/>
          <w:color w:val="333333"/>
          <w:kern w:val="0"/>
          <w:sz w:val="44"/>
          <w:szCs w:val="44"/>
          <w:lang w:val="en-US" w:eastAsia="zh-CN"/>
        </w:rPr>
      </w:pPr>
      <w:r>
        <w:rPr>
          <w:rFonts w:hint="eastAsia" w:ascii="宋体" w:hAnsi="宋体" w:eastAsia="宋体" w:cs="宋体"/>
          <w:b/>
          <w:bCs/>
          <w:color w:val="333333"/>
          <w:kern w:val="0"/>
          <w:sz w:val="44"/>
          <w:szCs w:val="44"/>
          <w:lang w:val="en-US" w:eastAsia="zh-CN"/>
        </w:rPr>
        <w:t>魏县前大磨乡人民政府</w:t>
      </w:r>
    </w:p>
    <w:p w14:paraId="0C10E3E8">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jc w:val="center"/>
        <w:textAlignment w:val="auto"/>
        <w:rPr>
          <w:rFonts w:ascii="宋体" w:hAnsi="宋体" w:eastAsia="宋体" w:cs="宋体"/>
          <w:color w:val="333333"/>
          <w:kern w:val="0"/>
          <w:sz w:val="44"/>
          <w:szCs w:val="44"/>
        </w:rPr>
      </w:pPr>
      <w:r>
        <w:rPr>
          <w:rFonts w:hint="eastAsia" w:ascii="宋体" w:hAnsi="宋体" w:eastAsia="宋体" w:cs="宋体"/>
          <w:b/>
          <w:bCs/>
          <w:color w:val="333333"/>
          <w:kern w:val="0"/>
          <w:sz w:val="44"/>
          <w:szCs w:val="44"/>
          <w:lang w:val="en-US" w:eastAsia="zh-CN"/>
        </w:rPr>
        <w:t>2024年</w:t>
      </w:r>
      <w:r>
        <w:rPr>
          <w:rFonts w:hint="eastAsia" w:ascii="宋体" w:hAnsi="宋体" w:eastAsia="宋体" w:cs="宋体"/>
          <w:b/>
          <w:bCs/>
          <w:color w:val="333333"/>
          <w:kern w:val="0"/>
          <w:sz w:val="44"/>
          <w:szCs w:val="44"/>
        </w:rPr>
        <w:t>政府信息公开工作年度报告</w:t>
      </w:r>
    </w:p>
    <w:p w14:paraId="21FD75AC">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ascii="宋体" w:hAnsi="宋体" w:eastAsia="宋体" w:cs="宋体"/>
          <w:color w:val="333333"/>
          <w:kern w:val="0"/>
          <w:sz w:val="24"/>
          <w:szCs w:val="24"/>
        </w:rPr>
      </w:pPr>
    </w:p>
    <w:p w14:paraId="515D078F">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hint="eastAsia" w:ascii="黑体" w:hAnsi="黑体" w:eastAsia="黑体" w:cs="黑体"/>
          <w:color w:val="333333"/>
          <w:kern w:val="0"/>
          <w:sz w:val="32"/>
          <w:szCs w:val="32"/>
        </w:rPr>
      </w:pPr>
      <w:r>
        <w:rPr>
          <w:rFonts w:hint="eastAsia" w:ascii="黑体" w:hAnsi="黑体" w:eastAsia="黑体" w:cs="黑体"/>
          <w:b/>
          <w:bCs/>
          <w:color w:val="333333"/>
          <w:kern w:val="0"/>
          <w:sz w:val="32"/>
          <w:szCs w:val="32"/>
        </w:rPr>
        <w:t>一、总体情况</w:t>
      </w:r>
    </w:p>
    <w:p w14:paraId="40A03D17">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202</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年，我乡把信息公开工作作为增强依法行政透明度，强化社会监督，服务群众的一个重要手段来抓，夯实了政府信息公开的基础性工作。政府信息公开工作制度完备、组织机构健全、职责分工明确、载体形式规范、公开内容及时准确，及时向社会和民众公开政务信息，提高了政府工作的透明度，保障了人民的知情权。</w:t>
      </w:r>
    </w:p>
    <w:p w14:paraId="29FB9A10">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按照政府信息公开工作要求,我乡调整充实了信息公开领导小组，由党委书记任组长。领导小组下设办公室设在党政办，落实专人具体负责处理日常事务。认真按照编制政府信息公开目录要求，梳理政务信息公开资料、公开数据、公开内容，促进了全乡政府信息公开及时、有效、权威，理顺了责任主体和领导机制，确保了政府信息公开工作的有效运行。</w:t>
      </w:r>
    </w:p>
    <w:p w14:paraId="16AB14D8">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前大磨乡人民政府信息公开工作严格按照“公开为原则，不公开为例外”的总体要求，妥善处理公开与保密的关系，合理界定信息公开范围，做到积极稳妥，及时准确，公开、公正、便民。202</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年主动公开信息3条。前大磨乡人民政府除涉密信息外，该公开的政府信息已公开。202</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年度，前大磨乡人民政府依申请公开的政府信息数量和不予公开的政府信息数量为0。202</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年1月1日至12月31日，我乡共受理各种答复0件。202</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年度前大磨乡人民政府未收到因政府信息依申请公开的行政复议、行政诉讼案件。</w:t>
      </w:r>
    </w:p>
    <w:p w14:paraId="5D626BEA">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二、主动公开政府信息情况</w:t>
      </w:r>
    </w:p>
    <w:p w14:paraId="7F39F424">
      <w:pPr>
        <w:widowControl/>
        <w:shd w:val="clear" w:color="auto" w:fill="FFFFFF"/>
        <w:ind w:firstLine="480"/>
        <w:rPr>
          <w:rFonts w:ascii="宋体" w:hAnsi="宋体" w:eastAsia="宋体" w:cs="宋体"/>
          <w:color w:val="333333"/>
          <w:kern w:val="0"/>
          <w:sz w:val="24"/>
          <w:szCs w:val="24"/>
        </w:rPr>
      </w:pP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14:paraId="1A92AA3D">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0B611B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45960A0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431805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32D0E2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48F8A2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D44FC1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14:paraId="5066A36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C08B1BA">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926CF2A">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D5572B3">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E6610C7">
            <w:pPr>
              <w:widowControl/>
              <w:jc w:val="left"/>
              <w:rPr>
                <w:rFonts w:hint="eastAsia" w:ascii="宋体" w:hAnsi="宋体" w:eastAsia="宋体" w:cs="宋体"/>
                <w:kern w:val="0"/>
                <w:sz w:val="24"/>
                <w:szCs w:val="24"/>
                <w:lang w:val="en-US" w:eastAsia="zh-CN"/>
              </w:rPr>
            </w:pPr>
            <w:r>
              <w:rPr>
                <w:rFonts w:ascii="Calibri" w:hAnsi="Calibri" w:eastAsia="宋体" w:cs="Calibri"/>
                <w:kern w:val="0"/>
                <w:szCs w:val="21"/>
              </w:rPr>
              <w:t> </w:t>
            </w:r>
            <w:r>
              <w:rPr>
                <w:rFonts w:hint="eastAsia" w:ascii="Calibri" w:hAnsi="Calibri" w:eastAsia="宋体" w:cs="Calibri"/>
                <w:kern w:val="0"/>
                <w:szCs w:val="21"/>
                <w:lang w:val="en-US" w:eastAsia="zh-CN"/>
              </w:rPr>
              <w:t>0</w:t>
            </w:r>
          </w:p>
        </w:tc>
      </w:tr>
      <w:tr w14:paraId="7E10281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F8ADED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85A7DCE">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71E8B514">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02D8559">
            <w:pPr>
              <w:widowControl/>
              <w:jc w:val="left"/>
              <w:rPr>
                <w:rFonts w:hint="eastAsia" w:ascii="宋体" w:hAnsi="宋体" w:eastAsia="宋体" w:cs="宋体"/>
                <w:kern w:val="0"/>
                <w:sz w:val="24"/>
                <w:szCs w:val="24"/>
                <w:lang w:val="en-US" w:eastAsia="zh-CN"/>
              </w:rPr>
            </w:pPr>
            <w:r>
              <w:rPr>
                <w:rFonts w:ascii="Calibri" w:hAnsi="Calibri" w:eastAsia="宋体" w:cs="Calibri"/>
                <w:kern w:val="0"/>
                <w:szCs w:val="21"/>
              </w:rPr>
              <w:t> </w:t>
            </w:r>
            <w:r>
              <w:rPr>
                <w:rFonts w:hint="eastAsia" w:ascii="Calibri" w:hAnsi="Calibri" w:eastAsia="宋体" w:cs="Calibri"/>
                <w:kern w:val="0"/>
                <w:szCs w:val="21"/>
                <w:lang w:val="en-US" w:eastAsia="zh-CN"/>
              </w:rPr>
              <w:t>0</w:t>
            </w:r>
          </w:p>
        </w:tc>
      </w:tr>
      <w:tr w14:paraId="3AC7EE3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115E37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7CFC0E5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E29D9DE">
            <w:pPr>
              <w:widowControl/>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6BD5BAA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3139A5C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78AB28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9F45E3A">
            <w:pPr>
              <w:widowControl/>
              <w:jc w:val="left"/>
              <w:rPr>
                <w:rFonts w:hint="eastAsia" w:ascii="宋体" w:hAnsi="宋体" w:eastAsia="宋体" w:cs="宋体"/>
                <w:kern w:val="0"/>
                <w:sz w:val="24"/>
                <w:szCs w:val="24"/>
                <w:lang w:val="en-US" w:eastAsia="zh-CN"/>
              </w:rPr>
            </w:pPr>
            <w:r>
              <w:rPr>
                <w:rFonts w:ascii="Calibri" w:hAnsi="Calibri" w:eastAsia="宋体" w:cs="Calibri"/>
                <w:kern w:val="0"/>
                <w:szCs w:val="21"/>
              </w:rPr>
              <w:t> </w:t>
            </w:r>
            <w:r>
              <w:rPr>
                <w:rFonts w:hint="eastAsia" w:ascii="Calibri" w:hAnsi="Calibri" w:eastAsia="宋体" w:cs="Calibri"/>
                <w:kern w:val="0"/>
                <w:szCs w:val="21"/>
                <w:lang w:val="en-US" w:eastAsia="zh-CN"/>
              </w:rPr>
              <w:t>0</w:t>
            </w:r>
          </w:p>
        </w:tc>
      </w:tr>
      <w:tr w14:paraId="3FD7E2F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A74089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2BFE2B6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CC5BB6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F430FD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66BE11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F73082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AAF89DB">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34FF37E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A82CAD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6E59C922">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0B06EAB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A6C863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148BB1C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C4E0AC7">
            <w:pPr>
              <w:widowControl/>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5263F85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41011BF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C58D170">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74F2163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2EDA6C3A">
      <w:pPr>
        <w:widowControl/>
        <w:jc w:val="left"/>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14:paraId="106DBE14">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三、收到和处理政府信息公开申请情况</w:t>
      </w:r>
    </w:p>
    <w:p w14:paraId="5D8D2F09">
      <w:pPr>
        <w:widowControl/>
        <w:shd w:val="clear" w:color="auto" w:fill="FFFFFF"/>
        <w:ind w:firstLine="480"/>
        <w:rPr>
          <w:rFonts w:ascii="宋体" w:hAnsi="宋体" w:eastAsia="宋体" w:cs="宋体"/>
          <w:color w:val="333333"/>
          <w:kern w:val="0"/>
          <w:sz w:val="24"/>
          <w:szCs w:val="24"/>
        </w:rPr>
      </w:pPr>
    </w:p>
    <w:tbl>
      <w:tblPr>
        <w:tblStyle w:val="4"/>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299CB9E2">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025F9488">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9C8481A">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0802BD16">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F9E3A5A">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39D6D9BA">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57DCCC7">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4BD0B0AB">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67177151">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09D11EA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2296B46">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6E5B34">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14:paraId="2CBB3D9C">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B0E1BC">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14:paraId="7D11FB2C">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B7406F1">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2BE841D">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520E0BA">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3023A417">
            <w:pPr>
              <w:widowControl/>
              <w:jc w:val="left"/>
              <w:rPr>
                <w:rFonts w:ascii="宋体" w:hAnsi="宋体" w:eastAsia="宋体" w:cs="宋体"/>
                <w:kern w:val="0"/>
                <w:sz w:val="24"/>
                <w:szCs w:val="24"/>
              </w:rPr>
            </w:pPr>
          </w:p>
        </w:tc>
      </w:tr>
      <w:tr w14:paraId="4133A432">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FEB4BEF">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BEC45C">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B33A04">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D17EFE">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3E9CF2">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BDEA58">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4C9829">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14:paraId="05511628">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1493331B">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0395AD0">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5E651C">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5729D2">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EA05112">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E48E74">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4F0AAA">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A377DE">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14:paraId="190AE46C">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798D6BB0">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3C26AEE4">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65B2D0E">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C02534">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67EC7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F73E79F">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B25FB2">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4ABE2C">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09BEEB">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14:paraId="26099895">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41B461E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48AB43C">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16165EE">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6E66C3">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D1F00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0DC2C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2ABAD7D">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7829529">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19FF57">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A382524">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1BF08AE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CCC47E5">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A2B9A81">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91C0D79">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1A1129A">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980B74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AC411F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18C901">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6F8DBC">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4E66239">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14:paraId="33E2783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6DAA7BD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42851AC">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E98C87F">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674224F">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E3CF90">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61E61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4ACA5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C9C0F2">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DDA1D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E5D675">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911B6DD">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2409FDD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E20416B">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1AFE6C0">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55F68C7">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9CE5ED">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88261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2D6F1A">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CB227A">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48C83F">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F120DA">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246F8C7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230235C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CEDB58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2325598">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5C421D3">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B98A9F">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F7A58A">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4FFED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FC36C7F">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707E3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B19A98">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558F8113">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1C308E8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9B04DDF">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F5AA452">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4EDE378">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B4AA8D">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42A240C">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742D1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8E9EFE">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1EC08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3BA0CF">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49E6754">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187016F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1964905">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C5093B0">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4342253">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8AA4E9">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5A7B6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1A9B7F4">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EE47F8">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B05C7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1BA6F1">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65FC83F6">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30E96BA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7CF59AB">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BE2869F">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4C68936">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FF8BB3">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434BE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2FBCB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3E0996">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9677F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052E6C">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BD09A0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18F9A65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D44089B">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9023CF8">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FE516E6">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90D778">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9E2CB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F73BE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18A537">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32BA5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582E68C">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54B3A51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70770CC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FA5C727">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91A3367">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3DF5F00">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699D19">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E819E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C7AEE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7CA185">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50833D">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3CAA7E">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FED643A">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468DE2A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EF98100">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33DC852">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931F5EB">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2ACF05">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73F78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98C5085">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EA4C7D9">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ABD106">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45A681">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2B12146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26EEFE7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625065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55AC3DC">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8C11F4B">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BF19D0">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884BD3">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61A68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5BDEF8">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25BD0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963B3C">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496CA7E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72B74C6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40728D8">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4B3E479B">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12D9AB4">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C55827">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B0DC02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7BC3D36">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7A8AB7">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A7205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9026E8">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995773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00C7B6E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B05E959">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4E76109">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BB2BD7F">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CFA9FA">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E2DAC3">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907EE5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97EB68">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E914B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A016D4">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7D0EF9A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4A5733A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7CFD086">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59020C9">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A03581D">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638B130">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ADE3E7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E2D6C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9791E8">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89A72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73A982">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704F373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6D39228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A48ED21">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489DCD1">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6D8112C">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C76BDB">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6C36EF">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C77EF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6ADF6B">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77796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D15CDA">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2753ED2D">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41598C28">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617C8BDD">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21DDC0D">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14:paraId="0CFCABCC">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647DF97C">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37AFF585">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4264102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4AACBBEF">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20DDC148">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4955592B">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top"/>
          </w:tcPr>
          <w:p w14:paraId="084DF32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5B19C3A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8FA1C51">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73A1DA73">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6673A083">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4E7627">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2CEEC7">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2C615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663024">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520A9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56B392">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2090E3D">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5F3F359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3F161AD">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4F6E953D">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1F17976A">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50FFCD">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0D734C">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775DD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E40828">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4216C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B30702">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1037C1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4914F52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5A3C32A">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684AFA78">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630BB832">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49D3CC">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C787423">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9EC4D4">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6E2F6E5">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D44249">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B4E7F13">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6ECCF2E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6F61A4B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73DBEBA">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1439E883">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7F8482">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54BA40">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04487C4">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D4F3D7">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50039F">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77480B">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3E6955B">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14:paraId="4BC13A31">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90A9320">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6C2D6B">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181101">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035CF4">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7A1E17">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D228AE">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812B8D">
            <w:pPr>
              <w:widowControl/>
              <w:jc w:val="center"/>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09FC32C2">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bl>
    <w:p w14:paraId="60C8E04B">
      <w:pPr>
        <w:widowControl/>
        <w:shd w:val="clear" w:color="auto" w:fill="FFFFFF"/>
        <w:jc w:val="center"/>
        <w:rPr>
          <w:rFonts w:ascii="宋体" w:hAnsi="宋体" w:eastAsia="宋体" w:cs="宋体"/>
          <w:color w:val="333333"/>
          <w:kern w:val="0"/>
          <w:sz w:val="24"/>
          <w:szCs w:val="24"/>
        </w:rPr>
      </w:pPr>
    </w:p>
    <w:p w14:paraId="11C3B977">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四、政府信息公开行政复议、行政诉讼情况</w:t>
      </w:r>
    </w:p>
    <w:p w14:paraId="6735DBE8">
      <w:pPr>
        <w:widowControl/>
        <w:shd w:val="clear" w:color="auto" w:fill="FFFFFF"/>
        <w:jc w:val="center"/>
        <w:rPr>
          <w:rFonts w:ascii="宋体" w:hAnsi="宋体" w:eastAsia="宋体" w:cs="宋体"/>
          <w:color w:val="333333"/>
          <w:kern w:val="0"/>
          <w:sz w:val="24"/>
          <w:szCs w:val="24"/>
        </w:rPr>
      </w:pPr>
    </w:p>
    <w:tbl>
      <w:tblPr>
        <w:tblStyle w:val="4"/>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23F922D">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68DCCD">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E7F669">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3DF98959">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545FD4">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396F93">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DF58D2">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BDA4FD">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74D184">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8F09F6">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8A31A2">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4679AC6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389F839">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6DBD5424">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BFAC8BC">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35D1ADF8">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63AAD27">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5B9A8D">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C21119">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DD30F9">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2582AE">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35E36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8BBD42">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487ECC">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6BA19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2D3417">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26608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2C0B171A">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5A6DD1">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CBB03A">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1DCA5A">
            <w:pPr>
              <w:widowControl/>
              <w:jc w:val="center"/>
              <w:rPr>
                <w:rFonts w:ascii="宋体" w:hAnsi="宋体" w:eastAsia="宋体" w:cs="宋体"/>
                <w:kern w:val="0"/>
                <w:sz w:val="24"/>
                <w:szCs w:val="24"/>
              </w:rPr>
            </w:pPr>
            <w:r>
              <w:rPr>
                <w:rFonts w:hint="eastAsia" w:ascii="Calibri" w:hAnsi="Calibri" w:eastAsia="黑体" w:cs="Calibri"/>
                <w:kern w:val="0"/>
                <w:sz w:val="20"/>
                <w:szCs w:val="20"/>
                <w:lang w:val="en-US" w:eastAsia="zh-CN"/>
              </w:rPr>
              <w:t>0</w:t>
            </w:r>
            <w:r>
              <w:rPr>
                <w:rFonts w:ascii="Calibri" w:hAnsi="Calibri" w:eastAsia="黑体" w:cs="Calibri"/>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A11C96">
            <w:pPr>
              <w:widowControl/>
              <w:jc w:val="center"/>
              <w:rPr>
                <w:rFonts w:ascii="宋体" w:hAnsi="宋体" w:eastAsia="宋体" w:cs="宋体"/>
                <w:kern w:val="0"/>
                <w:sz w:val="24"/>
                <w:szCs w:val="24"/>
              </w:rPr>
            </w:pPr>
            <w:r>
              <w:rPr>
                <w:rFonts w:hint="eastAsia" w:ascii="Calibri" w:hAnsi="Calibri" w:eastAsia="黑体" w:cs="Calibri"/>
                <w:kern w:val="0"/>
                <w:sz w:val="20"/>
                <w:szCs w:val="20"/>
                <w:lang w:val="en-US" w:eastAsia="zh-CN"/>
              </w:rPr>
              <w:t>0</w:t>
            </w:r>
            <w:r>
              <w:rPr>
                <w:rFonts w:ascii="Calibri" w:hAnsi="Calibri" w:eastAsia="黑体" w:cs="Calibri"/>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6B94A1">
            <w:pPr>
              <w:widowControl/>
              <w:jc w:val="center"/>
              <w:rPr>
                <w:rFonts w:ascii="宋体" w:hAnsi="宋体" w:eastAsia="宋体" w:cs="宋体"/>
                <w:kern w:val="0"/>
                <w:sz w:val="24"/>
                <w:szCs w:val="24"/>
              </w:rPr>
            </w:pPr>
            <w:r>
              <w:rPr>
                <w:rFonts w:hint="eastAsia" w:ascii="Calibri" w:hAnsi="Calibri" w:eastAsia="黑体" w:cs="Calibri"/>
                <w:kern w:val="0"/>
                <w:sz w:val="20"/>
                <w:szCs w:val="20"/>
                <w:lang w:val="en-US" w:eastAsia="zh-CN"/>
              </w:rPr>
              <w:t>0</w:t>
            </w:r>
            <w:r>
              <w:rPr>
                <w:rFonts w:ascii="Calibri" w:hAnsi="Calibri" w:eastAsia="黑体" w:cs="Calibri"/>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ECF02D">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748D0E">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27DD3F">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1000B2">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8EA559">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12EF08">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E8AE4E">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714398">
            <w:pPr>
              <w:widowControl/>
              <w:jc w:val="center"/>
              <w:rPr>
                <w:rFonts w:hint="eastAsia" w:ascii="宋体" w:hAnsi="宋体" w:eastAsia="黑体" w:cs="宋体"/>
                <w:kern w:val="0"/>
                <w:sz w:val="24"/>
                <w:szCs w:val="24"/>
                <w:lang w:val="en-US" w:eastAsia="zh-CN"/>
              </w:rPr>
            </w:pPr>
            <w:r>
              <w:rPr>
                <w:rFonts w:ascii="Calibri" w:hAnsi="Calibri" w:eastAsia="黑体" w:cs="Calibri"/>
                <w:kern w:val="0"/>
                <w:sz w:val="20"/>
                <w:szCs w:val="20"/>
              </w:rPr>
              <w:t> </w:t>
            </w: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8CF3C6">
            <w:pPr>
              <w:widowControl/>
              <w:jc w:val="center"/>
              <w:rPr>
                <w:rFonts w:ascii="宋体" w:hAnsi="宋体" w:eastAsia="宋体" w:cs="宋体"/>
                <w:kern w:val="0"/>
                <w:sz w:val="24"/>
                <w:szCs w:val="24"/>
              </w:rPr>
            </w:pPr>
            <w:r>
              <w:rPr>
                <w:rFonts w:hint="eastAsia" w:ascii="Calibri" w:hAnsi="Calibri" w:eastAsia="黑体" w:cs="Calibri"/>
                <w:kern w:val="0"/>
                <w:sz w:val="20"/>
                <w:szCs w:val="20"/>
                <w:lang w:val="en-US" w:eastAsia="zh-CN"/>
              </w:rPr>
              <w:t>0</w:t>
            </w:r>
            <w:r>
              <w:rPr>
                <w:rFonts w:ascii="Calibri" w:hAnsi="Calibri" w:eastAsia="黑体" w:cs="Calibri"/>
                <w:kern w:val="0"/>
                <w:sz w:val="20"/>
                <w:szCs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DAC32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0BCFC03C">
      <w:pPr>
        <w:widowControl/>
        <w:jc w:val="left"/>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14:paraId="57EE562B">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五、存在的主要问题及改进情况</w:t>
      </w:r>
    </w:p>
    <w:p w14:paraId="29CF4194">
      <w:pPr>
        <w:widowControl/>
        <w:shd w:val="clear" w:color="auto" w:fill="FFFFFF"/>
        <w:ind w:firstLine="48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202</w:t>
      </w:r>
      <w:r>
        <w:rPr>
          <w:rFonts w:hint="eastAsia" w:ascii="仿宋" w:hAnsi="仿宋" w:eastAsia="仿宋" w:cs="仿宋"/>
          <w:color w:val="333333"/>
          <w:kern w:val="0"/>
          <w:sz w:val="32"/>
          <w:szCs w:val="32"/>
          <w:lang w:val="en-US" w:eastAsia="zh-CN"/>
        </w:rPr>
        <w:t>4</w:t>
      </w:r>
      <w:r>
        <w:rPr>
          <w:rFonts w:hint="eastAsia" w:ascii="仿宋" w:hAnsi="仿宋" w:eastAsia="仿宋" w:cs="仿宋"/>
          <w:color w:val="333333"/>
          <w:kern w:val="0"/>
          <w:sz w:val="32"/>
          <w:szCs w:val="32"/>
        </w:rPr>
        <w:t>年，前大磨乡政府信息公开工作整体水平有了较大提升，但仍存在一些不足之处：一是制度机制有待健全；二是信息质量有待提高；三是队伍能力建设有待加强。下一步，</w:t>
      </w:r>
      <w:r>
        <w:rPr>
          <w:rFonts w:hint="eastAsia" w:ascii="仿宋" w:hAnsi="仿宋" w:eastAsia="仿宋" w:cs="仿宋"/>
          <w:color w:val="333333"/>
          <w:kern w:val="0"/>
          <w:sz w:val="32"/>
          <w:szCs w:val="32"/>
          <w:lang w:val="en-US" w:eastAsia="zh-CN"/>
        </w:rPr>
        <w:t>前大磨乡</w:t>
      </w:r>
      <w:r>
        <w:rPr>
          <w:rFonts w:hint="eastAsia" w:ascii="仿宋" w:hAnsi="仿宋" w:eastAsia="仿宋" w:cs="仿宋"/>
          <w:color w:val="333333"/>
          <w:kern w:val="0"/>
          <w:sz w:val="32"/>
          <w:szCs w:val="32"/>
        </w:rPr>
        <w:t>将按照政府信息公开相关规定，认真落实政府信息公开工作，改进措施如下：</w:t>
      </w:r>
    </w:p>
    <w:p w14:paraId="51806374">
      <w:pPr>
        <w:widowControl/>
        <w:shd w:val="clear" w:color="auto" w:fill="FFFFFF"/>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一是健全政府信息公开制度。完善政府公共信息平台，严格政府信息公开的审核，提供公开、便捷、高效、透明的公共服务。</w:t>
      </w:r>
    </w:p>
    <w:p w14:paraId="2805EF21">
      <w:pPr>
        <w:widowControl/>
        <w:shd w:val="clear" w:color="auto" w:fill="FFFFFF"/>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二是提升政府信息公开质量。严格按照上级部门的安排部署，自上而下压实政府信息公开工作责任，推动政府信息公开工作迈向新台阶。</w:t>
      </w:r>
    </w:p>
    <w:p w14:paraId="03650BFB">
      <w:pPr>
        <w:widowControl/>
        <w:shd w:val="clear" w:color="auto" w:fill="FFFFFF"/>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三是加强队伍能力建设。定期开展各类业务技能培训，提升人员队伍的综合素质，提高整体能力水平和参与政府信息公开工作的积极性。</w:t>
      </w:r>
    </w:p>
    <w:p w14:paraId="6DDAB22C">
      <w:pPr>
        <w:keepNext w:val="0"/>
        <w:keepLines w:val="0"/>
        <w:pageBreakBefore w:val="0"/>
        <w:widowControl/>
        <w:shd w:val="clear" w:color="auto" w:fill="FFFFFF"/>
        <w:kinsoku/>
        <w:wordWrap/>
        <w:overflowPunct/>
        <w:topLinePunct w:val="0"/>
        <w:autoSpaceDE/>
        <w:autoSpaceDN/>
        <w:bidi w:val="0"/>
        <w:adjustRightInd w:val="0"/>
        <w:snapToGrid w:val="0"/>
        <w:spacing w:line="578" w:lineRule="exact"/>
        <w:ind w:firstLine="480"/>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CN"/>
        </w:rPr>
        <w:t>六、</w:t>
      </w:r>
      <w:r>
        <w:rPr>
          <w:rFonts w:hint="eastAsia" w:ascii="黑体" w:hAnsi="黑体" w:eastAsia="黑体" w:cs="黑体"/>
          <w:b/>
          <w:bCs/>
          <w:color w:val="333333"/>
          <w:kern w:val="0"/>
          <w:sz w:val="32"/>
          <w:szCs w:val="32"/>
        </w:rPr>
        <w:t>其他需要报告的事项</w:t>
      </w:r>
    </w:p>
    <w:p w14:paraId="096A776F">
      <w:pPr>
        <w:widowControl/>
        <w:shd w:val="clear" w:color="auto" w:fill="FFFFFF"/>
        <w:ind w:firstLine="480"/>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依据《政府信息公开信息处理费管理办法》规定，本年度未收取政府信息处理费。</w:t>
      </w:r>
      <w:bookmarkStart w:id="0" w:name="_GoBack"/>
      <w:bookmarkEnd w:id="0"/>
    </w:p>
    <w:p w14:paraId="172B40D5">
      <w:pPr>
        <w:widowControl/>
        <w:shd w:val="clear" w:color="auto" w:fill="FFFFFF"/>
        <w:ind w:firstLine="480"/>
        <w:rPr>
          <w:rFonts w:hint="eastAsia" w:ascii="仿宋" w:hAnsi="仿宋" w:eastAsia="仿宋" w:cs="仿宋"/>
          <w:color w:val="333333"/>
          <w:kern w:val="0"/>
          <w:sz w:val="32"/>
          <w:szCs w:val="32"/>
          <w:lang w:eastAsia="zh-CN"/>
        </w:rPr>
      </w:pPr>
    </w:p>
    <w:p w14:paraId="227C9144">
      <w:pPr>
        <w:widowControl/>
        <w:shd w:val="clear" w:color="auto" w:fill="FFFFFF"/>
        <w:ind w:firstLine="480"/>
        <w:rPr>
          <w:rFonts w:hint="eastAsia" w:ascii="仿宋" w:hAnsi="仿宋" w:eastAsia="仿宋" w:cs="仿宋"/>
          <w:color w:val="333333"/>
          <w:kern w:val="0"/>
          <w:sz w:val="32"/>
          <w:szCs w:val="32"/>
          <w:lang w:eastAsia="zh-CN"/>
        </w:rPr>
      </w:pPr>
    </w:p>
    <w:p w14:paraId="294A2855">
      <w:pPr>
        <w:widowControl/>
        <w:shd w:val="clear" w:color="auto" w:fill="FFFFFF"/>
        <w:ind w:firstLine="480"/>
        <w:jc w:val="right"/>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前大磨乡人民政府</w:t>
      </w:r>
    </w:p>
    <w:p w14:paraId="3748BDC3">
      <w:pPr>
        <w:widowControl/>
        <w:shd w:val="clear" w:color="auto" w:fill="FFFFFF"/>
        <w:ind w:firstLine="480"/>
        <w:jc w:val="right"/>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2025年1月13日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NGIxN2RiMzIzMDJmM2MzNmRjNzFjMzc4MDllNTgifQ=="/>
  </w:docVars>
  <w:rsids>
    <w:rsidRoot w:val="000731F3"/>
    <w:rsid w:val="000731F3"/>
    <w:rsid w:val="001F7420"/>
    <w:rsid w:val="00397F01"/>
    <w:rsid w:val="00495A08"/>
    <w:rsid w:val="004E18A4"/>
    <w:rsid w:val="00D954B7"/>
    <w:rsid w:val="088602B3"/>
    <w:rsid w:val="3AFE2EFE"/>
    <w:rsid w:val="3B19043B"/>
    <w:rsid w:val="538D282E"/>
    <w:rsid w:val="61A922FF"/>
    <w:rsid w:val="71803C57"/>
    <w:rsid w:val="7EB5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765</Words>
  <Characters>785</Characters>
  <Lines>9</Lines>
  <Paragraphs>2</Paragraphs>
  <TotalTime>12</TotalTime>
  <ScaleCrop>false</ScaleCrop>
  <LinksUpToDate>false</LinksUpToDate>
  <CharactersWithSpaces>798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2022-01-20T08:22:00Z</dcterms:created>
  <dc:creator>公开办</dc:creator>
  <cp:lastModifiedBy> </cp:lastModifiedBy>
  <dcterms:modified xsi:type="dcterms:W3CDTF">2025-01-13T03:21:06Z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A1BA4B3A3B9046B9B326910D89952D0D</vt:lpwstr>
  </property>
  <property fmtid="{D5CDD505-2E9C-101B-9397-08002B2CF9AE}" pid="4" name="KSOTemplateDocerSaveRecord">
    <vt:lpwstr>eyJoZGlkIjoiYTdiNGIxN2RiMzIzMDJmM2MzNmRjNzFjMzc4MDllNTgifQ==</vt:lpwstr>
  </property>
</Properties>
</file>