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218魏县行政审批局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1081.89</w:t>
            </w:r>
          </w:p>
        </w:tc>
        <w:tc>
          <w:tcPr>
            <w:tcW w:w="4535" w:type="dxa"/>
            <w:vAlign w:val="center"/>
          </w:tcPr>
          <w:p>
            <w:pPr>
              <w:pStyle w:val="13"/>
            </w:pPr>
            <w:r>
              <w:t>一、一般公共服务支出</w:t>
            </w:r>
          </w:p>
        </w:tc>
        <w:tc>
          <w:tcPr>
            <w:tcW w:w="2126" w:type="dxa"/>
            <w:vAlign w:val="center"/>
          </w:tcPr>
          <w:p>
            <w:pPr>
              <w:pStyle w:val="12"/>
            </w:pPr>
            <w:r>
              <w:t>1018.63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1081.89</w:t>
            </w:r>
          </w:p>
        </w:tc>
        <w:tc>
          <w:tcPr>
            <w:tcW w:w="4535" w:type="dxa"/>
            <w:vAlign w:val="center"/>
          </w:tcPr>
          <w:p>
            <w:pPr>
              <w:pStyle w:val="15"/>
            </w:pPr>
            <w:r>
              <w:t>本年支出合计</w:t>
            </w:r>
          </w:p>
        </w:tc>
        <w:tc>
          <w:tcPr>
            <w:tcW w:w="2126" w:type="dxa"/>
            <w:vAlign w:val="center"/>
          </w:tcPr>
          <w:p>
            <w:pPr>
              <w:pStyle w:val="16"/>
            </w:pPr>
            <w:r>
              <w:t>1081.89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1081.89</w:t>
            </w:r>
          </w:p>
        </w:tc>
        <w:tc>
          <w:tcPr>
            <w:tcW w:w="4535" w:type="dxa"/>
            <w:vAlign w:val="center"/>
          </w:tcPr>
          <w:p>
            <w:pPr>
              <w:pStyle w:val="15"/>
            </w:pPr>
            <w:r>
              <w:t>支出总计</w:t>
            </w:r>
          </w:p>
        </w:tc>
        <w:tc>
          <w:tcPr>
            <w:tcW w:w="2126" w:type="dxa"/>
            <w:vAlign w:val="center"/>
          </w:tcPr>
          <w:p>
            <w:pPr>
              <w:pStyle w:val="16"/>
            </w:pPr>
            <w:r>
              <w:t>1081.89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218魏县行政审批局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1081.89</w:t>
            </w:r>
          </w:p>
        </w:tc>
        <w:tc>
          <w:tcPr>
            <w:tcW w:w="1134" w:type="dxa"/>
            <w:vAlign w:val="center"/>
          </w:tcPr>
          <w:p>
            <w:pPr>
              <w:pStyle w:val="16"/>
            </w:pPr>
            <w:r>
              <w:t>1081.89</w:t>
            </w:r>
          </w:p>
        </w:tc>
        <w:tc>
          <w:tcPr>
            <w:tcW w:w="1134" w:type="dxa"/>
            <w:vAlign w:val="center"/>
          </w:tcPr>
          <w:p>
            <w:pPr>
              <w:pStyle w:val="16"/>
            </w:pPr>
            <w:r>
              <w:t>1081.89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1018.63</w:t>
            </w:r>
          </w:p>
        </w:tc>
        <w:tc>
          <w:tcPr>
            <w:tcW w:w="1134" w:type="dxa"/>
            <w:vAlign w:val="center"/>
          </w:tcPr>
          <w:p>
            <w:pPr>
              <w:pStyle w:val="12"/>
            </w:pPr>
            <w:r>
              <w:t>1018.63</w:t>
            </w:r>
          </w:p>
        </w:tc>
        <w:tc>
          <w:tcPr>
            <w:tcW w:w="1134" w:type="dxa"/>
            <w:vAlign w:val="center"/>
          </w:tcPr>
          <w:p>
            <w:pPr>
              <w:pStyle w:val="12"/>
            </w:pPr>
            <w:r>
              <w:t>1018.63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1018.63</w:t>
            </w:r>
          </w:p>
        </w:tc>
        <w:tc>
          <w:tcPr>
            <w:tcW w:w="1134" w:type="dxa"/>
            <w:vAlign w:val="center"/>
          </w:tcPr>
          <w:p>
            <w:pPr>
              <w:pStyle w:val="12"/>
            </w:pPr>
            <w:r>
              <w:t>1018.63</w:t>
            </w:r>
          </w:p>
        </w:tc>
        <w:tc>
          <w:tcPr>
            <w:tcW w:w="1134" w:type="dxa"/>
            <w:vAlign w:val="center"/>
          </w:tcPr>
          <w:p>
            <w:pPr>
              <w:pStyle w:val="12"/>
            </w:pPr>
            <w:r>
              <w:t>1018.63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281.93</w:t>
            </w:r>
          </w:p>
        </w:tc>
        <w:tc>
          <w:tcPr>
            <w:tcW w:w="1134" w:type="dxa"/>
            <w:vAlign w:val="center"/>
          </w:tcPr>
          <w:p>
            <w:pPr>
              <w:pStyle w:val="12"/>
            </w:pPr>
            <w:r>
              <w:t>281.93</w:t>
            </w:r>
          </w:p>
        </w:tc>
        <w:tc>
          <w:tcPr>
            <w:tcW w:w="1134" w:type="dxa"/>
            <w:vAlign w:val="center"/>
          </w:tcPr>
          <w:p>
            <w:pPr>
              <w:pStyle w:val="12"/>
            </w:pPr>
            <w:r>
              <w:t>281.93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736.70</w:t>
            </w:r>
          </w:p>
        </w:tc>
        <w:tc>
          <w:tcPr>
            <w:tcW w:w="1134" w:type="dxa"/>
            <w:vAlign w:val="center"/>
          </w:tcPr>
          <w:p>
            <w:pPr>
              <w:pStyle w:val="12"/>
            </w:pPr>
            <w:r>
              <w:t>736.70</w:t>
            </w:r>
          </w:p>
        </w:tc>
        <w:tc>
          <w:tcPr>
            <w:tcW w:w="1134" w:type="dxa"/>
            <w:vAlign w:val="center"/>
          </w:tcPr>
          <w:p>
            <w:pPr>
              <w:pStyle w:val="12"/>
            </w:pPr>
            <w:r>
              <w:t>736.70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46.13</w:t>
            </w:r>
          </w:p>
        </w:tc>
        <w:tc>
          <w:tcPr>
            <w:tcW w:w="1134" w:type="dxa"/>
            <w:vAlign w:val="center"/>
          </w:tcPr>
          <w:p>
            <w:pPr>
              <w:pStyle w:val="12"/>
            </w:pPr>
            <w:r>
              <w:t>46.13</w:t>
            </w:r>
          </w:p>
        </w:tc>
        <w:tc>
          <w:tcPr>
            <w:tcW w:w="1134" w:type="dxa"/>
            <w:vAlign w:val="center"/>
          </w:tcPr>
          <w:p>
            <w:pPr>
              <w:pStyle w:val="12"/>
            </w:pPr>
            <w:r>
              <w:t>46.13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46.13</w:t>
            </w:r>
          </w:p>
        </w:tc>
        <w:tc>
          <w:tcPr>
            <w:tcW w:w="1134" w:type="dxa"/>
            <w:vAlign w:val="center"/>
          </w:tcPr>
          <w:p>
            <w:pPr>
              <w:pStyle w:val="12"/>
            </w:pPr>
            <w:r>
              <w:t>46.13</w:t>
            </w:r>
          </w:p>
        </w:tc>
        <w:tc>
          <w:tcPr>
            <w:tcW w:w="1134" w:type="dxa"/>
            <w:vAlign w:val="center"/>
          </w:tcPr>
          <w:p>
            <w:pPr>
              <w:pStyle w:val="12"/>
            </w:pPr>
            <w:r>
              <w:t>46.13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30.75</w:t>
            </w:r>
          </w:p>
        </w:tc>
        <w:tc>
          <w:tcPr>
            <w:tcW w:w="1134" w:type="dxa"/>
            <w:vAlign w:val="center"/>
          </w:tcPr>
          <w:p>
            <w:pPr>
              <w:pStyle w:val="12"/>
            </w:pPr>
            <w:r>
              <w:t>30.75</w:t>
            </w:r>
          </w:p>
        </w:tc>
        <w:tc>
          <w:tcPr>
            <w:tcW w:w="1134" w:type="dxa"/>
            <w:vAlign w:val="center"/>
          </w:tcPr>
          <w:p>
            <w:pPr>
              <w:pStyle w:val="12"/>
            </w:pPr>
            <w:r>
              <w:t>30.75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15.38</w:t>
            </w:r>
          </w:p>
        </w:tc>
        <w:tc>
          <w:tcPr>
            <w:tcW w:w="1134" w:type="dxa"/>
            <w:vAlign w:val="center"/>
          </w:tcPr>
          <w:p>
            <w:pPr>
              <w:pStyle w:val="12"/>
            </w:pPr>
            <w:r>
              <w:t>15.38</w:t>
            </w:r>
          </w:p>
        </w:tc>
        <w:tc>
          <w:tcPr>
            <w:tcW w:w="1134" w:type="dxa"/>
            <w:vAlign w:val="center"/>
          </w:tcPr>
          <w:p>
            <w:pPr>
              <w:pStyle w:val="12"/>
            </w:pPr>
            <w:r>
              <w:t>15.38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r>
              <w:t>17.13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218魏县行政审批局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1081.89</w:t>
            </w:r>
          </w:p>
        </w:tc>
        <w:tc>
          <w:tcPr>
            <w:tcW w:w="1361" w:type="dxa"/>
            <w:vAlign w:val="center"/>
          </w:tcPr>
          <w:p>
            <w:pPr>
              <w:pStyle w:val="16"/>
            </w:pPr>
            <w:r>
              <w:t>345.19</w:t>
            </w:r>
          </w:p>
        </w:tc>
        <w:tc>
          <w:tcPr>
            <w:tcW w:w="1361" w:type="dxa"/>
            <w:vAlign w:val="center"/>
          </w:tcPr>
          <w:p>
            <w:pPr>
              <w:pStyle w:val="16"/>
            </w:pPr>
            <w:r>
              <w:t>736.70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1018.63</w:t>
            </w:r>
          </w:p>
        </w:tc>
        <w:tc>
          <w:tcPr>
            <w:tcW w:w="1361" w:type="dxa"/>
            <w:vAlign w:val="center"/>
          </w:tcPr>
          <w:p>
            <w:pPr>
              <w:pStyle w:val="12"/>
            </w:pPr>
            <w:r>
              <w:t>281.93</w:t>
            </w:r>
          </w:p>
        </w:tc>
        <w:tc>
          <w:tcPr>
            <w:tcW w:w="1361" w:type="dxa"/>
            <w:vAlign w:val="center"/>
          </w:tcPr>
          <w:p>
            <w:pPr>
              <w:pStyle w:val="12"/>
            </w:pPr>
            <w:r>
              <w:t>736.70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1018.63</w:t>
            </w:r>
          </w:p>
        </w:tc>
        <w:tc>
          <w:tcPr>
            <w:tcW w:w="1361" w:type="dxa"/>
            <w:vAlign w:val="center"/>
          </w:tcPr>
          <w:p>
            <w:pPr>
              <w:pStyle w:val="12"/>
            </w:pPr>
            <w:r>
              <w:t>281.93</w:t>
            </w:r>
          </w:p>
        </w:tc>
        <w:tc>
          <w:tcPr>
            <w:tcW w:w="1361" w:type="dxa"/>
            <w:vAlign w:val="center"/>
          </w:tcPr>
          <w:p>
            <w:pPr>
              <w:pStyle w:val="12"/>
            </w:pPr>
            <w:r>
              <w:t>736.70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281.93</w:t>
            </w:r>
          </w:p>
        </w:tc>
        <w:tc>
          <w:tcPr>
            <w:tcW w:w="1361" w:type="dxa"/>
            <w:vAlign w:val="center"/>
          </w:tcPr>
          <w:p>
            <w:pPr>
              <w:pStyle w:val="12"/>
            </w:pPr>
            <w:r>
              <w:t>281.93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736.70</w:t>
            </w:r>
          </w:p>
        </w:tc>
        <w:tc>
          <w:tcPr>
            <w:tcW w:w="1361" w:type="dxa"/>
            <w:vAlign w:val="center"/>
          </w:tcPr>
          <w:p>
            <w:pPr>
              <w:pStyle w:val="12"/>
            </w:pPr>
          </w:p>
        </w:tc>
        <w:tc>
          <w:tcPr>
            <w:tcW w:w="1361" w:type="dxa"/>
            <w:vAlign w:val="center"/>
          </w:tcPr>
          <w:p>
            <w:pPr>
              <w:pStyle w:val="12"/>
            </w:pPr>
            <w:r>
              <w:t>736.70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46.13</w:t>
            </w:r>
          </w:p>
        </w:tc>
        <w:tc>
          <w:tcPr>
            <w:tcW w:w="1361" w:type="dxa"/>
            <w:vAlign w:val="center"/>
          </w:tcPr>
          <w:p>
            <w:pPr>
              <w:pStyle w:val="12"/>
            </w:pPr>
            <w:r>
              <w:t>46.13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46.13</w:t>
            </w:r>
          </w:p>
        </w:tc>
        <w:tc>
          <w:tcPr>
            <w:tcW w:w="1361" w:type="dxa"/>
            <w:vAlign w:val="center"/>
          </w:tcPr>
          <w:p>
            <w:pPr>
              <w:pStyle w:val="12"/>
            </w:pPr>
            <w:r>
              <w:t>46.13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30.75</w:t>
            </w:r>
          </w:p>
        </w:tc>
        <w:tc>
          <w:tcPr>
            <w:tcW w:w="1361" w:type="dxa"/>
            <w:vAlign w:val="center"/>
          </w:tcPr>
          <w:p>
            <w:pPr>
              <w:pStyle w:val="12"/>
            </w:pPr>
            <w:r>
              <w:t>30.75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15.38</w:t>
            </w:r>
          </w:p>
        </w:tc>
        <w:tc>
          <w:tcPr>
            <w:tcW w:w="1361" w:type="dxa"/>
            <w:vAlign w:val="center"/>
          </w:tcPr>
          <w:p>
            <w:pPr>
              <w:pStyle w:val="12"/>
            </w:pPr>
            <w:r>
              <w:t>15.38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17.13</w:t>
            </w:r>
          </w:p>
        </w:tc>
        <w:tc>
          <w:tcPr>
            <w:tcW w:w="1361" w:type="dxa"/>
            <w:vAlign w:val="center"/>
          </w:tcPr>
          <w:p>
            <w:pPr>
              <w:pStyle w:val="12"/>
            </w:pPr>
            <w:r>
              <w:t>17.13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17.13</w:t>
            </w:r>
          </w:p>
        </w:tc>
        <w:tc>
          <w:tcPr>
            <w:tcW w:w="1361" w:type="dxa"/>
            <w:vAlign w:val="center"/>
          </w:tcPr>
          <w:p>
            <w:pPr>
              <w:pStyle w:val="12"/>
            </w:pPr>
            <w:r>
              <w:t>17.13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17.13</w:t>
            </w:r>
          </w:p>
        </w:tc>
        <w:tc>
          <w:tcPr>
            <w:tcW w:w="1361" w:type="dxa"/>
            <w:vAlign w:val="center"/>
          </w:tcPr>
          <w:p>
            <w:pPr>
              <w:pStyle w:val="12"/>
            </w:pPr>
            <w:r>
              <w:t>17.13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218魏县行政审批局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1081.89</w:t>
            </w:r>
          </w:p>
        </w:tc>
        <w:tc>
          <w:tcPr>
            <w:tcW w:w="3402" w:type="dxa"/>
            <w:vAlign w:val="center"/>
          </w:tcPr>
          <w:p>
            <w:pPr>
              <w:pStyle w:val="13"/>
            </w:pPr>
            <w:r>
              <w:t>一、一般公共服务支出</w:t>
            </w:r>
          </w:p>
        </w:tc>
        <w:tc>
          <w:tcPr>
            <w:tcW w:w="1474" w:type="dxa"/>
            <w:vAlign w:val="center"/>
          </w:tcPr>
          <w:p>
            <w:pPr>
              <w:pStyle w:val="12"/>
            </w:pPr>
            <w:r>
              <w:t>1018.63</w:t>
            </w:r>
          </w:p>
        </w:tc>
        <w:tc>
          <w:tcPr>
            <w:tcW w:w="1474" w:type="dxa"/>
            <w:vAlign w:val="center"/>
          </w:tcPr>
          <w:p>
            <w:pPr>
              <w:pStyle w:val="12"/>
            </w:pPr>
            <w:r>
              <w:t>1018.63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46.13</w:t>
            </w:r>
          </w:p>
        </w:tc>
        <w:tc>
          <w:tcPr>
            <w:tcW w:w="1474" w:type="dxa"/>
            <w:vAlign w:val="center"/>
          </w:tcPr>
          <w:p>
            <w:pPr>
              <w:pStyle w:val="12"/>
            </w:pPr>
            <w:r>
              <w:t>46.13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17.13</w:t>
            </w:r>
          </w:p>
        </w:tc>
        <w:tc>
          <w:tcPr>
            <w:tcW w:w="1474" w:type="dxa"/>
            <w:vAlign w:val="center"/>
          </w:tcPr>
          <w:p>
            <w:pPr>
              <w:pStyle w:val="12"/>
            </w:pPr>
            <w:r>
              <w:t>17.13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1081.89</w:t>
            </w:r>
          </w:p>
        </w:tc>
        <w:tc>
          <w:tcPr>
            <w:tcW w:w="3402" w:type="dxa"/>
            <w:vAlign w:val="center"/>
          </w:tcPr>
          <w:p>
            <w:pPr>
              <w:pStyle w:val="15"/>
            </w:pPr>
            <w:r>
              <w:t>本年支出合计</w:t>
            </w:r>
          </w:p>
        </w:tc>
        <w:tc>
          <w:tcPr>
            <w:tcW w:w="1474" w:type="dxa"/>
            <w:vAlign w:val="center"/>
          </w:tcPr>
          <w:p>
            <w:pPr>
              <w:pStyle w:val="16"/>
            </w:pPr>
            <w:r>
              <w:t>1081.89</w:t>
            </w:r>
          </w:p>
        </w:tc>
        <w:tc>
          <w:tcPr>
            <w:tcW w:w="1474" w:type="dxa"/>
            <w:vAlign w:val="center"/>
          </w:tcPr>
          <w:p>
            <w:pPr>
              <w:pStyle w:val="16"/>
            </w:pPr>
            <w:r>
              <w:t>1081.89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1081.89</w:t>
            </w:r>
          </w:p>
        </w:tc>
        <w:tc>
          <w:tcPr>
            <w:tcW w:w="3402" w:type="dxa"/>
            <w:vAlign w:val="center"/>
          </w:tcPr>
          <w:p>
            <w:pPr>
              <w:pStyle w:val="15"/>
            </w:pPr>
            <w:r>
              <w:t>支出总计</w:t>
            </w:r>
          </w:p>
        </w:tc>
        <w:tc>
          <w:tcPr>
            <w:tcW w:w="1474" w:type="dxa"/>
            <w:vAlign w:val="center"/>
          </w:tcPr>
          <w:p>
            <w:pPr>
              <w:pStyle w:val="16"/>
            </w:pPr>
            <w:r>
              <w:t>1081.89</w:t>
            </w:r>
          </w:p>
        </w:tc>
        <w:tc>
          <w:tcPr>
            <w:tcW w:w="1474" w:type="dxa"/>
            <w:vAlign w:val="center"/>
          </w:tcPr>
          <w:p>
            <w:pPr>
              <w:pStyle w:val="16"/>
            </w:pPr>
            <w:r>
              <w:t>1081.89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218魏县行政审批局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1081.89</w:t>
            </w:r>
          </w:p>
        </w:tc>
        <w:tc>
          <w:tcPr>
            <w:tcW w:w="2551" w:type="dxa"/>
            <w:vAlign w:val="center"/>
          </w:tcPr>
          <w:p>
            <w:pPr>
              <w:pStyle w:val="16"/>
            </w:pPr>
            <w:r>
              <w:t>345.19</w:t>
            </w:r>
          </w:p>
        </w:tc>
        <w:tc>
          <w:tcPr>
            <w:tcW w:w="2551" w:type="dxa"/>
            <w:vAlign w:val="center"/>
          </w:tcPr>
          <w:p>
            <w:pPr>
              <w:pStyle w:val="16"/>
            </w:pPr>
            <w:r>
              <w:t>736.70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1018.63</w:t>
            </w:r>
          </w:p>
        </w:tc>
        <w:tc>
          <w:tcPr>
            <w:tcW w:w="2551" w:type="dxa"/>
            <w:vAlign w:val="center"/>
          </w:tcPr>
          <w:p>
            <w:pPr>
              <w:pStyle w:val="12"/>
            </w:pPr>
            <w:r>
              <w:t>281.93</w:t>
            </w:r>
          </w:p>
        </w:tc>
        <w:tc>
          <w:tcPr>
            <w:tcW w:w="2551" w:type="dxa"/>
            <w:vAlign w:val="center"/>
          </w:tcPr>
          <w:p>
            <w:pPr>
              <w:pStyle w:val="12"/>
            </w:pPr>
            <w:r>
              <w:t>736.70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1018.63</w:t>
            </w:r>
          </w:p>
        </w:tc>
        <w:tc>
          <w:tcPr>
            <w:tcW w:w="2551" w:type="dxa"/>
            <w:vAlign w:val="center"/>
          </w:tcPr>
          <w:p>
            <w:pPr>
              <w:pStyle w:val="12"/>
            </w:pPr>
            <w:r>
              <w:t>281.93</w:t>
            </w:r>
          </w:p>
        </w:tc>
        <w:tc>
          <w:tcPr>
            <w:tcW w:w="2551" w:type="dxa"/>
            <w:vAlign w:val="center"/>
          </w:tcPr>
          <w:p>
            <w:pPr>
              <w:pStyle w:val="12"/>
            </w:pPr>
            <w:r>
              <w:t>736.70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281.93</w:t>
            </w:r>
          </w:p>
        </w:tc>
        <w:tc>
          <w:tcPr>
            <w:tcW w:w="2551" w:type="dxa"/>
            <w:vAlign w:val="center"/>
          </w:tcPr>
          <w:p>
            <w:pPr>
              <w:pStyle w:val="12"/>
            </w:pPr>
            <w:r>
              <w:t>281.93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736.70</w:t>
            </w:r>
          </w:p>
        </w:tc>
        <w:tc>
          <w:tcPr>
            <w:tcW w:w="2551" w:type="dxa"/>
            <w:vAlign w:val="center"/>
          </w:tcPr>
          <w:p>
            <w:pPr>
              <w:pStyle w:val="12"/>
            </w:pPr>
          </w:p>
        </w:tc>
        <w:tc>
          <w:tcPr>
            <w:tcW w:w="2551" w:type="dxa"/>
            <w:vAlign w:val="center"/>
          </w:tcPr>
          <w:p>
            <w:pPr>
              <w:pStyle w:val="12"/>
            </w:pPr>
            <w:r>
              <w:t>736.70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46.13</w:t>
            </w:r>
          </w:p>
        </w:tc>
        <w:tc>
          <w:tcPr>
            <w:tcW w:w="2551" w:type="dxa"/>
            <w:vAlign w:val="center"/>
          </w:tcPr>
          <w:p>
            <w:pPr>
              <w:pStyle w:val="12"/>
            </w:pPr>
            <w:r>
              <w:t>46.13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46.13</w:t>
            </w:r>
          </w:p>
        </w:tc>
        <w:tc>
          <w:tcPr>
            <w:tcW w:w="2551" w:type="dxa"/>
            <w:vAlign w:val="center"/>
          </w:tcPr>
          <w:p>
            <w:pPr>
              <w:pStyle w:val="12"/>
            </w:pPr>
            <w:r>
              <w:t>46.13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30.75</w:t>
            </w:r>
          </w:p>
        </w:tc>
        <w:tc>
          <w:tcPr>
            <w:tcW w:w="2551" w:type="dxa"/>
            <w:vAlign w:val="center"/>
          </w:tcPr>
          <w:p>
            <w:pPr>
              <w:pStyle w:val="12"/>
            </w:pPr>
            <w:r>
              <w:t>30.75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15.38</w:t>
            </w:r>
          </w:p>
        </w:tc>
        <w:tc>
          <w:tcPr>
            <w:tcW w:w="2551" w:type="dxa"/>
            <w:vAlign w:val="center"/>
          </w:tcPr>
          <w:p>
            <w:pPr>
              <w:pStyle w:val="12"/>
            </w:pPr>
            <w:r>
              <w:t>15.38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17.13</w:t>
            </w:r>
          </w:p>
        </w:tc>
        <w:tc>
          <w:tcPr>
            <w:tcW w:w="2551" w:type="dxa"/>
            <w:vAlign w:val="center"/>
          </w:tcPr>
          <w:p>
            <w:pPr>
              <w:pStyle w:val="12"/>
            </w:pPr>
            <w:r>
              <w:t>17.13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17.13</w:t>
            </w:r>
          </w:p>
        </w:tc>
        <w:tc>
          <w:tcPr>
            <w:tcW w:w="2551" w:type="dxa"/>
            <w:vAlign w:val="center"/>
          </w:tcPr>
          <w:p>
            <w:pPr>
              <w:pStyle w:val="12"/>
            </w:pPr>
            <w:r>
              <w:t>17.13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17.13</w:t>
            </w:r>
          </w:p>
        </w:tc>
        <w:tc>
          <w:tcPr>
            <w:tcW w:w="2551" w:type="dxa"/>
            <w:vAlign w:val="center"/>
          </w:tcPr>
          <w:p>
            <w:pPr>
              <w:pStyle w:val="12"/>
            </w:pPr>
            <w:r>
              <w:t>17.13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218魏县行政审批局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345.19</w:t>
            </w:r>
          </w:p>
        </w:tc>
        <w:tc>
          <w:tcPr>
            <w:tcW w:w="2551" w:type="dxa"/>
            <w:vAlign w:val="center"/>
          </w:tcPr>
          <w:p>
            <w:pPr>
              <w:pStyle w:val="16"/>
            </w:pPr>
            <w:r>
              <w:t>300.95</w:t>
            </w:r>
          </w:p>
        </w:tc>
        <w:tc>
          <w:tcPr>
            <w:tcW w:w="2551" w:type="dxa"/>
            <w:vAlign w:val="center"/>
          </w:tcPr>
          <w:p>
            <w:pPr>
              <w:pStyle w:val="16"/>
            </w:pPr>
            <w:r>
              <w:t>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300.95</w:t>
            </w:r>
          </w:p>
        </w:tc>
        <w:tc>
          <w:tcPr>
            <w:tcW w:w="2551" w:type="dxa"/>
            <w:vAlign w:val="center"/>
          </w:tcPr>
          <w:p>
            <w:pPr>
              <w:pStyle w:val="12"/>
            </w:pPr>
            <w:r>
              <w:t>300.95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168.53</w:t>
            </w:r>
          </w:p>
        </w:tc>
        <w:tc>
          <w:tcPr>
            <w:tcW w:w="2551" w:type="dxa"/>
            <w:vAlign w:val="center"/>
          </w:tcPr>
          <w:p>
            <w:pPr>
              <w:pStyle w:val="12"/>
            </w:pPr>
            <w:r>
              <w:t>168.53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13.50</w:t>
            </w:r>
          </w:p>
        </w:tc>
        <w:tc>
          <w:tcPr>
            <w:tcW w:w="2551" w:type="dxa"/>
            <w:vAlign w:val="center"/>
          </w:tcPr>
          <w:p>
            <w:pPr>
              <w:pStyle w:val="12"/>
            </w:pPr>
            <w:r>
              <w:t>13.50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28.83</w:t>
            </w:r>
          </w:p>
        </w:tc>
        <w:tc>
          <w:tcPr>
            <w:tcW w:w="2551" w:type="dxa"/>
            <w:vAlign w:val="center"/>
          </w:tcPr>
          <w:p>
            <w:pPr>
              <w:pStyle w:val="12"/>
            </w:pPr>
            <w:r>
              <w:t>28.83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26.84</w:t>
            </w:r>
          </w:p>
        </w:tc>
        <w:tc>
          <w:tcPr>
            <w:tcW w:w="2551" w:type="dxa"/>
            <w:vAlign w:val="center"/>
          </w:tcPr>
          <w:p>
            <w:pPr>
              <w:pStyle w:val="12"/>
            </w:pPr>
            <w:r>
              <w:t>26.84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30.75</w:t>
            </w:r>
          </w:p>
        </w:tc>
        <w:tc>
          <w:tcPr>
            <w:tcW w:w="2551" w:type="dxa"/>
            <w:vAlign w:val="center"/>
          </w:tcPr>
          <w:p>
            <w:pPr>
              <w:pStyle w:val="12"/>
            </w:pPr>
            <w:r>
              <w:t>30.75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15.38</w:t>
            </w:r>
          </w:p>
        </w:tc>
        <w:tc>
          <w:tcPr>
            <w:tcW w:w="2551" w:type="dxa"/>
            <w:vAlign w:val="center"/>
          </w:tcPr>
          <w:p>
            <w:pPr>
              <w:pStyle w:val="12"/>
            </w:pPr>
            <w:r>
              <w:t>15.38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17.13</w:t>
            </w:r>
          </w:p>
        </w:tc>
        <w:tc>
          <w:tcPr>
            <w:tcW w:w="2551" w:type="dxa"/>
            <w:vAlign w:val="center"/>
          </w:tcPr>
          <w:p>
            <w:pPr>
              <w:pStyle w:val="12"/>
            </w:pPr>
            <w:r>
              <w:t>17.13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44.24</w:t>
            </w:r>
          </w:p>
        </w:tc>
        <w:tc>
          <w:tcPr>
            <w:tcW w:w="2551" w:type="dxa"/>
            <w:vAlign w:val="center"/>
          </w:tcPr>
          <w:p>
            <w:pPr>
              <w:pStyle w:val="12"/>
            </w:pPr>
          </w:p>
        </w:tc>
        <w:tc>
          <w:tcPr>
            <w:tcW w:w="2551" w:type="dxa"/>
            <w:vAlign w:val="center"/>
          </w:tcPr>
          <w:p>
            <w:pPr>
              <w:pStyle w:val="12"/>
            </w:pPr>
            <w:r>
              <w:t>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29.00</w:t>
            </w:r>
          </w:p>
        </w:tc>
        <w:tc>
          <w:tcPr>
            <w:tcW w:w="2551" w:type="dxa"/>
            <w:vAlign w:val="center"/>
          </w:tcPr>
          <w:p>
            <w:pPr>
              <w:pStyle w:val="12"/>
            </w:pPr>
          </w:p>
        </w:tc>
        <w:tc>
          <w:tcPr>
            <w:tcW w:w="2551"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15.24</w:t>
            </w:r>
          </w:p>
        </w:tc>
        <w:tc>
          <w:tcPr>
            <w:tcW w:w="2551" w:type="dxa"/>
            <w:vAlign w:val="center"/>
          </w:tcPr>
          <w:p>
            <w:pPr>
              <w:pStyle w:val="12"/>
            </w:pPr>
          </w:p>
        </w:tc>
        <w:tc>
          <w:tcPr>
            <w:tcW w:w="2551" w:type="dxa"/>
            <w:vAlign w:val="center"/>
          </w:tcPr>
          <w:p>
            <w:pPr>
              <w:pStyle w:val="12"/>
            </w:pPr>
            <w:r>
              <w:t>15.24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218魏县行政审批局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218魏县行政审批局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218魏县行政审批局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魏县行政审批局2024年部门预算信息公开情况说明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魏县行政审批局2024年部门预算信息公开情况说明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按照《中华人民共和国预算法》、《地方预决算公开操作规程》和《关于进一步推进预算公开工作的实施意见》规定，现将魏县行政审批局2024年部门预算公开如下：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pPr>
        <w:pStyle w:val="18"/>
      </w:pPr>
      <w:r>
        <w:t>（二）负责规范全县行政审批和政务服务行为，建立和完善相应工作机制；负责对行政许可、政务服务事项进行流程再造、环节优化、压缩时限，并对办理情况进行跟踪督办；协调解决进驻县行政审批局事项办理中存在的相关问题。</w:t>
      </w:r>
    </w:p>
    <w:p>
      <w:pPr>
        <w:pStyle w:val="18"/>
      </w:pPr>
      <w:r>
        <w:t>（三）负责县本级涉及投资项目、市场服务、公共事务、社会事务、环保城管、规划建设、交通运输、商贸流通、文教卫生、农林水利等领域审批事项的审批工作，并对审批行为承担相应的法律责任。</w:t>
      </w:r>
    </w:p>
    <w:p>
      <w:pPr>
        <w:pStyle w:val="18"/>
      </w:pPr>
      <w:r>
        <w:t>（四）负责进驻县行政审批局各部门行政审批工作的规范、管理和监督；负责审批业务涉及中介服务机构的对接、沟通、协调工作；负责“中介超市”管理工作。</w:t>
      </w:r>
    </w:p>
    <w:p>
      <w:pPr>
        <w:pStyle w:val="18"/>
      </w:pPr>
      <w:r>
        <w:t>（五）组织协调全县“放管服”改革工作。指导、督促贯彻落实国家、省、市、县关于“放管服”改革重要领域、关键环节重大政策措施，承担县推进政府职能转变和“放管服”改革协调小组的日常工作。</w:t>
      </w:r>
    </w:p>
    <w:p>
      <w:pPr>
        <w:pStyle w:val="18"/>
      </w:pPr>
      <w:r>
        <w:t>（六）指导协调全县行政审批制度改革工作。建立健全县乡两级行政审批管理体系；负责协调和指导各乡（镇）、开发区的行政审批、政务服务管理平台建设工作；推进简政放权，清理和规范各类行政许可等管理事项；协调推进行政审批标准化工作；承担县行政审批制度改革工作领导小组的日常工作。</w:t>
      </w:r>
    </w:p>
    <w:p>
      <w:pPr>
        <w:pStyle w:val="18"/>
      </w:pPr>
      <w: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pPr>
        <w:pStyle w:val="18"/>
      </w:pPr>
      <w:r>
        <w:t>（八）承担魏县公共资源交易管理委员会日常工作。负责全县统一的公共资源交易平台建设、协调、监督和管理；会同有关行政监督部门拟订公共资源交易市场规则和制度，编制公共资源交易项目目录，规范各类公共资源交易活动。</w:t>
      </w:r>
    </w:p>
    <w:p>
      <w:pPr>
        <w:pStyle w:val="18"/>
      </w:pPr>
      <w:r>
        <w:t>（九）统筹推进全县“互联网+政务服务”工作，指导各乡（镇）、开发区、县直单位运用邯郸市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pPr>
        <w:pStyle w:val="18"/>
      </w:pPr>
      <w:r>
        <w:t>（十）引导和推动全县社会信用体系建设。组织制定发展规划和年度工作要点；推进健全信用法规制度和标准体系；负责县级并指导各乡（镇）、开发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pStyle w:val="18"/>
      </w:pPr>
      <w:r>
        <w:t>（十一）建立健全全县政务服务、行政审批服务效能可量化的考核评价制度；对具有政务服务职能的部门进行综合考评，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pPr>
        <w:pStyle w:val="18"/>
      </w:pPr>
      <w:r>
        <w:t>（十二）负责群众服务热线业务的管理指导与组织协调工作；指导群众和企业诉求件的交办、督办和考核工作。</w:t>
      </w:r>
    </w:p>
    <w:p>
      <w:pPr>
        <w:pStyle w:val="18"/>
      </w:pPr>
      <w:r>
        <w:t>（十三）负责工作人员的教育、培训、管理和绩效考核。</w:t>
      </w:r>
    </w:p>
    <w:p>
      <w:pPr>
        <w:pStyle w:val="18"/>
      </w:pPr>
      <w:r>
        <w:t>（十四）完成县委、县政府交办的其他任务。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魏县行政审批局本级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按照预算管理有关规定，目前部门预算的编制实行综合预算管理，即全部收入和支出都反映在预算中。魏县行政审批局机关及所属事业单位的收支包含在部门预算中。</w:t>
      </w:r>
    </w:p>
    <w:p>
      <w:pPr>
        <w:pStyle w:val="19"/>
      </w:pPr>
      <w:r>
        <w:t>1、收入说明</w:t>
      </w:r>
    </w:p>
    <w:p>
      <w:pPr>
        <w:pStyle w:val="19"/>
      </w:pPr>
      <w:r>
        <w:t>反映本部门当年全部收入。2024年预算收入1081.89万元，其中：一般公共预算收入1081.89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行政审批局年度部门预算中支出预算的总体情况。2024年支出预算1081.89万元，其中基本支出345.19万元，包括人员经费300.95万元和日常公用经费44.24万元；项目支出736.70万元，主要为项目支出主要包括政府购买服务人员工资费用366.7万元，管理运行经费200万元，全县优化营商环境工作 费用170万元。</w:t>
      </w:r>
    </w:p>
    <w:p>
      <w:pPr>
        <w:pStyle w:val="19"/>
      </w:pPr>
      <w:r>
        <w:t>3、比上年增减情况</w:t>
      </w:r>
    </w:p>
    <w:p>
      <w:pPr>
        <w:pStyle w:val="19"/>
      </w:pPr>
      <w:r>
        <w:t>2024年预算收支安排1081.89万元，较2023年预算增加20.93万元，其中：基本支出减少2.57万元，主要为基本支出减少主要原因是2024年我单位调出一名工作人员。项目支出增加23.50万元，主要为项目支出增加的主要原因是优化营商环境工作经费有所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2024年，我部门机关运行经费共计安排44.24万元，主要用于日常维修、办公用房水电费、办公用房取暖费、办公用房物业管理费等日常运行支出。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2024年，我部门财政拨款“三公”经费预算安排0万元，与2023年相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22023年，魏县行政审批局将按下审批“快进键”，跑出改革“加速度”，开启优化营商环境“新征程”，着力打造“魏县365，天天在服务”品牌，按照“11233”工作思路，扎实开展各项工作。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1、大力推进“放管服”改革，优化营商环境。</w:t>
      </w:r>
    </w:p>
    <w:p>
      <w:pPr>
        <w:pStyle w:val="23"/>
      </w:pPr>
      <w:r>
        <w:t>绩效目标：积极承接下放事项，巩固“多证合一”改革成果，提升企业开办专区服务水平，进一步压缩企业开办时限；深化商事制度改革，推行涉企经营许可事项告知承诺制，推广企业开办“一窗通”平台、登记全程电子化和个体工商户“云窗办照”，提高各类市场主体的设立、变更、注销等业务环节通过网上办理比例。</w:t>
      </w:r>
    </w:p>
    <w:p>
      <w:pPr>
        <w:pStyle w:val="23"/>
      </w:pPr>
      <w:r>
        <w:t>绩效指标：学习借鉴苏州先进经验，制定魏县“放管服”改革实施方案，实现“四个最少”、提供“三种服务”、放大“两个功能”，着力打造“最舒心”“最便捷”“最满意”的政务服务环境。</w:t>
      </w:r>
    </w:p>
    <w:p>
      <w:pPr>
        <w:pStyle w:val="23"/>
      </w:pPr>
      <w:r>
        <w:t>2、塑造“一日办结、不再折腾”的“魏县365，天天在服务”品牌。</w:t>
      </w:r>
    </w:p>
    <w:p>
      <w:pPr>
        <w:pStyle w:val="23"/>
      </w:pPr>
      <w:r>
        <w:t>绩效目标：持续拓展和完善专区功能建设，为企业和群众提供“套餐化”的咨询解答和流程设计服务；打造“智慧政务服务”，提升自助服务水平，持续拓展网上办事应用深度，推进政务服务事项“应上尽上”，支撑套餐服务、跨区域办理等改革举措落实落地，让政务服务“24小时不打烊”。依托“冀时办”APP,为企业群众提供各类政务服务和公共服务，满足公众查询、办事、咨询、建议和投诉等需求。</w:t>
      </w:r>
    </w:p>
    <w:p>
      <w:pPr>
        <w:pStyle w:val="23"/>
      </w:pPr>
      <w:r>
        <w:t>绩效指标：做实“百事通”套餐服务，加快推进“一件事、一次办”套餐服务在河北政务服务网上运行，实现网上“一口受理、同步分发、并联审批、一口出证”。</w:t>
      </w:r>
    </w:p>
    <w:p>
      <w:pPr>
        <w:pStyle w:val="23"/>
      </w:pPr>
      <w:r>
        <w:t>3、提升公共资源交易平台服务水平。</w:t>
      </w:r>
    </w:p>
    <w:p>
      <w:pPr>
        <w:pStyle w:val="23"/>
      </w:pPr>
      <w:r>
        <w:t>绩效目标：提升公共资源交易全流程电子化水平,提高工程招投标、政府采购电子化交易比率；进一步完善招标投标公共服务平台，对招标项目的公告进行监督管理；推进公共资源交易信用信息系统建设；完善招标投标监督平台；对评标专家库进行统一管理。</w:t>
      </w:r>
    </w:p>
    <w:p>
      <w:pPr>
        <w:pStyle w:val="23"/>
      </w:pPr>
      <w:r>
        <w:t>绩效指标：公共资源交易全流程电子化率达85%以上；提升招标投标全流程电子化交易水平，依法必招工程项目电子化交易比率达到90%以上；建成交易监督系统和信用信息系统；完善招标投标行政监督平台功能，招标投标活动异议的在线提交和处理比率达到90%以上；根据规定对评标专家库进行更新。</w:t>
      </w:r>
    </w:p>
    <w:p>
      <w:pPr>
        <w:pStyle w:val="23"/>
      </w:pPr>
      <w:r>
        <w:t>4、巩固提升乡镇改革成果，做好乡镇改革后半篇文章。</w:t>
      </w:r>
    </w:p>
    <w:p>
      <w:pPr>
        <w:pStyle w:val="23"/>
      </w:pPr>
      <w:r>
        <w:t>绩效目标：规范乡镇（村）便民服务中心（站）建设，重点抓好乡镇综合服务中心工作人员业务能力培训，提升乡镇综合服务中心工作人员办件能力、办事水平、服务效率，为乡村振兴战略贡献政务服务力量。</w:t>
      </w:r>
    </w:p>
    <w:p>
      <w:pPr>
        <w:pStyle w:val="23"/>
      </w:pPr>
      <w:r>
        <w:t>绩效指标：着力打造3-5个乡镇综合服务中心“模板乡镇”“亮点乡镇”，打造一批在全市乃至全省“叫得响”的乡镇综合服务中心。</w:t>
      </w:r>
    </w:p>
    <w:p>
      <w:pPr>
        <w:pStyle w:val="23"/>
      </w:pPr>
      <w:r>
        <w:t>5、抓实干部队伍建设，提升政务服务效能。</w:t>
      </w:r>
    </w:p>
    <w:p>
      <w:pPr>
        <w:pStyle w:val="23"/>
      </w:pPr>
      <w:r>
        <w:t>绩效目标：持续加强机关党建，制定中心组学习计划，深入抓好集中学习，确保学习效果；制定干部职工年度培训方案，灵活培训方式、创新培训载体，提高干部职工专业素养和综合能力。</w:t>
      </w:r>
    </w:p>
    <w:p>
      <w:pPr>
        <w:pStyle w:val="23"/>
      </w:pPr>
      <w:r>
        <w:t>绩效指标：加强廉政宣传教育和警示教育，继续深入推进“好差评”服务评价和作风纪律专项整治工作，强化考核结果应用，倒逼工作人员转变工作作风；开展政务服务大厅规范化建设，加强窗口人员管理，持续开展“十佳服务窗口”评选、文明用语培训等活动，进一步提升服务效能。</w:t>
      </w:r>
    </w:p>
    <w:p>
      <w:pPr>
        <w:pStyle w:val="23"/>
      </w:pPr>
      <w:r>
        <w:t>6、依法依规推进社会信用体系建设。</w:t>
      </w:r>
    </w:p>
    <w:p>
      <w:pPr>
        <w:pStyle w:val="23"/>
      </w:pPr>
      <w:r>
        <w:t>绩效目标：加快社会信用信息共享平台建设，加强信用信息归集共享，开展信用信息评价，强化信用信息和产品应用，健全联合奖惩机制，增强信用监管力度，推动信用惠民利企，推动社会信用体系建设水平全面提升，更好地发挥社会信用体系在支撑“放管服”改革积极作用，服务经济社会发展。</w:t>
      </w:r>
    </w:p>
    <w:p>
      <w:pPr>
        <w:pStyle w:val="23"/>
      </w:pPr>
      <w:r>
        <w:t>绩效指标：开展双公示工作专项排查和第三方评估，实现“迟报率”“瞒报率”双清零；拓展信用便民应用，研发“信易+”产品，丰富信用惠企场景，让守信产生价值；提升政府公信力，助力优化营商环境。</w:t>
      </w:r>
    </w:p>
    <w:p>
      <w:pPr>
        <w:pStyle w:val="23"/>
      </w:pPr>
      <w:r>
        <w:t>7、监督检查提升政务服务效能。</w:t>
      </w:r>
    </w:p>
    <w:p>
      <w:pPr>
        <w:pStyle w:val="23"/>
      </w:pPr>
      <w:r>
        <w:t>绩效目标：开展多形式效能监督检查活动，加强明察暗访和现场核实督导， 推动改革落地见效。发挥好“好差评”制度作用，进一步扩大评价事项覆盖度，拓展评价渠道，强化评价结果应用，及时做好“差评”整改工作。优化留言、投诉处理工作，对重点留言、投诉落实情况开展“回头看”，确保群众反映问题真正有效解决。继续开展政务服务效能评估工作，发挥第三方对工作推动作用，并为年底政务服务综合评价提供参考依据。抓好政务服务年度考核评价工作，提升考评工作科学性，发挥考核倒逼政务服务提质增效作用。</w:t>
      </w:r>
    </w:p>
    <w:p>
      <w:pPr>
        <w:pStyle w:val="23"/>
      </w:pPr>
      <w:r>
        <w:t>绩效指标：加强监督检查频次，专项监督次数不少于10次，每次不少于2天；发挥“好差评”评价作用，差评整改率100%；各类投诉处理率达到90%；年度考评覆盖率达到100%，效能评估覆盖21个乡镇和1个街道办。</w:t>
      </w:r>
    </w:p>
    <w:p>
      <w:pPr>
        <w:pStyle w:val="23"/>
      </w:pPr>
      <w:r>
        <w:t>8、综合业务、事务管理能力整体增强。</w:t>
      </w:r>
    </w:p>
    <w:p>
      <w:pPr>
        <w:pStyle w:val="23"/>
      </w:pPr>
      <w:r>
        <w:t>绩效目标：建立健全日常管理制度和工作流程，畅通办事渠道，提高工作效率；加强后勤管理，保障机关办公有序、车辆安全出行、电通水畅，协调做好房屋及水电暖设备维修、庭院绿化等后勤服务保障工作。</w:t>
      </w:r>
    </w:p>
    <w:p>
      <w:pPr>
        <w:pStyle w:val="23"/>
      </w:pPr>
      <w:r>
        <w:t>绩效指标：加强制度管理，推进规范运行，综合事务工作完成情况达到90%以上；保障机关工作正常高效运转，服务保障能力进一步提升，机关工作人员满意度达90%以上。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1、强化统筹推动。全面加强组织领导，将各项任务全部纳入年度工作要点，完善改革举措，细化时间表、路线图、责任链，强力推进任务落实。</w:t>
      </w:r>
    </w:p>
    <w:p>
      <w:pPr>
        <w:pStyle w:val="24"/>
      </w:pPr>
      <w:r>
        <w:t>2、强化协同配合。建立统筹协调、分工协作、密切配合、合力推进的工作机制，厘清职责任务，细化政策措施，强化协作配合，形成工作合力。</w:t>
      </w:r>
    </w:p>
    <w:p>
      <w:pPr>
        <w:pStyle w:val="24"/>
      </w:pPr>
      <w:r>
        <w:t>3、强化任务落实。要求各责任部门提高重视程度，严格按照规定要求和时限，细化任务分工，倒排目标工期，狠抓工作落实，确保各项任务落实落地。围绕任务内容，组织开展专题培训和不定期的业务培训，提高工作人员的业务水平和操作能力。</w:t>
      </w:r>
    </w:p>
    <w:p>
      <w:pPr>
        <w:pStyle w:val="24"/>
      </w:pPr>
      <w:r>
        <w:t>4、强化督导考核。建立健全督导评估机制，对项工作情况适时开展专项督查评估，及时解决工作中遇到的问题。纳入考核体系，强化导向作用，对任务目标完成质量不高的，要在办内进行通报批评。</w:t>
      </w:r>
    </w:p>
    <w:p>
      <w:pPr>
        <w:pStyle w:val="24"/>
        <w:sectPr>
          <w:pgSz w:w="16840" w:h="11900" w:orient="landscape"/>
          <w:pgMar w:top="1361" w:right="1020" w:bottom="1361" w:left="1020" w:header="720" w:footer="720" w:gutter="0"/>
          <w:cols w:space="720" w:num="1"/>
        </w:sectPr>
      </w:pPr>
      <w:r>
        <w:t>5、强化培训提升。组织开展多轮次、多角度的业务培训，使全办干部职工牢固树立绩效理念。各业务处室要积极探索工作经验，及时总结预算绩效管理成效，营造良好的舆论氛围，努力提升预算绩效管理水平。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1、管理运行经费绩效目标表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13043424P00001210397G</w:t>
            </w:r>
          </w:p>
        </w:tc>
        <w:tc>
          <w:tcPr>
            <w:tcW w:w="2835" w:type="dxa"/>
            <w:vAlign w:val="center"/>
          </w:tcPr>
          <w:p>
            <w:pPr>
              <w:pStyle w:val="11"/>
            </w:pPr>
            <w:r>
              <w:t>项目名称</w:t>
            </w:r>
          </w:p>
        </w:tc>
        <w:tc>
          <w:tcPr>
            <w:tcW w:w="6094" w:type="dxa"/>
            <w:gridSpan w:val="3"/>
            <w:vAlign w:val="center"/>
          </w:tcPr>
          <w:p>
            <w:pPr>
              <w:pStyle w:val="13"/>
            </w:pPr>
            <w:r>
              <w:t>管理运行经费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管理运行费用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1.全力做好行政审批及政务服务工作，处理上年度90%以上的办件量，进一步提高审批服务效率，优化营商环境，为早日建成邯郸东部次中心城市贡献力量。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事项办结率</w:t>
            </w:r>
          </w:p>
        </w:tc>
        <w:tc>
          <w:tcPr>
            <w:tcW w:w="5386" w:type="dxa"/>
            <w:vAlign w:val="center"/>
          </w:tcPr>
          <w:p>
            <w:pPr>
              <w:pStyle w:val="13"/>
            </w:pPr>
            <w:r>
              <w:t>年度办结事项/年度收件量*100%</w:t>
            </w:r>
          </w:p>
        </w:tc>
        <w:tc>
          <w:tcPr>
            <w:tcW w:w="2268" w:type="dxa"/>
            <w:vAlign w:val="center"/>
          </w:tcPr>
          <w:p>
            <w:pPr>
              <w:pStyle w:val="13"/>
            </w:pPr>
            <w:r>
              <w:t>≥95%</w:t>
            </w:r>
          </w:p>
        </w:tc>
        <w:tc>
          <w:tcPr>
            <w:tcW w:w="1276" w:type="dxa"/>
            <w:vAlign w:val="center"/>
          </w:tcPr>
          <w:p>
            <w:pPr>
              <w:pStyle w:val="13"/>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年度办件量</w:t>
            </w:r>
          </w:p>
        </w:tc>
        <w:tc>
          <w:tcPr>
            <w:tcW w:w="5386" w:type="dxa"/>
            <w:vAlign w:val="center"/>
          </w:tcPr>
          <w:p>
            <w:pPr>
              <w:pStyle w:val="13"/>
            </w:pPr>
            <w:r>
              <w:t>年度办件量</w:t>
            </w:r>
          </w:p>
        </w:tc>
        <w:tc>
          <w:tcPr>
            <w:tcW w:w="2268" w:type="dxa"/>
            <w:vAlign w:val="center"/>
          </w:tcPr>
          <w:p>
            <w:pPr>
              <w:pStyle w:val="13"/>
            </w:pPr>
            <w:r>
              <w:t>≥120000件</w:t>
            </w:r>
          </w:p>
        </w:tc>
        <w:tc>
          <w:tcPr>
            <w:tcW w:w="1276" w:type="dxa"/>
            <w:vAlign w:val="center"/>
          </w:tcPr>
          <w:p>
            <w:pPr>
              <w:pStyle w:val="13"/>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当年管理运行维护经费总金额</w:t>
            </w:r>
          </w:p>
        </w:tc>
        <w:tc>
          <w:tcPr>
            <w:tcW w:w="5386" w:type="dxa"/>
            <w:vAlign w:val="center"/>
          </w:tcPr>
          <w:p>
            <w:pPr>
              <w:pStyle w:val="13"/>
            </w:pPr>
            <w:r>
              <w:t>年管理运行维护总成本</w:t>
            </w:r>
          </w:p>
        </w:tc>
        <w:tc>
          <w:tcPr>
            <w:tcW w:w="2268" w:type="dxa"/>
            <w:vAlign w:val="center"/>
          </w:tcPr>
          <w:p>
            <w:pPr>
              <w:pStyle w:val="13"/>
            </w:pPr>
            <w:r>
              <w:t>≤200万元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≥90%</w:t>
            </w:r>
          </w:p>
        </w:tc>
        <w:tc>
          <w:tcPr>
            <w:tcW w:w="1276" w:type="dxa"/>
            <w:vAlign w:val="center"/>
          </w:tcPr>
          <w:p>
            <w:pPr>
              <w:pStyle w:val="13"/>
            </w:pPr>
            <w:r>
              <w:t>以实际支出进度为准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服务的改善与提升</w:t>
            </w:r>
          </w:p>
        </w:tc>
        <w:tc>
          <w:tcPr>
            <w:tcW w:w="5386" w:type="dxa"/>
            <w:vAlign w:val="center"/>
          </w:tcPr>
          <w:p>
            <w:pPr>
              <w:pStyle w:val="13"/>
            </w:pPr>
            <w:r>
              <w:t>服务的改善与提升</w:t>
            </w:r>
          </w:p>
        </w:tc>
        <w:tc>
          <w:tcPr>
            <w:tcW w:w="2268" w:type="dxa"/>
            <w:vAlign w:val="center"/>
          </w:tcPr>
          <w:p>
            <w:pPr>
              <w:pStyle w:val="13"/>
            </w:pPr>
            <w:r>
              <w:t>服务态度和服务环境有较大改善和提升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获得锦旗数量</w:t>
            </w:r>
          </w:p>
        </w:tc>
        <w:tc>
          <w:tcPr>
            <w:tcW w:w="5386" w:type="dxa"/>
            <w:vAlign w:val="center"/>
          </w:tcPr>
          <w:p>
            <w:pPr>
              <w:pStyle w:val="13"/>
            </w:pPr>
            <w:r>
              <w:t>本年度获得锦旗数量</w:t>
            </w:r>
          </w:p>
        </w:tc>
        <w:tc>
          <w:tcPr>
            <w:tcW w:w="2268" w:type="dxa"/>
            <w:vAlign w:val="center"/>
          </w:tcPr>
          <w:p>
            <w:pPr>
              <w:pStyle w:val="13"/>
            </w:pPr>
            <w:r>
              <w:t>≥30面</w:t>
            </w:r>
          </w:p>
        </w:tc>
        <w:tc>
          <w:tcPr>
            <w:tcW w:w="1276" w:type="dxa"/>
            <w:vAlign w:val="center"/>
          </w:tcPr>
          <w:p>
            <w:pPr>
              <w:pStyle w:val="13"/>
            </w:pPr>
            <w:r>
              <w:t>以实际获得锦旗数量为准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≥90分</w:t>
            </w:r>
          </w:p>
        </w:tc>
        <w:tc>
          <w:tcPr>
            <w:tcW w:w="1276" w:type="dxa"/>
            <w:vAlign w:val="center"/>
          </w:tcPr>
          <w:p>
            <w:pPr>
              <w:pStyle w:val="13"/>
            </w:pPr>
            <w:r>
              <w:t>发放调查问卷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2、优化营商环境工作经费绩效目标表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13043424P00000911440Q</w:t>
            </w:r>
          </w:p>
        </w:tc>
        <w:tc>
          <w:tcPr>
            <w:tcW w:w="2835" w:type="dxa"/>
            <w:vAlign w:val="center"/>
          </w:tcPr>
          <w:p>
            <w:pPr>
              <w:pStyle w:val="11"/>
            </w:pPr>
            <w:r>
              <w:t>项目名称</w:t>
            </w:r>
          </w:p>
        </w:tc>
        <w:tc>
          <w:tcPr>
            <w:tcW w:w="6094" w:type="dxa"/>
            <w:gridSpan w:val="3"/>
            <w:vAlign w:val="center"/>
          </w:tcPr>
          <w:p>
            <w:pPr>
              <w:pStyle w:val="13"/>
            </w:pPr>
            <w:r>
              <w:t>优化营商环境工作经费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w:t>
            </w:r>
          </w:p>
        </w:tc>
        <w:tc>
          <w:tcPr>
            <w:tcW w:w="2835" w:type="dxa"/>
            <w:vAlign w:val="center"/>
          </w:tcPr>
          <w:p>
            <w:pPr>
              <w:pStyle w:val="11"/>
            </w:pPr>
            <w:r>
              <w:t>其中：财政    资金</w:t>
            </w:r>
          </w:p>
        </w:tc>
        <w:tc>
          <w:tcPr>
            <w:tcW w:w="2551" w:type="dxa"/>
            <w:vAlign w:val="center"/>
          </w:tcPr>
          <w:p>
            <w:pPr>
              <w:pStyle w:val="13"/>
            </w:pPr>
            <w:r>
              <w:t>170.00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年内全省优化营商环境考核取得优异成绩，年内为新增加2500家企业免费刻制印章。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1.年内全省优化营商环境考核取得优异成绩，年内为新增加2500家企业免费刻制印章。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新增加企业免费刻制印章数量</w:t>
            </w:r>
          </w:p>
        </w:tc>
        <w:tc>
          <w:tcPr>
            <w:tcW w:w="5386" w:type="dxa"/>
            <w:vAlign w:val="center"/>
          </w:tcPr>
          <w:p>
            <w:pPr>
              <w:pStyle w:val="13"/>
            </w:pPr>
            <w:r>
              <w:t>年年内新增加企业免费刻制印章数量</w:t>
            </w:r>
          </w:p>
        </w:tc>
        <w:tc>
          <w:tcPr>
            <w:tcW w:w="2268" w:type="dxa"/>
            <w:vAlign w:val="center"/>
          </w:tcPr>
          <w:p>
            <w:pPr>
              <w:pStyle w:val="13"/>
            </w:pPr>
            <w:r>
              <w:t>≥2500套</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免费刻制印章质量优良率</w:t>
            </w:r>
          </w:p>
        </w:tc>
        <w:tc>
          <w:tcPr>
            <w:tcW w:w="5386" w:type="dxa"/>
            <w:vAlign w:val="center"/>
          </w:tcPr>
          <w:p>
            <w:pPr>
              <w:pStyle w:val="13"/>
            </w:pPr>
            <w:r>
              <w:t>免费刻制印章质量优良率</w:t>
            </w:r>
          </w:p>
        </w:tc>
        <w:tc>
          <w:tcPr>
            <w:tcW w:w="2268" w:type="dxa"/>
            <w:vAlign w:val="center"/>
          </w:tcPr>
          <w:p>
            <w:pPr>
              <w:pStyle w:val="13"/>
            </w:pPr>
            <w:r>
              <w:t>≥98%</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项目审批及时率</w:t>
            </w:r>
          </w:p>
        </w:tc>
        <w:tc>
          <w:tcPr>
            <w:tcW w:w="5386" w:type="dxa"/>
            <w:vAlign w:val="center"/>
          </w:tcPr>
          <w:p>
            <w:pPr>
              <w:pStyle w:val="13"/>
            </w:pPr>
            <w:r>
              <w:t>项目审批及时率</w:t>
            </w:r>
          </w:p>
        </w:tc>
        <w:tc>
          <w:tcPr>
            <w:tcW w:w="2268" w:type="dxa"/>
            <w:vAlign w:val="center"/>
          </w:tcPr>
          <w:p>
            <w:pPr>
              <w:pStyle w:val="13"/>
            </w:pPr>
            <w:r>
              <w:t>≥95%</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工作经费</w:t>
            </w:r>
          </w:p>
        </w:tc>
        <w:tc>
          <w:tcPr>
            <w:tcW w:w="2268" w:type="dxa"/>
            <w:vAlign w:val="center"/>
          </w:tcPr>
          <w:p>
            <w:pPr>
              <w:pStyle w:val="13"/>
            </w:pPr>
            <w:r>
              <w:t>≤170万元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规模以上企业增加比例</w:t>
            </w:r>
          </w:p>
        </w:tc>
        <w:tc>
          <w:tcPr>
            <w:tcW w:w="5386" w:type="dxa"/>
            <w:vAlign w:val="center"/>
          </w:tcPr>
          <w:p>
            <w:pPr>
              <w:pStyle w:val="13"/>
            </w:pPr>
            <w:r>
              <w:t>规模以上企业增加比例</w:t>
            </w:r>
          </w:p>
        </w:tc>
        <w:tc>
          <w:tcPr>
            <w:tcW w:w="2268" w:type="dxa"/>
            <w:vAlign w:val="center"/>
          </w:tcPr>
          <w:p>
            <w:pPr>
              <w:pStyle w:val="13"/>
            </w:pPr>
            <w:r>
              <w:t>≥6%</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中小企业就业人数</w:t>
            </w:r>
          </w:p>
        </w:tc>
        <w:tc>
          <w:tcPr>
            <w:tcW w:w="5386" w:type="dxa"/>
            <w:vAlign w:val="center"/>
          </w:tcPr>
          <w:p>
            <w:pPr>
              <w:pStyle w:val="13"/>
            </w:pPr>
            <w:r>
              <w:t>中小企业就业人数</w:t>
            </w:r>
          </w:p>
        </w:tc>
        <w:tc>
          <w:tcPr>
            <w:tcW w:w="2268" w:type="dxa"/>
            <w:vAlign w:val="center"/>
          </w:tcPr>
          <w:p>
            <w:pPr>
              <w:pStyle w:val="13"/>
            </w:pPr>
            <w:r>
              <w:t>≥2万人</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≥90%</w:t>
            </w:r>
          </w:p>
        </w:tc>
        <w:tc>
          <w:tcPr>
            <w:tcW w:w="1276" w:type="dxa"/>
            <w:vAlign w:val="center"/>
          </w:tcPr>
          <w:p>
            <w:pPr>
              <w:pStyle w:val="13"/>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3、政府购买服务人员工资绩效目标表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13043424P00000911436J</w:t>
            </w:r>
          </w:p>
        </w:tc>
        <w:tc>
          <w:tcPr>
            <w:tcW w:w="2835" w:type="dxa"/>
            <w:vAlign w:val="center"/>
          </w:tcPr>
          <w:p>
            <w:pPr>
              <w:pStyle w:val="11"/>
            </w:pPr>
            <w:r>
              <w:t>项目名称</w:t>
            </w:r>
          </w:p>
        </w:tc>
        <w:tc>
          <w:tcPr>
            <w:tcW w:w="6094" w:type="dxa"/>
            <w:gridSpan w:val="3"/>
            <w:vAlign w:val="center"/>
          </w:tcPr>
          <w:p>
            <w:pPr>
              <w:pStyle w:val="13"/>
            </w:pPr>
            <w:r>
              <w:t>政府购买服务人员工资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366.70</w:t>
            </w:r>
          </w:p>
        </w:tc>
        <w:tc>
          <w:tcPr>
            <w:tcW w:w="2835" w:type="dxa"/>
            <w:vAlign w:val="center"/>
          </w:tcPr>
          <w:p>
            <w:pPr>
              <w:pStyle w:val="11"/>
            </w:pPr>
            <w:r>
              <w:t>其中：财政    资金</w:t>
            </w:r>
          </w:p>
        </w:tc>
        <w:tc>
          <w:tcPr>
            <w:tcW w:w="2551" w:type="dxa"/>
            <w:vAlign w:val="center"/>
          </w:tcPr>
          <w:p>
            <w:pPr>
              <w:pStyle w:val="13"/>
            </w:pPr>
            <w:r>
              <w:t>366.70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保障局机关45名劳务派遣人员及全县22个乡镇行政综合服务中心44名劳务派遣人员（共89人）工资待遇发放。</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1.保障局机关45名劳务派遣人员及全县22个乡镇行政综合服务中心44名劳务派遣人员（共89人）工资待遇发放。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实际发放数/应发工资数</w:t>
            </w:r>
          </w:p>
        </w:tc>
        <w:tc>
          <w:tcPr>
            <w:tcW w:w="2268" w:type="dxa"/>
            <w:vAlign w:val="center"/>
          </w:tcPr>
          <w:p>
            <w:pPr>
              <w:pStyle w:val="13"/>
            </w:pPr>
            <w:r>
              <w:t>≥90%</w:t>
            </w:r>
          </w:p>
        </w:tc>
        <w:tc>
          <w:tcPr>
            <w:tcW w:w="1276" w:type="dxa"/>
            <w:vAlign w:val="center"/>
          </w:tcPr>
          <w:p>
            <w:pPr>
              <w:pStyle w:val="13"/>
            </w:pPr>
            <w:r>
              <w:t>根据工资发放记录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通过人力资源公司公开招录人员</w:t>
            </w:r>
          </w:p>
        </w:tc>
        <w:tc>
          <w:tcPr>
            <w:tcW w:w="2268" w:type="dxa"/>
            <w:vAlign w:val="center"/>
          </w:tcPr>
          <w:p>
            <w:pPr>
              <w:pStyle w:val="13"/>
            </w:pPr>
            <w:r>
              <w:t>89人</w:t>
            </w:r>
          </w:p>
        </w:tc>
        <w:tc>
          <w:tcPr>
            <w:tcW w:w="1276" w:type="dxa"/>
            <w:vAlign w:val="center"/>
          </w:tcPr>
          <w:p>
            <w:pPr>
              <w:pStyle w:val="13"/>
            </w:pPr>
            <w:r>
              <w:t>公开招录公告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薪资费用</w:t>
            </w:r>
          </w:p>
        </w:tc>
        <w:tc>
          <w:tcPr>
            <w:tcW w:w="5386" w:type="dxa"/>
            <w:vAlign w:val="center"/>
          </w:tcPr>
          <w:p>
            <w:pPr>
              <w:pStyle w:val="13"/>
            </w:pPr>
            <w:r>
              <w:t>2024年薪资总费用</w:t>
            </w:r>
          </w:p>
        </w:tc>
        <w:tc>
          <w:tcPr>
            <w:tcW w:w="2268" w:type="dxa"/>
            <w:vAlign w:val="center"/>
          </w:tcPr>
          <w:p>
            <w:pPr>
              <w:pStyle w:val="13"/>
            </w:pPr>
            <w:r>
              <w:t>≤366.7万元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薪资按时发放率</w:t>
            </w:r>
          </w:p>
        </w:tc>
        <w:tc>
          <w:tcPr>
            <w:tcW w:w="5386" w:type="dxa"/>
            <w:vAlign w:val="center"/>
          </w:tcPr>
          <w:p>
            <w:pPr>
              <w:pStyle w:val="13"/>
            </w:pPr>
            <w:r>
              <w:t>每月30日前发放</w:t>
            </w:r>
          </w:p>
        </w:tc>
        <w:tc>
          <w:tcPr>
            <w:tcW w:w="2268" w:type="dxa"/>
            <w:vAlign w:val="center"/>
          </w:tcPr>
          <w:p>
            <w:pPr>
              <w:pStyle w:val="13"/>
            </w:pPr>
            <w:r>
              <w:t>每月30日前发放</w:t>
            </w:r>
          </w:p>
        </w:tc>
        <w:tc>
          <w:tcPr>
            <w:tcW w:w="1276" w:type="dxa"/>
            <w:vAlign w:val="center"/>
          </w:tcPr>
          <w:p>
            <w:pPr>
              <w:pStyle w:val="13"/>
            </w:pPr>
            <w:r>
              <w:t>根据工资发放记录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事项办结率</w:t>
            </w:r>
          </w:p>
        </w:tc>
        <w:tc>
          <w:tcPr>
            <w:tcW w:w="5386" w:type="dxa"/>
            <w:vAlign w:val="center"/>
          </w:tcPr>
          <w:p>
            <w:pPr>
              <w:pStyle w:val="13"/>
            </w:pPr>
            <w:r>
              <w:t>年度办结事项/年度收件量</w:t>
            </w:r>
          </w:p>
        </w:tc>
        <w:tc>
          <w:tcPr>
            <w:tcW w:w="2268" w:type="dxa"/>
            <w:vAlign w:val="center"/>
          </w:tcPr>
          <w:p>
            <w:pPr>
              <w:pStyle w:val="13"/>
            </w:pPr>
            <w:r>
              <w:t>≥90%</w:t>
            </w:r>
          </w:p>
        </w:tc>
        <w:tc>
          <w:tcPr>
            <w:tcW w:w="1276" w:type="dxa"/>
            <w:vAlign w:val="center"/>
          </w:tcPr>
          <w:p>
            <w:pPr>
              <w:pStyle w:val="13"/>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获得荣誉比较</w:t>
            </w:r>
          </w:p>
        </w:tc>
        <w:tc>
          <w:tcPr>
            <w:tcW w:w="5386" w:type="dxa"/>
            <w:vAlign w:val="center"/>
          </w:tcPr>
          <w:p>
            <w:pPr>
              <w:pStyle w:val="13"/>
            </w:pPr>
            <w:r>
              <w:t>本年度获得荣誉/上年度获得荣誉</w:t>
            </w:r>
          </w:p>
        </w:tc>
        <w:tc>
          <w:tcPr>
            <w:tcW w:w="2268" w:type="dxa"/>
            <w:vAlign w:val="center"/>
          </w:tcPr>
          <w:p>
            <w:pPr>
              <w:pStyle w:val="13"/>
            </w:pPr>
            <w:r>
              <w:t>≥90%</w:t>
            </w:r>
          </w:p>
        </w:tc>
        <w:tc>
          <w:tcPr>
            <w:tcW w:w="1276" w:type="dxa"/>
            <w:vAlign w:val="center"/>
          </w:tcPr>
          <w:p>
            <w:pPr>
              <w:pStyle w:val="13"/>
            </w:pPr>
            <w:r>
              <w:t>以实际获得荣誉为准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服务对象满意数量占总数比例</w:t>
            </w:r>
          </w:p>
        </w:tc>
        <w:tc>
          <w:tcPr>
            <w:tcW w:w="2268" w:type="dxa"/>
            <w:vAlign w:val="center"/>
          </w:tcPr>
          <w:p>
            <w:pPr>
              <w:pStyle w:val="13"/>
            </w:pPr>
            <w:r>
              <w:t>≥90%</w:t>
            </w:r>
          </w:p>
        </w:tc>
        <w:tc>
          <w:tcPr>
            <w:tcW w:w="1276" w:type="dxa"/>
            <w:vAlign w:val="center"/>
          </w:tcPr>
          <w:p>
            <w:pPr>
              <w:pStyle w:val="13"/>
            </w:pPr>
            <w:r>
              <w:t>发放调查问卷，以问卷统计结果为准。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218魏县行政审批局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魏县行政审批局（含所属单位）上年末固定资产金额为210.39万元（详见下表）。本年度拟购置固定资产总额为0.00万元，已按要求列入政府采购预算，详见政府采购预算表。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218魏县行政审批局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210.39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130</w:t>
            </w:r>
          </w:p>
        </w:tc>
        <w:tc>
          <w:tcPr>
            <w:tcW w:w="2835" w:type="dxa"/>
            <w:vAlign w:val="center"/>
          </w:tcPr>
          <w:p>
            <w:pPr>
              <w:pStyle w:val="12"/>
            </w:pPr>
            <w:r>
              <w:t>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91</w:t>
            </w:r>
          </w:p>
        </w:tc>
        <w:tc>
          <w:tcPr>
            <w:tcW w:w="2835" w:type="dxa"/>
            <w:vAlign w:val="center"/>
          </w:tcPr>
          <w:p>
            <w:pPr>
              <w:pStyle w:val="12"/>
            </w:pPr>
            <w:r>
              <w:t>170.97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9041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2024-02-26T16:45:16Z</dcterms:created>
  <dcterms:modified xsi:type="dcterms:W3CDTF">2024-02-26T08:45:16Z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2024-02-26T16:45:15Z</dcterms:created>
  <dcterms:modified xsi:type="dcterms:W3CDTF">2024-02-26T08:45:15Z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2024-02-26T16:45:13Z</dcterms:created>
  <dcterms:modified xsi:type="dcterms:W3CDTF">2024-02-26T08:45:13Z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2024-02-26T16:45:15Z</dcterms:created>
  <dcterms:modified xsi:type="dcterms:W3CDTF">2024-02-26T08:45:15Z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2024-02-26T16:45:14Z</dcterms:created>
  <dcterms:modified xsi:type="dcterms:W3CDTF">2024-02-26T08:45:14Z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2024-02-26T16:45:14Z</dcterms:created>
  <dcterms:modified xsi:type="dcterms:W3CDTF">2024-02-26T08:45:14Z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2024-02-26T16:45:14Z</dcterms:created>
  <dcterms:modified xsi:type="dcterms:W3CDTF">2024-02-26T08:45:14Z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41450d-91f0-4e4e-ae11-42544fa86459}">
  <ds:schemaRefs/>
</ds:datastoreItem>
</file>

<file path=customXml/itemProps11.xml><?xml version="1.0" encoding="utf-8"?>
<ds:datastoreItem xmlns:ds="http://schemas.openxmlformats.org/officeDocument/2006/customXml" ds:itemID="{a4e59104-9206-4e03-8296-7e7ff8646d53}">
  <ds:schemaRefs/>
</ds:datastoreItem>
</file>

<file path=customXml/itemProps12.xml><?xml version="1.0" encoding="utf-8"?>
<ds:datastoreItem xmlns:ds="http://schemas.openxmlformats.org/officeDocument/2006/customXml" ds:itemID="{68fa5105-19ad-4404-88d6-d4654fec2ce8}">
  <ds:schemaRefs/>
</ds:datastoreItem>
</file>

<file path=customXml/itemProps13.xml><?xml version="1.0" encoding="utf-8"?>
<ds:datastoreItem xmlns:ds="http://schemas.openxmlformats.org/officeDocument/2006/customXml" ds:itemID="{83d94eca-e2f0-4474-bec6-c81cc9a5dca3}">
  <ds:schemaRefs/>
</ds:datastoreItem>
</file>

<file path=customXml/itemProps14.xml><?xml version="1.0" encoding="utf-8"?>
<ds:datastoreItem xmlns:ds="http://schemas.openxmlformats.org/officeDocument/2006/customXml" ds:itemID="{cfa1ca1e-9e87-4257-88ed-993a689d405a}">
  <ds:schemaRefs/>
</ds:datastoreItem>
</file>

<file path=customXml/itemProps15.xml><?xml version="1.0" encoding="utf-8"?>
<ds:datastoreItem xmlns:ds="http://schemas.openxmlformats.org/officeDocument/2006/customXml" ds:itemID="{e95ca4af-61bc-4c08-b4c1-002d828767c0}">
  <ds:schemaRefs/>
</ds:datastoreItem>
</file>

<file path=customXml/itemProps2.xml><?xml version="1.0" encoding="utf-8"?>
<ds:datastoreItem xmlns:ds="http://schemas.openxmlformats.org/officeDocument/2006/customXml" ds:itemID="{2129d712-c8fa-4d35-a72c-8578e07d5f4d}">
  <ds:schemaRefs/>
</ds:datastoreItem>
</file>

<file path=customXml/itemProps3.xml><?xml version="1.0" encoding="utf-8"?>
<ds:datastoreItem xmlns:ds="http://schemas.openxmlformats.org/officeDocument/2006/customXml" ds:itemID="{456f2dfe-1b91-4ce6-aa16-cc2f69824119}">
  <ds:schemaRefs/>
</ds:datastoreItem>
</file>

<file path=customXml/itemProps4.xml><?xml version="1.0" encoding="utf-8"?>
<ds:datastoreItem xmlns:ds="http://schemas.openxmlformats.org/officeDocument/2006/customXml" ds:itemID="{a54622e0-f68b-444b-9fae-993ce5c0996e}">
  <ds:schemaRefs/>
</ds:datastoreItem>
</file>

<file path=customXml/itemProps5.xml><?xml version="1.0" encoding="utf-8"?>
<ds:datastoreItem xmlns:ds="http://schemas.openxmlformats.org/officeDocument/2006/customXml" ds:itemID="{7a266dc4-4309-4391-9e5d-65d72cf96f99}">
  <ds:schemaRefs/>
</ds:datastoreItem>
</file>

<file path=customXml/itemProps6.xml><?xml version="1.0" encoding="utf-8"?>
<ds:datastoreItem xmlns:ds="http://schemas.openxmlformats.org/officeDocument/2006/customXml" ds:itemID="{76d44dc7-625b-436e-9045-82ea11a5d8b1}">
  <ds:schemaRefs/>
</ds:datastoreItem>
</file>

<file path=customXml/itemProps7.xml><?xml version="1.0" encoding="utf-8"?>
<ds:datastoreItem xmlns:ds="http://schemas.openxmlformats.org/officeDocument/2006/customXml" ds:itemID="{9b44d555-2975-48a2-ab5d-158353902236}">
  <ds:schemaRefs/>
</ds:datastoreItem>
</file>

<file path=customXml/itemProps8.xml><?xml version="1.0" encoding="utf-8"?>
<ds:datastoreItem xmlns:ds="http://schemas.openxmlformats.org/officeDocument/2006/customXml" ds:itemID="{3744aa83-048d-4bdb-9a0d-357dd733109f}">
  <ds:schemaRefs/>
</ds:datastoreItem>
</file>

<file path=customXml/itemProps9.xml><?xml version="1.0" encoding="utf-8"?>
<ds:datastoreItem xmlns:ds="http://schemas.openxmlformats.org/officeDocument/2006/customXml" ds:itemID="{1749c20a-6435-4ad4-9c1d-b4963ff9df50}">
  <ds:schemaRefs/>
</ds:datastoreItem>
</file>

<file path=docProps/app.xml><?xml version="1.0" encoding="utf-8"?>
<Properties xmlns="http://schemas.openxmlformats.org/officeDocument/2006/extended-properties" xmlns:vt="http://schemas.openxmlformats.org/officeDocument/2006/docPropsVTypes">
  <Pages>40</Pages>
  <Words>10050</Words>
  <Characters>11425</Characters>
  <TotalTime>1</TotalTime>
  <ScaleCrop>false</ScaleCrop>
  <LinksUpToDate>false</LinksUpToDate>
  <CharactersWithSpaces>11575</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2024-02-26T16:45:00Z</dcterms:created>
  <dc:creator>zhck</dc:creator>
  <cp:lastModifiedBy>zhck</cp:lastModifiedBy>
  <dcterms:modified xsi:type="dcterms:W3CDTF">2024-02-26T09:01:45Z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6A592168E64341A1946A31C5CFF77A18</vt:lpwstr>
  </property>
</Properties>
</file>