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424242"/>
          <w:kern w:val="0"/>
          <w:sz w:val="44"/>
          <w:szCs w:val="44"/>
          <w:shd w:val="clear"/>
        </w:rPr>
      </w:pPr>
      <w:r>
        <w:rPr>
          <w:rFonts w:hint="eastAsia" w:ascii="方正小标宋简体" w:hAnsi="方正小标宋简体" w:eastAsia="方正小标宋简体" w:cs="方正小标宋简体"/>
          <w:color w:val="424242"/>
          <w:kern w:val="0"/>
          <w:sz w:val="44"/>
          <w:szCs w:val="44"/>
          <w:shd w:val="clear"/>
        </w:rPr>
        <w:t>国家税务总局魏县税务局</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424242"/>
          <w:kern w:val="0"/>
          <w:sz w:val="44"/>
          <w:szCs w:val="44"/>
          <w:shd w:val="clear"/>
        </w:rPr>
      </w:pPr>
      <w:r>
        <w:rPr>
          <w:rFonts w:hint="eastAsia" w:ascii="方正小标宋简体" w:hAnsi="方正小标宋简体" w:eastAsia="方正小标宋简体" w:cs="方正小标宋简体"/>
          <w:color w:val="424242"/>
          <w:kern w:val="0"/>
          <w:sz w:val="44"/>
          <w:szCs w:val="44"/>
          <w:shd w:val="clear"/>
        </w:rPr>
        <w:t>202</w:t>
      </w:r>
      <w:r>
        <w:rPr>
          <w:rFonts w:hint="eastAsia" w:ascii="方正小标宋简体" w:hAnsi="方正小标宋简体" w:eastAsia="方正小标宋简体" w:cs="方正小标宋简体"/>
          <w:color w:val="424242"/>
          <w:kern w:val="0"/>
          <w:sz w:val="44"/>
          <w:szCs w:val="44"/>
          <w:shd w:val="clear"/>
          <w:lang w:val="en-US" w:eastAsia="zh-CN"/>
        </w:rPr>
        <w:t>3</w:t>
      </w:r>
      <w:r>
        <w:rPr>
          <w:rFonts w:hint="eastAsia" w:ascii="方正小标宋简体" w:hAnsi="方正小标宋简体" w:eastAsia="方正小标宋简体" w:cs="方正小标宋简体"/>
          <w:color w:val="424242"/>
          <w:kern w:val="0"/>
          <w:sz w:val="44"/>
          <w:szCs w:val="44"/>
          <w:shd w:val="clear"/>
        </w:rPr>
        <w:t>年政府信息公开工作年度报告</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424242"/>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国家税务总局魏县税务局以习近平新时代中国特色社会主义思想为指导，认真贯彻落实《中华人民共和国政府信息公开条例》,围绕总局、省局、市局和省、市政府关于政务公开工作的安排部署和总体要求，将政府信息公开工作扎实推进，促进政府信息公开工作有序运转。</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（一）主动公开情况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年，我局通过邯郸市税务局网站、魏县党政网等及时公开机构职责、政府信息公开指南、政府信息公开年报、政府提案等情况，公开行政许可事项659条，全年重点对工作动态、政策解读、执法信息、公告公示等情况进行了公开。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我局高度重视依申请公开工作，规范办理流程，积极做好网上在线申请的受理工作。202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年，我局未收到政府信息公开申请。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是及时调整政务公开工作领导小组及办公室成员，明确责任部门和职能分工，做到了有领导分管、有工作机构负责、有专人办理，切实保障了政务信息公开工作的顺利开展。二是从各部门选出信息管理人员，层层传导压力，逐级落实责任，并进行保密工作培训，确保公开内容不涉密，凝聚起政务公开工作的强大合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（四）政府信息公开平台建设情况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按照市局的工作要求及相关管理规定，对公开内容及时更新并定期审查,同时将相关内容向魏县党政网进行推送,做到同步更新, 数据同源、形式统一。并坚持信息公开手段创新、理念创新，进一步扩大信息公开覆盖面。我局在办税服务厅设置了政务公开栏，定期公开税收政策、行政执法行为及其他公开内容，全面提升政务服务质效，认真倾听群众百姓呼声，通过政策解答，回应群众关切的涉税问题。</w:t>
      </w:r>
    </w:p>
    <w:bookmarkEnd w:id="0"/>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（五）监督保障情况</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将政务公开工作纳入全局重点工作任务并纳入绩效考核，加强政务公开业务培训、工作检查和督导，发现不足，及时责令相关人员整改。</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424242"/>
          <w:kern w:val="0"/>
          <w:sz w:val="32"/>
          <w:szCs w:val="32"/>
        </w:rPr>
      </w:pPr>
      <w:r>
        <w:rPr>
          <w:rFonts w:hint="eastAsia" w:ascii="黑体" w:hAnsi="黑体" w:eastAsia="黑体" w:cs="黑体"/>
          <w:color w:val="424242"/>
          <w:kern w:val="0"/>
          <w:sz w:val="32"/>
          <w:szCs w:val="32"/>
        </w:rPr>
        <w:t>  二、主动公开政府信息情况</w:t>
      </w:r>
    </w:p>
    <w:tbl>
      <w:tblPr>
        <w:tblStyle w:val="3"/>
        <w:tblW w:w="9735" w:type="dxa"/>
        <w:jc w:val="center"/>
        <w:tblLayout w:type="autofit"/>
        <w:tblCellMar>
          <w:top w:w="15" w:type="dxa"/>
          <w:left w:w="15" w:type="dxa"/>
          <w:bottom w:w="15" w:type="dxa"/>
          <w:right w:w="15" w:type="dxa"/>
        </w:tblCellMar>
      </w:tblPr>
      <w:tblGrid>
        <w:gridCol w:w="2430"/>
        <w:gridCol w:w="2430"/>
        <w:gridCol w:w="2430"/>
        <w:gridCol w:w="2445"/>
      </w:tblGrid>
      <w:tr>
        <w:tblPrEx>
          <w:tblCellMar>
            <w:top w:w="15" w:type="dxa"/>
            <w:left w:w="15" w:type="dxa"/>
            <w:bottom w:w="15" w:type="dxa"/>
            <w:right w:w="15"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第二十条第（一）项</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信息内容</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本年制发件数</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本年废止件数</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现行有效件数</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规章</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行政规范性文件</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第二十条第（五）项</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信息内容</w:t>
            </w:r>
          </w:p>
        </w:tc>
        <w:tc>
          <w:tcPr>
            <w:tcW w:w="7305"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本年处理决定数量</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行政许可</w:t>
            </w:r>
          </w:p>
        </w:tc>
        <w:tc>
          <w:tcPr>
            <w:tcW w:w="7305"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659</w:t>
            </w:r>
          </w:p>
        </w:tc>
      </w:tr>
      <w:tr>
        <w:tblPrEx>
          <w:tblCellMar>
            <w:top w:w="15" w:type="dxa"/>
            <w:left w:w="15" w:type="dxa"/>
            <w:bottom w:w="15" w:type="dxa"/>
            <w:right w:w="15"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第二十条第（六）项</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信息内容</w:t>
            </w:r>
          </w:p>
        </w:tc>
        <w:tc>
          <w:tcPr>
            <w:tcW w:w="7305"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本年处理决定数量</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行政处罚</w:t>
            </w:r>
          </w:p>
        </w:tc>
        <w:tc>
          <w:tcPr>
            <w:tcW w:w="7305"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857</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行政强制</w:t>
            </w:r>
          </w:p>
        </w:tc>
        <w:tc>
          <w:tcPr>
            <w:tcW w:w="7305"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第二十条第（八）项</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信息内容</w:t>
            </w:r>
          </w:p>
        </w:tc>
        <w:tc>
          <w:tcPr>
            <w:tcW w:w="7305" w:type="dxa"/>
            <w:gridSpan w:val="3"/>
            <w:tcBorders>
              <w:top w:val="single" w:color="auto" w:sz="6" w:space="0"/>
              <w:left w:val="single" w:color="auto" w:sz="6" w:space="0"/>
              <w:bottom w:val="single" w:color="auto" w:sz="6" w:space="0"/>
              <w:right w:val="single" w:color="000000"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本年收费金额（单位：万元）</w:t>
            </w:r>
          </w:p>
        </w:tc>
      </w:tr>
      <w:tr>
        <w:tblPrEx>
          <w:tblCellMar>
            <w:top w:w="15" w:type="dxa"/>
            <w:left w:w="15" w:type="dxa"/>
            <w:bottom w:w="15" w:type="dxa"/>
            <w:right w:w="15" w:type="dxa"/>
          </w:tblCellMar>
        </w:tblPrEx>
        <w:trPr>
          <w:trHeight w:val="345" w:hRule="atLeast"/>
          <w:jc w:val="center"/>
        </w:trPr>
        <w:tc>
          <w:tcPr>
            <w:tcW w:w="2430"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行政事业性收费</w:t>
            </w:r>
          </w:p>
        </w:tc>
        <w:tc>
          <w:tcPr>
            <w:tcW w:w="7305" w:type="dxa"/>
            <w:gridSpan w:val="3"/>
            <w:tcBorders>
              <w:top w:val="single" w:color="auto" w:sz="6" w:space="0"/>
              <w:left w:val="single" w:color="auto" w:sz="6" w:space="0"/>
              <w:bottom w:val="single" w:color="auto" w:sz="6" w:space="0"/>
              <w:right w:val="single" w:color="000000"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cs="宋体"/>
                <w:kern w:val="0"/>
                <w:szCs w:val="21"/>
              </w:rPr>
            </w:pPr>
            <w:r>
              <w:rPr>
                <w:rFonts w:hint="eastAsia" w:ascii="微软雅黑" w:hAnsi="微软雅黑" w:cs="宋体"/>
                <w:kern w:val="0"/>
                <w:szCs w:val="21"/>
              </w:rPr>
              <w:t>0</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424242"/>
          <w:kern w:val="0"/>
          <w:sz w:val="32"/>
          <w:szCs w:val="32"/>
        </w:rPr>
      </w:pPr>
      <w:r>
        <w:rPr>
          <w:rFonts w:hint="eastAsia" w:ascii="黑体" w:hAnsi="黑体" w:eastAsia="黑体" w:cs="黑体"/>
          <w:color w:val="424242"/>
          <w:kern w:val="0"/>
          <w:sz w:val="32"/>
          <w:szCs w:val="32"/>
        </w:rPr>
        <w:t>  三、收到和处理政府信息公开申请情况</w:t>
      </w:r>
    </w:p>
    <w:tbl>
      <w:tblPr>
        <w:tblStyle w:val="3"/>
        <w:tblW w:w="9750" w:type="dxa"/>
        <w:jc w:val="center"/>
        <w:tblLayout w:type="autofit"/>
        <w:tblCellMar>
          <w:top w:w="15" w:type="dxa"/>
          <w:left w:w="15" w:type="dxa"/>
          <w:bottom w:w="15" w:type="dxa"/>
          <w:right w:w="15" w:type="dxa"/>
        </w:tblCellMar>
      </w:tblPr>
      <w:tblGrid>
        <w:gridCol w:w="770"/>
        <w:gridCol w:w="957"/>
        <w:gridCol w:w="3176"/>
        <w:gridCol w:w="692"/>
        <w:gridCol w:w="692"/>
        <w:gridCol w:w="692"/>
        <w:gridCol w:w="692"/>
        <w:gridCol w:w="693"/>
        <w:gridCol w:w="693"/>
        <w:gridCol w:w="693"/>
      </w:tblGrid>
      <w:tr>
        <w:tblPrEx>
          <w:tblCellMar>
            <w:top w:w="15" w:type="dxa"/>
            <w:left w:w="15" w:type="dxa"/>
            <w:bottom w:w="15" w:type="dxa"/>
            <w:right w:w="15" w:type="dxa"/>
          </w:tblCellMar>
        </w:tblPrEx>
        <w:trPr>
          <w:jc w:val="center"/>
        </w:trPr>
        <w:tc>
          <w:tcPr>
            <w:tcW w:w="4903" w:type="dxa"/>
            <w:gridSpan w:val="3"/>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（本列数据的勾稽关系为：第一项加第二项之和，等于第三项加第四项之和）</w:t>
            </w:r>
          </w:p>
        </w:tc>
        <w:tc>
          <w:tcPr>
            <w:tcW w:w="4847" w:type="dxa"/>
            <w:gridSpan w:val="7"/>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692"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自然人</w:t>
            </w:r>
          </w:p>
        </w:tc>
        <w:tc>
          <w:tcPr>
            <w:tcW w:w="3462" w:type="dxa"/>
            <w:gridSpan w:val="5"/>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法人或其他组织</w:t>
            </w:r>
          </w:p>
        </w:tc>
        <w:tc>
          <w:tcPr>
            <w:tcW w:w="693"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商业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企业</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科研</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机构</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社会公益组织</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法律服务机构</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其他</w:t>
            </w:r>
          </w:p>
        </w:tc>
        <w:tc>
          <w:tcPr>
            <w:tcW w:w="693"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r>
      <w:tr>
        <w:tblPrEx>
          <w:tblCellMar>
            <w:top w:w="15" w:type="dxa"/>
            <w:left w:w="15" w:type="dxa"/>
            <w:bottom w:w="15" w:type="dxa"/>
            <w:right w:w="15" w:type="dxa"/>
          </w:tblCellMar>
        </w:tblPrEx>
        <w:trPr>
          <w:trHeight w:val="622" w:hRule="atLeast"/>
          <w:jc w:val="center"/>
        </w:trPr>
        <w:tc>
          <w:tcPr>
            <w:tcW w:w="4903"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一、本年新收政府信息公开申请数量</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4903"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二、上年结转政府信息公开申请数量</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770"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三、本年度办理结果</w:t>
            </w:r>
          </w:p>
        </w:tc>
        <w:tc>
          <w:tcPr>
            <w:tcW w:w="4133" w:type="dxa"/>
            <w:gridSpan w:val="2"/>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（一）予以公开</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1193" w:hRule="atLeast"/>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4133" w:type="dxa"/>
            <w:gridSpan w:val="2"/>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（二）部分公开（区分处理的，只计这一情形，不计其他情形）</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957"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（三）不予公开</w:t>
            </w: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1.属于国家秘密</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2.其他法律行政法规禁止公开</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3.危及“三安全一稳定”</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4.保护第三方合法权益</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5.属于三类内部事务信息</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6.属于四类过程性信息</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7.属于行政执法案卷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8.属于行政查询事项</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957"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（四）无法提供</w:t>
            </w: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1.本机关不掌握相关政府信息</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2.没有现成信息需要另行制作</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3.补正后申请内容仍不明确</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957"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（五）不予处理</w:t>
            </w: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1.信访举报投诉类申请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622" w:hRule="atLeast"/>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2.重复申请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3.要求提供公开出版物</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4.无正当理由大量反复申请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trHeight w:val="780" w:hRule="atLeast"/>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5.要求行政机关确认或重新出具已获取信息</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957" w:type="dxa"/>
            <w:vMerge w:val="restart"/>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（六）其他处理</w:t>
            </w: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1.申请人无正当理由逾期不补正、行政机关不再处理其政府信息公开申请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2.申请人逾期未按收费通知要求缴纳费用、行政机关不再处理其政府信息公开申请</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3176"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3.其他</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4133" w:type="dxa"/>
            <w:gridSpan w:val="2"/>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（七）总计</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r>
        <w:tblPrEx>
          <w:tblCellMar>
            <w:top w:w="15" w:type="dxa"/>
            <w:left w:w="15" w:type="dxa"/>
            <w:bottom w:w="15" w:type="dxa"/>
            <w:right w:w="15" w:type="dxa"/>
          </w:tblCellMar>
        </w:tblPrEx>
        <w:trPr>
          <w:jc w:val="center"/>
        </w:trPr>
        <w:tc>
          <w:tcPr>
            <w:tcW w:w="4903" w:type="dxa"/>
            <w:gridSpan w:val="3"/>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四、结转下年度继续办理</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2"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93" w:type="dxa"/>
            <w:tcBorders>
              <w:top w:val="single" w:color="auto" w:sz="6" w:space="0"/>
              <w:left w:val="single" w:color="auto" w:sz="6" w:space="0"/>
              <w:bottom w:val="single" w:color="auto" w:sz="6" w:space="0"/>
              <w:right w:val="single" w:color="auto" w:sz="6" w:space="0"/>
            </w:tcBorders>
            <w:tcMar>
              <w:top w:w="0" w:type="dxa"/>
              <w:left w:w="60" w:type="dxa"/>
              <w:bottom w:w="0" w:type="dxa"/>
              <w:right w:w="60"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424242"/>
          <w:kern w:val="0"/>
          <w:sz w:val="32"/>
          <w:szCs w:val="32"/>
        </w:rPr>
      </w:pPr>
      <w:r>
        <w:rPr>
          <w:rFonts w:hint="eastAsia" w:ascii="黑体" w:hAnsi="黑体" w:eastAsia="黑体" w:cs="黑体"/>
          <w:color w:val="424242"/>
          <w:kern w:val="0"/>
          <w:sz w:val="32"/>
          <w:szCs w:val="32"/>
        </w:rPr>
        <w:t>  四、政府信息公开行政复议、行政诉讼情况</w:t>
      </w:r>
    </w:p>
    <w:tbl>
      <w:tblPr>
        <w:tblStyle w:val="3"/>
        <w:tblW w:w="9750" w:type="dxa"/>
        <w:jc w:val="center"/>
        <w:tblLayout w:type="autofit"/>
        <w:tblCellMar>
          <w:top w:w="15" w:type="dxa"/>
          <w:left w:w="15" w:type="dxa"/>
          <w:bottom w:w="15" w:type="dxa"/>
          <w:right w:w="15"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CellMar>
            <w:top w:w="15" w:type="dxa"/>
            <w:left w:w="15" w:type="dxa"/>
            <w:bottom w:w="15" w:type="dxa"/>
            <w:right w:w="15" w:type="dxa"/>
          </w:tblCellMar>
        </w:tblPrEx>
        <w:trPr>
          <w:jc w:val="center"/>
        </w:trPr>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行政复议</w:t>
            </w:r>
          </w:p>
        </w:tc>
        <w:tc>
          <w:tcPr>
            <w:tcW w:w="6500" w:type="dxa"/>
            <w:gridSpan w:val="10"/>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行政诉讼</w:t>
            </w:r>
          </w:p>
        </w:tc>
      </w:tr>
      <w:tr>
        <w:tblPrEx>
          <w:tblCellMar>
            <w:top w:w="15" w:type="dxa"/>
            <w:left w:w="15" w:type="dxa"/>
            <w:bottom w:w="15" w:type="dxa"/>
            <w:right w:w="15" w:type="dxa"/>
          </w:tblCellMar>
        </w:tblPrEx>
        <w:trPr>
          <w:jc w:val="center"/>
        </w:trPr>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结果维持</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纠正</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其他</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尚未</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审结</w:t>
            </w:r>
          </w:p>
        </w:tc>
        <w:tc>
          <w:tcPr>
            <w:tcW w:w="6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总计</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复议后起诉</w:t>
            </w:r>
          </w:p>
        </w:tc>
      </w:tr>
      <w:tr>
        <w:tblPrEx>
          <w:tblCellMar>
            <w:top w:w="15" w:type="dxa"/>
            <w:left w:w="15" w:type="dxa"/>
            <w:bottom w:w="15" w:type="dxa"/>
            <w:right w:w="15" w:type="dxa"/>
          </w:tblCellMar>
        </w:tblPrEx>
        <w:trPr>
          <w:jc w:val="center"/>
        </w:trPr>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0" w:type="auto"/>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650" w:type="dxa"/>
            <w:vMerge w:val="continue"/>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微软雅黑" w:hAnsi="微软雅黑" w:eastAsia="微软雅黑" w:cs="宋体"/>
                <w:color w:val="424242"/>
                <w:kern w:val="0"/>
                <w:sz w:val="27"/>
                <w:szCs w:val="27"/>
              </w:rPr>
            </w:pP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维持</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其他</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尚未</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总计</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维持</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纠正</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其他</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结果</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尚未</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审结</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color w:val="424242"/>
                <w:kern w:val="0"/>
                <w:sz w:val="27"/>
                <w:szCs w:val="27"/>
              </w:rPr>
            </w:pPr>
            <w:r>
              <w:rPr>
                <w:rFonts w:hint="eastAsia" w:ascii="微软雅黑" w:hAnsi="微软雅黑" w:eastAsia="微软雅黑" w:cs="宋体"/>
                <w:color w:val="424242"/>
                <w:kern w:val="0"/>
                <w:sz w:val="27"/>
                <w:szCs w:val="27"/>
              </w:rPr>
              <w:t>总计</w:t>
            </w:r>
          </w:p>
        </w:tc>
      </w:tr>
      <w:tr>
        <w:tblPrEx>
          <w:tblCellMar>
            <w:top w:w="15" w:type="dxa"/>
            <w:left w:w="15" w:type="dxa"/>
            <w:bottom w:w="15" w:type="dxa"/>
            <w:right w:w="15" w:type="dxa"/>
          </w:tblCellMar>
        </w:tblPrEx>
        <w:trPr>
          <w:trHeight w:val="675" w:hRule="atLeast"/>
          <w:jc w:val="center"/>
        </w:trPr>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c>
          <w:tcPr>
            <w:tcW w:w="6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微软雅黑" w:hAnsi="微软雅黑" w:eastAsia="微软雅黑" w:cs="宋体"/>
                <w:kern w:val="0"/>
                <w:szCs w:val="21"/>
              </w:rPr>
            </w:pPr>
            <w:r>
              <w:rPr>
                <w:rFonts w:hint="eastAsia" w:ascii="微软雅黑" w:hAnsi="微软雅黑" w:eastAsia="微软雅黑" w:cs="宋体"/>
                <w:kern w:val="0"/>
                <w:szCs w:val="21"/>
              </w:rPr>
              <w:t>0</w:t>
            </w:r>
          </w:p>
        </w:tc>
      </w:tr>
    </w:tbl>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424242"/>
          <w:kern w:val="0"/>
          <w:sz w:val="32"/>
          <w:szCs w:val="32"/>
        </w:rPr>
      </w:pPr>
      <w:r>
        <w:rPr>
          <w:rFonts w:hint="eastAsia" w:ascii="黑体" w:hAnsi="黑体" w:eastAsia="黑体" w:cs="黑体"/>
          <w:color w:val="424242"/>
          <w:kern w:val="0"/>
          <w:sz w:val="32"/>
          <w:szCs w:val="32"/>
        </w:rPr>
        <w:t>  五、存在的主要问题及改进情况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FF0000"/>
          <w:spacing w:val="8"/>
          <w:sz w:val="32"/>
          <w:szCs w:val="32"/>
          <w:shd w:val="clear" w:color="auto" w:fill="FFFFFF"/>
        </w:rPr>
      </w:pPr>
      <w:r>
        <w:rPr>
          <w:rFonts w:hint="eastAsia" w:ascii="inherit" w:hAnsi="inherit" w:eastAsia="微软雅黑" w:cs="宋体"/>
          <w:color w:val="424242"/>
          <w:kern w:val="0"/>
          <w:sz w:val="27"/>
          <w:szCs w:val="27"/>
        </w:rPr>
        <w:t xml:space="preserve">   </w:t>
      </w:r>
      <w:r>
        <w:rPr>
          <w:rFonts w:hint="eastAsia" w:ascii="仿宋_GB2312" w:hAnsi="宋体" w:eastAsia="仿宋_GB2312" w:cs="仿宋_GB2312"/>
          <w:color w:val="000000"/>
          <w:spacing w:val="8"/>
          <w:sz w:val="32"/>
          <w:szCs w:val="32"/>
          <w:shd w:val="clear" w:color="auto" w:fill="FFFFFF"/>
        </w:rPr>
        <w:t xml:space="preserve"> </w:t>
      </w:r>
      <w:r>
        <w:rPr>
          <w:rFonts w:hint="eastAsia" w:ascii="仿宋_GB2312" w:hAnsi="宋体" w:eastAsia="仿宋_GB2312" w:cs="仿宋_GB2312"/>
          <w:color w:val="auto"/>
          <w:spacing w:val="8"/>
          <w:sz w:val="32"/>
          <w:szCs w:val="32"/>
          <w:shd w:val="clear" w:color="auto" w:fill="FFFFFF"/>
        </w:rPr>
        <w:t>我局在202</w:t>
      </w:r>
      <w:r>
        <w:rPr>
          <w:rFonts w:hint="eastAsia" w:ascii="仿宋_GB2312" w:hAnsi="宋体" w:eastAsia="仿宋_GB2312" w:cs="仿宋_GB2312"/>
          <w:color w:val="auto"/>
          <w:spacing w:val="8"/>
          <w:sz w:val="32"/>
          <w:szCs w:val="32"/>
          <w:shd w:val="clear" w:color="auto" w:fill="FFFFFF"/>
          <w:lang w:val="en-US" w:eastAsia="zh-CN"/>
        </w:rPr>
        <w:t>3</w:t>
      </w:r>
      <w:r>
        <w:rPr>
          <w:rFonts w:hint="eastAsia" w:ascii="仿宋_GB2312" w:hAnsi="宋体" w:eastAsia="仿宋_GB2312" w:cs="仿宋_GB2312"/>
          <w:color w:val="auto"/>
          <w:spacing w:val="8"/>
          <w:sz w:val="32"/>
          <w:szCs w:val="32"/>
          <w:shd w:val="clear" w:color="auto" w:fill="FFFFFF"/>
        </w:rPr>
        <w:t>年主要存在以下问题：</w:t>
      </w:r>
      <w:r>
        <w:rPr>
          <w:rFonts w:hint="eastAsia" w:ascii="仿宋_GB2312" w:hAnsi="宋体" w:eastAsia="仿宋_GB2312" w:cs="仿宋_GB2312"/>
          <w:color w:val="auto"/>
          <w:spacing w:val="8"/>
          <w:sz w:val="32"/>
          <w:szCs w:val="32"/>
          <w:shd w:val="clear" w:color="auto" w:fill="FFFFFF"/>
          <w:lang w:eastAsia="zh-CN"/>
        </w:rPr>
        <w:t>一是</w:t>
      </w:r>
      <w:r>
        <w:rPr>
          <w:rFonts w:ascii="仿宋_GB2312" w:hAnsi="宋体" w:eastAsia="仿宋_GB2312" w:cs="仿宋_GB2312"/>
          <w:color w:val="auto"/>
          <w:spacing w:val="8"/>
          <w:sz w:val="32"/>
          <w:szCs w:val="32"/>
          <w:shd w:val="clear" w:color="auto" w:fill="FFFFFF"/>
        </w:rPr>
        <w:t>信息更新</w:t>
      </w:r>
      <w:r>
        <w:rPr>
          <w:rFonts w:hint="eastAsia" w:ascii="仿宋_GB2312" w:hAnsi="宋体" w:eastAsia="仿宋_GB2312" w:cs="仿宋_GB2312"/>
          <w:color w:val="auto"/>
          <w:spacing w:val="8"/>
          <w:sz w:val="32"/>
          <w:szCs w:val="32"/>
          <w:shd w:val="clear" w:color="auto" w:fill="FFFFFF"/>
          <w:lang w:eastAsia="zh-CN"/>
        </w:rPr>
        <w:t>存在滞后情况。二是</w:t>
      </w:r>
      <w:r>
        <w:rPr>
          <w:rFonts w:ascii="仿宋_GB2312" w:hAnsi="宋体" w:eastAsia="仿宋_GB2312" w:cs="仿宋_GB2312"/>
          <w:color w:val="auto"/>
          <w:spacing w:val="8"/>
          <w:sz w:val="32"/>
          <w:szCs w:val="32"/>
          <w:shd w:val="clear" w:color="auto" w:fill="FFFFFF"/>
        </w:rPr>
        <w:t>政府信息公开工作业务水平</w:t>
      </w:r>
      <w:r>
        <w:rPr>
          <w:rFonts w:hint="eastAsia" w:ascii="仿宋_GB2312" w:hAnsi="宋体" w:eastAsia="仿宋_GB2312" w:cs="仿宋_GB2312"/>
          <w:color w:val="auto"/>
          <w:spacing w:val="8"/>
          <w:sz w:val="32"/>
          <w:szCs w:val="32"/>
          <w:shd w:val="clear" w:color="auto" w:fill="FFFFFF"/>
          <w:lang w:eastAsia="zh-CN"/>
        </w:rPr>
        <w:t>有待提高</w:t>
      </w:r>
      <w:r>
        <w:rPr>
          <w:rFonts w:hint="eastAsia" w:ascii="仿宋_GB2312" w:hAnsi="宋体" w:eastAsia="仿宋_GB2312" w:cs="仿宋_GB2312"/>
          <w:color w:val="auto"/>
          <w:spacing w:val="8"/>
          <w:sz w:val="32"/>
          <w:szCs w:val="32"/>
          <w:shd w:val="clear" w:color="auto" w:fill="FFFFFF"/>
          <w:lang w:val="en-US" w:eastAsia="zh-CN"/>
        </w:rPr>
        <w:t>。对此，我局采取以下举措予以改进：一是进一步加强信息更新培训，规范政府信息公开操作流程，加强指导监督，不定时进行检查，确保信息发布的及时性和准确性。二是强化业务能力水平，定期组织培训，营造学习氛围，不断提高政府信息公开工作能力和水平。</w:t>
      </w:r>
    </w:p>
    <w:p>
      <w:pPr>
        <w:keepNext w:val="0"/>
        <w:keepLines w:val="0"/>
        <w:pageBreakBefore w:val="0"/>
        <w:widowControl/>
        <w:kinsoku/>
        <w:wordWrap/>
        <w:overflowPunct/>
        <w:topLinePunct w:val="0"/>
        <w:autoSpaceDE/>
        <w:autoSpaceDN/>
        <w:bidi w:val="0"/>
        <w:adjustRightInd/>
        <w:snapToGrid/>
        <w:spacing w:line="580" w:lineRule="exact"/>
        <w:ind w:firstLine="320" w:firstLineChars="100"/>
        <w:jc w:val="left"/>
        <w:textAlignment w:val="auto"/>
        <w:rPr>
          <w:rFonts w:hint="eastAsia" w:ascii="黑体" w:hAnsi="黑体" w:eastAsia="黑体" w:cs="黑体"/>
          <w:color w:val="424242"/>
          <w:kern w:val="0"/>
          <w:sz w:val="32"/>
          <w:szCs w:val="32"/>
        </w:rPr>
      </w:pPr>
      <w:r>
        <w:rPr>
          <w:rFonts w:hint="eastAsia" w:ascii="黑体" w:hAnsi="黑体" w:eastAsia="黑体" w:cs="黑体"/>
          <w:color w:val="424242"/>
          <w:kern w:val="0"/>
          <w:sz w:val="32"/>
          <w:szCs w:val="32"/>
        </w:rPr>
        <w:t> 六、其他需要报告的事项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年度，魏县税务局局未收取政府信息公开信息处理费。报告中所列数据的统计期限自202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年1月1日至202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国家税务总局魏县税务局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2024年1月30日</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inherit">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ZWJjY2JkNjlhMDg0NzU1Zjg0NGNmOGM1ZDU4NmIifQ=="/>
  </w:docVars>
  <w:rsids>
    <w:rsidRoot w:val="35110F19"/>
    <w:rsid w:val="001C4E64"/>
    <w:rsid w:val="00292DB0"/>
    <w:rsid w:val="005A61AD"/>
    <w:rsid w:val="007658FC"/>
    <w:rsid w:val="0078667D"/>
    <w:rsid w:val="04390C0B"/>
    <w:rsid w:val="062077BC"/>
    <w:rsid w:val="14BE7C03"/>
    <w:rsid w:val="195C6403"/>
    <w:rsid w:val="246833F2"/>
    <w:rsid w:val="29771F00"/>
    <w:rsid w:val="2F820122"/>
    <w:rsid w:val="35110F19"/>
    <w:rsid w:val="3BF427E6"/>
    <w:rsid w:val="3FB575CE"/>
    <w:rsid w:val="405C39B3"/>
    <w:rsid w:val="4A3900AD"/>
    <w:rsid w:val="4F18367E"/>
    <w:rsid w:val="4F55333C"/>
    <w:rsid w:val="5EFB4AB3"/>
    <w:rsid w:val="5F0E6369"/>
    <w:rsid w:val="63DD4A82"/>
    <w:rsid w:val="676578B4"/>
    <w:rsid w:val="6976144B"/>
    <w:rsid w:val="71FA1D50"/>
    <w:rsid w:val="72CA16D7"/>
    <w:rsid w:val="74CA4688"/>
    <w:rsid w:val="7811647C"/>
    <w:rsid w:val="7CA7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autoRedefine/>
    <w:unhideWhenUsed/>
    <w:qFormat/>
    <w:uiPriority w:val="99"/>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1874</Words>
  <Characters>524</Characters>
  <Lines>4</Lines>
  <Paragraphs>4</Paragraphs>
  <TotalTime>251</TotalTime>
  <ScaleCrop>false</ScaleCrop>
  <LinksUpToDate>false</LinksUpToDate>
  <CharactersWithSpaces>2394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2023-01-06T07:49:00Z</dcterms:created>
  <dc:creator>芊芊的爸</dc:creator>
  <cp:lastModifiedBy>长白天</cp:lastModifiedBy>
  <dcterms:modified xsi:type="dcterms:W3CDTF">2024-01-30T02:33:22Z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AED1525C03644617975F01862C420A3D</vt:lpwstr>
  </property>
</Properties>
</file>