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43</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43</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44</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45</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一、魏县住房和城乡建设局本级收支预算</w:t>
      </w:r>
      <w:r>
        <w:tab/>
      </w:r>
      <w:r>
        <w:fldChar w:fldCharType="begin"/>
      </w:r>
      <w:r>
        <w:instrText xml:space="preserve">PAGEREF _Toc_4_4_0000000019 \h</w:instrText>
      </w:r>
      <w:r>
        <w:fldChar w:fldCharType="separate"/>
      </w:r>
      <w:r>
        <w:t>47</w:t>
      </w:r>
      <w:r>
        <w:fldChar w:fldCharType="end"/>
      </w:r>
      <w:r>
        <w:fldChar w:fldCharType="end"/>
      </w:r>
    </w:p>
    <w:p>
      <w:pPr>
        <w:pStyle w:val="32"/>
        <w:tabs>
          <w:tab w:val="right" w:leader="dot" w:pos="14562"/>
        </w:tabs>
      </w:pPr>
      <w:r>
        <w:fldChar w:fldCharType="begin"/>
      </w:r>
      <w:r>
        <w:instrText xml:space="preserve"> HYPERLINK \l "_Toc_4_4_0000000020" </w:instrText>
      </w:r>
      <w:r>
        <w:fldChar w:fldCharType="separate"/>
      </w:r>
      <w:r>
        <w:t>二、魏县住房和城乡建设局（差额）收支预算</w:t>
      </w:r>
      <w:r>
        <w:tab/>
      </w:r>
      <w:r>
        <w:fldChar w:fldCharType="begin"/>
      </w:r>
      <w:r>
        <w:instrText xml:space="preserve">PAGEREF _Toc_4_4_0000000020 \h</w:instrText>
      </w:r>
      <w:r>
        <w:fldChar w:fldCharType="separate"/>
      </w:r>
      <w:r>
        <w:t>88</w:t>
      </w:r>
      <w:r>
        <w:fldChar w:fldCharType="end"/>
      </w:r>
      <w:r>
        <w:fldChar w:fldCharType="end"/>
      </w:r>
    </w:p>
    <w:p>
      <w:pPr>
        <w:pStyle w:val="32"/>
        <w:tabs>
          <w:tab w:val="right" w:leader="dot" w:pos="14562"/>
        </w:tabs>
      </w:pPr>
      <w:r>
        <w:fldChar w:fldCharType="begin"/>
      </w:r>
      <w:r>
        <w:instrText xml:space="preserve"> HYPERLINK \l "_Toc_4_4_0000000021" </w:instrText>
      </w:r>
      <w:r>
        <w:fldChar w:fldCharType="separate"/>
      </w:r>
      <w:r>
        <w:t>三、魏县污水处理厂收支预算</w:t>
      </w:r>
      <w:r>
        <w:tab/>
      </w:r>
      <w:r>
        <w:fldChar w:fldCharType="begin"/>
      </w:r>
      <w:r>
        <w:instrText xml:space="preserve">PAGEREF _Toc_4_4_0000000021 \h</w:instrText>
      </w:r>
      <w:r>
        <w:fldChar w:fldCharType="separate"/>
      </w:r>
      <w:r>
        <w:t>103</w:t>
      </w:r>
      <w:r>
        <w:fldChar w:fldCharType="end"/>
      </w:r>
      <w:r>
        <w:fldChar w:fldCharType="end"/>
      </w:r>
    </w:p>
    <w:p>
      <w:pPr>
        <w:pStyle w:val="32"/>
        <w:tabs>
          <w:tab w:val="right" w:leader="dot" w:pos="14562"/>
        </w:tabs>
      </w:pPr>
      <w:r>
        <w:fldChar w:fldCharType="begin"/>
      </w:r>
      <w:r>
        <w:instrText xml:space="preserve"> HYPERLINK \l "_Toc_4_4_0000000022" </w:instrText>
      </w:r>
      <w:r>
        <w:fldChar w:fldCharType="separate"/>
      </w:r>
      <w:r>
        <w:t>四、魏祠公园收支预算</w:t>
      </w:r>
      <w:r>
        <w:tab/>
      </w:r>
      <w:r>
        <w:fldChar w:fldCharType="begin"/>
      </w:r>
      <w:r>
        <w:instrText xml:space="preserve">PAGEREF _Toc_4_4_0000000022 \h</w:instrText>
      </w:r>
      <w:r>
        <w:fldChar w:fldCharType="separate"/>
      </w:r>
      <w:r>
        <w:t>117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333魏县住房和城乡建设局</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12407.33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1360.00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r>
              <w:t>125.00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501.31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1176.00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11580.33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r>
              <w:t>303.00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13767.33</w:t>
            </w:r>
          </w:p>
        </w:tc>
        <w:tc>
          <w:tcPr>
            <w:tcW w:w="4535" w:type="dxa"/>
            <w:vAlign w:val="center"/>
          </w:tcPr>
          <w:p>
            <w:pPr>
              <w:pStyle w:val="14"/>
            </w:pPr>
            <w:r>
              <w:t>本年支出合计</w:t>
            </w:r>
          </w:p>
        </w:tc>
        <w:tc>
          <w:tcPr>
            <w:tcW w:w="2126" w:type="dxa"/>
            <w:vAlign w:val="center"/>
          </w:tcPr>
          <w:p>
            <w:pPr>
              <w:pStyle w:val="15"/>
            </w:pPr>
            <w:r>
              <w:t>13767.33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13767.33</w:t>
            </w:r>
          </w:p>
        </w:tc>
        <w:tc>
          <w:tcPr>
            <w:tcW w:w="4535" w:type="dxa"/>
            <w:vAlign w:val="center"/>
          </w:tcPr>
          <w:p>
            <w:pPr>
              <w:pStyle w:val="14"/>
            </w:pPr>
            <w:r>
              <w:t>支出总计</w:t>
            </w:r>
          </w:p>
        </w:tc>
        <w:tc>
          <w:tcPr>
            <w:tcW w:w="2126" w:type="dxa"/>
            <w:vAlign w:val="center"/>
          </w:tcPr>
          <w:p>
            <w:pPr>
              <w:pStyle w:val="15"/>
            </w:pPr>
            <w:r>
              <w:t>13767.33</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333魏县住房和城乡建设局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13767.33</w:t>
            </w:r>
          </w:p>
        </w:tc>
        <w:tc>
          <w:tcPr>
            <w:tcW w:w="1134" w:type="dxa"/>
            <w:vAlign w:val="center"/>
          </w:tcPr>
          <w:p>
            <w:pPr>
              <w:pStyle w:val="15"/>
            </w:pPr>
            <w:r>
              <w:t>13767.33</w:t>
            </w:r>
          </w:p>
        </w:tc>
        <w:tc>
          <w:tcPr>
            <w:tcW w:w="1134" w:type="dxa"/>
            <w:vAlign w:val="center"/>
          </w:tcPr>
          <w:p>
            <w:pPr>
              <w:pStyle w:val="15"/>
            </w:pPr>
            <w:r>
              <w:t>13767.33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203</w:t>
            </w:r>
          </w:p>
        </w:tc>
        <w:tc>
          <w:tcPr>
            <w:tcW w:w="1559" w:type="dxa"/>
            <w:vAlign w:val="center"/>
          </w:tcPr>
          <w:p>
            <w:pPr>
              <w:pStyle w:val="12"/>
            </w:pPr>
            <w:r>
              <w:t>国防支出</w:t>
            </w:r>
          </w:p>
        </w:tc>
        <w:tc>
          <w:tcPr>
            <w:tcW w:w="1134" w:type="dxa"/>
            <w:vAlign w:val="center"/>
          </w:tcPr>
          <w:p>
            <w:pPr>
              <w:pStyle w:val="11"/>
            </w:pPr>
            <w:r>
              <w:t>125.00</w:t>
            </w:r>
          </w:p>
        </w:tc>
        <w:tc>
          <w:tcPr>
            <w:tcW w:w="1134" w:type="dxa"/>
            <w:vAlign w:val="center"/>
          </w:tcPr>
          <w:p>
            <w:pPr>
              <w:pStyle w:val="11"/>
            </w:pPr>
            <w:r>
              <w:t>125.00</w:t>
            </w:r>
          </w:p>
        </w:tc>
        <w:tc>
          <w:tcPr>
            <w:tcW w:w="1134" w:type="dxa"/>
            <w:vAlign w:val="center"/>
          </w:tcPr>
          <w:p>
            <w:pPr>
              <w:pStyle w:val="11"/>
            </w:pPr>
            <w:r>
              <w:t>125.00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20306</w:t>
            </w:r>
          </w:p>
        </w:tc>
        <w:tc>
          <w:tcPr>
            <w:tcW w:w="1559" w:type="dxa"/>
            <w:vAlign w:val="center"/>
          </w:tcPr>
          <w:p>
            <w:pPr>
              <w:pStyle w:val="12"/>
            </w:pPr>
            <w:r>
              <w:t>国防动员</w:t>
            </w:r>
          </w:p>
        </w:tc>
        <w:tc>
          <w:tcPr>
            <w:tcW w:w="1134" w:type="dxa"/>
            <w:vAlign w:val="center"/>
          </w:tcPr>
          <w:p>
            <w:pPr>
              <w:pStyle w:val="11"/>
            </w:pPr>
            <w:r>
              <w:t>125.00</w:t>
            </w:r>
          </w:p>
        </w:tc>
        <w:tc>
          <w:tcPr>
            <w:tcW w:w="1134" w:type="dxa"/>
            <w:vAlign w:val="center"/>
          </w:tcPr>
          <w:p>
            <w:pPr>
              <w:pStyle w:val="11"/>
            </w:pPr>
            <w:r>
              <w:t>125.00</w:t>
            </w:r>
          </w:p>
        </w:tc>
        <w:tc>
          <w:tcPr>
            <w:tcW w:w="1134" w:type="dxa"/>
            <w:vAlign w:val="center"/>
          </w:tcPr>
          <w:p>
            <w:pPr>
              <w:pStyle w:val="11"/>
            </w:pPr>
            <w:r>
              <w:t>125.00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2030603</w:t>
            </w:r>
          </w:p>
        </w:tc>
        <w:tc>
          <w:tcPr>
            <w:tcW w:w="1559" w:type="dxa"/>
            <w:vAlign w:val="center"/>
          </w:tcPr>
          <w:p>
            <w:pPr>
              <w:pStyle w:val="12"/>
            </w:pPr>
            <w:r>
              <w:t>人民防空</w:t>
            </w:r>
          </w:p>
        </w:tc>
        <w:tc>
          <w:tcPr>
            <w:tcW w:w="1134" w:type="dxa"/>
            <w:vAlign w:val="center"/>
          </w:tcPr>
          <w:p>
            <w:pPr>
              <w:pStyle w:val="11"/>
            </w:pPr>
            <w:r>
              <w:t>125.00</w:t>
            </w:r>
          </w:p>
        </w:tc>
        <w:tc>
          <w:tcPr>
            <w:tcW w:w="1134" w:type="dxa"/>
            <w:vAlign w:val="center"/>
          </w:tcPr>
          <w:p>
            <w:pPr>
              <w:pStyle w:val="11"/>
            </w:pPr>
            <w:r>
              <w:t>125.00</w:t>
            </w:r>
          </w:p>
        </w:tc>
        <w:tc>
          <w:tcPr>
            <w:tcW w:w="1134" w:type="dxa"/>
            <w:vAlign w:val="center"/>
          </w:tcPr>
          <w:p>
            <w:pPr>
              <w:pStyle w:val="11"/>
            </w:pPr>
            <w:r>
              <w:t>125.00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501.31</w:t>
            </w:r>
          </w:p>
        </w:tc>
        <w:tc>
          <w:tcPr>
            <w:tcW w:w="1134" w:type="dxa"/>
            <w:vAlign w:val="center"/>
          </w:tcPr>
          <w:p>
            <w:pPr>
              <w:pStyle w:val="11"/>
            </w:pPr>
            <w:r>
              <w:t>501.31</w:t>
            </w:r>
          </w:p>
        </w:tc>
        <w:tc>
          <w:tcPr>
            <w:tcW w:w="1134" w:type="dxa"/>
            <w:vAlign w:val="center"/>
          </w:tcPr>
          <w:p>
            <w:pPr>
              <w:pStyle w:val="11"/>
            </w:pPr>
            <w:r>
              <w:t>501.31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1.31</w:t>
            </w:r>
          </w:p>
        </w:tc>
        <w:tc>
          <w:tcPr>
            <w:tcW w:w="1134" w:type="dxa"/>
            <w:vAlign w:val="center"/>
          </w:tcPr>
          <w:p>
            <w:pPr>
              <w:pStyle w:val="11"/>
            </w:pPr>
            <w:r>
              <w:t>1.31</w:t>
            </w:r>
          </w:p>
        </w:tc>
        <w:tc>
          <w:tcPr>
            <w:tcW w:w="1134" w:type="dxa"/>
            <w:vAlign w:val="center"/>
          </w:tcPr>
          <w:p>
            <w:pPr>
              <w:pStyle w:val="11"/>
            </w:pPr>
            <w:r>
              <w:t>1.31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1.31</w:t>
            </w:r>
          </w:p>
        </w:tc>
        <w:tc>
          <w:tcPr>
            <w:tcW w:w="1134" w:type="dxa"/>
            <w:vAlign w:val="center"/>
          </w:tcPr>
          <w:p>
            <w:pPr>
              <w:pStyle w:val="11"/>
            </w:pPr>
            <w:r>
              <w:t>1.31</w:t>
            </w:r>
          </w:p>
        </w:tc>
        <w:tc>
          <w:tcPr>
            <w:tcW w:w="1134" w:type="dxa"/>
            <w:vAlign w:val="center"/>
          </w:tcPr>
          <w:p>
            <w:pPr>
              <w:pStyle w:val="11"/>
            </w:pPr>
            <w:r>
              <w:t>1.31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20899</w:t>
            </w:r>
          </w:p>
        </w:tc>
        <w:tc>
          <w:tcPr>
            <w:tcW w:w="1559" w:type="dxa"/>
            <w:vAlign w:val="center"/>
          </w:tcPr>
          <w:p>
            <w:pPr>
              <w:pStyle w:val="12"/>
            </w:pPr>
            <w:r>
              <w:t>其他社会保障和就业支出</w:t>
            </w:r>
          </w:p>
        </w:tc>
        <w:tc>
          <w:tcPr>
            <w:tcW w:w="1134" w:type="dxa"/>
            <w:vAlign w:val="center"/>
          </w:tcPr>
          <w:p>
            <w:pPr>
              <w:pStyle w:val="11"/>
            </w:pPr>
            <w:r>
              <w:t>500.00</w:t>
            </w:r>
          </w:p>
        </w:tc>
        <w:tc>
          <w:tcPr>
            <w:tcW w:w="1134" w:type="dxa"/>
            <w:vAlign w:val="center"/>
          </w:tcPr>
          <w:p>
            <w:pPr>
              <w:pStyle w:val="11"/>
            </w:pPr>
            <w:r>
              <w:t>500.00</w:t>
            </w:r>
          </w:p>
        </w:tc>
        <w:tc>
          <w:tcPr>
            <w:tcW w:w="1134" w:type="dxa"/>
            <w:vAlign w:val="center"/>
          </w:tcPr>
          <w:p>
            <w:pPr>
              <w:pStyle w:val="11"/>
            </w:pPr>
            <w:r>
              <w:t>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2089999</w:t>
            </w:r>
          </w:p>
        </w:tc>
        <w:tc>
          <w:tcPr>
            <w:tcW w:w="1559" w:type="dxa"/>
            <w:vAlign w:val="center"/>
          </w:tcPr>
          <w:p>
            <w:pPr>
              <w:pStyle w:val="12"/>
            </w:pPr>
            <w:r>
              <w:t>其他社会保障和就业支出</w:t>
            </w:r>
          </w:p>
        </w:tc>
        <w:tc>
          <w:tcPr>
            <w:tcW w:w="1134" w:type="dxa"/>
            <w:vAlign w:val="center"/>
          </w:tcPr>
          <w:p>
            <w:pPr>
              <w:pStyle w:val="11"/>
            </w:pPr>
            <w:r>
              <w:t>500.00</w:t>
            </w:r>
          </w:p>
        </w:tc>
        <w:tc>
          <w:tcPr>
            <w:tcW w:w="1134" w:type="dxa"/>
            <w:vAlign w:val="center"/>
          </w:tcPr>
          <w:p>
            <w:pPr>
              <w:pStyle w:val="11"/>
            </w:pPr>
            <w:r>
              <w:t>500.00</w:t>
            </w:r>
          </w:p>
        </w:tc>
        <w:tc>
          <w:tcPr>
            <w:tcW w:w="1134" w:type="dxa"/>
            <w:vAlign w:val="center"/>
          </w:tcPr>
          <w:p>
            <w:pPr>
              <w:pStyle w:val="11"/>
            </w:pPr>
            <w:r>
              <w:t>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43.69</w:t>
            </w:r>
          </w:p>
        </w:tc>
        <w:tc>
          <w:tcPr>
            <w:tcW w:w="1134" w:type="dxa"/>
            <w:vAlign w:val="center"/>
          </w:tcPr>
          <w:p>
            <w:pPr>
              <w:pStyle w:val="11"/>
            </w:pPr>
            <w:r>
              <w:t>43.69</w:t>
            </w:r>
          </w:p>
        </w:tc>
        <w:tc>
          <w:tcPr>
            <w:tcW w:w="1134" w:type="dxa"/>
            <w:vAlign w:val="center"/>
          </w:tcPr>
          <w:p>
            <w:pPr>
              <w:pStyle w:val="11"/>
            </w:pPr>
            <w:r>
              <w:t>43.69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43.69</w:t>
            </w:r>
          </w:p>
        </w:tc>
        <w:tc>
          <w:tcPr>
            <w:tcW w:w="1134" w:type="dxa"/>
            <w:vAlign w:val="center"/>
          </w:tcPr>
          <w:p>
            <w:pPr>
              <w:pStyle w:val="11"/>
            </w:pPr>
            <w:r>
              <w:t>43.69</w:t>
            </w:r>
          </w:p>
        </w:tc>
        <w:tc>
          <w:tcPr>
            <w:tcW w:w="1134" w:type="dxa"/>
            <w:vAlign w:val="center"/>
          </w:tcPr>
          <w:p>
            <w:pPr>
              <w:pStyle w:val="11"/>
            </w:pPr>
            <w:r>
              <w:t>43.69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43.69</w:t>
            </w:r>
          </w:p>
        </w:tc>
        <w:tc>
          <w:tcPr>
            <w:tcW w:w="1134" w:type="dxa"/>
            <w:vAlign w:val="center"/>
          </w:tcPr>
          <w:p>
            <w:pPr>
              <w:pStyle w:val="11"/>
            </w:pPr>
            <w:r>
              <w:t>43.69</w:t>
            </w:r>
          </w:p>
        </w:tc>
        <w:tc>
          <w:tcPr>
            <w:tcW w:w="1134" w:type="dxa"/>
            <w:vAlign w:val="center"/>
          </w:tcPr>
          <w:p>
            <w:pPr>
              <w:pStyle w:val="11"/>
            </w:pPr>
            <w:r>
              <w:t>43.69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1176.00</w:t>
            </w:r>
          </w:p>
        </w:tc>
        <w:tc>
          <w:tcPr>
            <w:tcW w:w="1134" w:type="dxa"/>
            <w:vAlign w:val="center"/>
          </w:tcPr>
          <w:p>
            <w:pPr>
              <w:pStyle w:val="11"/>
            </w:pPr>
            <w:r>
              <w:t>1176.00</w:t>
            </w:r>
          </w:p>
        </w:tc>
        <w:tc>
          <w:tcPr>
            <w:tcW w:w="1134" w:type="dxa"/>
            <w:vAlign w:val="center"/>
          </w:tcPr>
          <w:p>
            <w:pPr>
              <w:pStyle w:val="11"/>
            </w:pPr>
            <w:r>
              <w:t>1176.00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1176.00</w:t>
            </w:r>
          </w:p>
        </w:tc>
        <w:tc>
          <w:tcPr>
            <w:tcW w:w="1134" w:type="dxa"/>
            <w:vAlign w:val="center"/>
          </w:tcPr>
          <w:p>
            <w:pPr>
              <w:pStyle w:val="11"/>
            </w:pPr>
            <w:r>
              <w:t>1176.00</w:t>
            </w:r>
          </w:p>
        </w:tc>
        <w:tc>
          <w:tcPr>
            <w:tcW w:w="1134" w:type="dxa"/>
            <w:vAlign w:val="center"/>
          </w:tcPr>
          <w:p>
            <w:pPr>
              <w:pStyle w:val="11"/>
            </w:pPr>
            <w:r>
              <w:t>1176.00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2110302</w:t>
            </w:r>
          </w:p>
        </w:tc>
        <w:tc>
          <w:tcPr>
            <w:tcW w:w="1559" w:type="dxa"/>
            <w:vAlign w:val="center"/>
          </w:tcPr>
          <w:p>
            <w:pPr>
              <w:pStyle w:val="12"/>
            </w:pPr>
            <w:r>
              <w:t>水体</w:t>
            </w:r>
          </w:p>
        </w:tc>
        <w:tc>
          <w:tcPr>
            <w:tcW w:w="1134" w:type="dxa"/>
            <w:vAlign w:val="center"/>
          </w:tcPr>
          <w:p>
            <w:pPr>
              <w:pStyle w:val="11"/>
            </w:pPr>
            <w:r>
              <w:t>856.00</w:t>
            </w:r>
          </w:p>
        </w:tc>
        <w:tc>
          <w:tcPr>
            <w:tcW w:w="1134" w:type="dxa"/>
            <w:vAlign w:val="center"/>
          </w:tcPr>
          <w:p>
            <w:pPr>
              <w:pStyle w:val="11"/>
            </w:pPr>
            <w:r>
              <w:t>856.00</w:t>
            </w:r>
          </w:p>
        </w:tc>
        <w:tc>
          <w:tcPr>
            <w:tcW w:w="1134" w:type="dxa"/>
            <w:vAlign w:val="center"/>
          </w:tcPr>
          <w:p>
            <w:pPr>
              <w:pStyle w:val="11"/>
            </w:pPr>
            <w:r>
              <w:t>856.00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2110304</w:t>
            </w:r>
          </w:p>
        </w:tc>
        <w:tc>
          <w:tcPr>
            <w:tcW w:w="1559" w:type="dxa"/>
            <w:vAlign w:val="center"/>
          </w:tcPr>
          <w:p>
            <w:pPr>
              <w:pStyle w:val="12"/>
            </w:pPr>
            <w:r>
              <w:t>固体废弃物与化学品</w:t>
            </w:r>
          </w:p>
        </w:tc>
        <w:tc>
          <w:tcPr>
            <w:tcW w:w="1134" w:type="dxa"/>
            <w:vAlign w:val="center"/>
          </w:tcPr>
          <w:p>
            <w:pPr>
              <w:pStyle w:val="11"/>
            </w:pPr>
            <w:r>
              <w:t>320.00</w:t>
            </w:r>
          </w:p>
        </w:tc>
        <w:tc>
          <w:tcPr>
            <w:tcW w:w="1134" w:type="dxa"/>
            <w:vAlign w:val="center"/>
          </w:tcPr>
          <w:p>
            <w:pPr>
              <w:pStyle w:val="11"/>
            </w:pPr>
            <w:r>
              <w:t>320.00</w:t>
            </w:r>
          </w:p>
        </w:tc>
        <w:tc>
          <w:tcPr>
            <w:tcW w:w="1134" w:type="dxa"/>
            <w:vAlign w:val="center"/>
          </w:tcPr>
          <w:p>
            <w:pPr>
              <w:pStyle w:val="11"/>
            </w:pPr>
            <w:r>
              <w:t>320.00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11580.33</w:t>
            </w:r>
          </w:p>
        </w:tc>
        <w:tc>
          <w:tcPr>
            <w:tcW w:w="1134" w:type="dxa"/>
            <w:vAlign w:val="center"/>
          </w:tcPr>
          <w:p>
            <w:pPr>
              <w:pStyle w:val="11"/>
            </w:pPr>
            <w:r>
              <w:t>11580.33</w:t>
            </w:r>
          </w:p>
        </w:tc>
        <w:tc>
          <w:tcPr>
            <w:tcW w:w="1134" w:type="dxa"/>
            <w:vAlign w:val="center"/>
          </w:tcPr>
          <w:p>
            <w:pPr>
              <w:pStyle w:val="11"/>
            </w:pPr>
            <w:r>
              <w:t>11580.33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21201</w:t>
            </w:r>
          </w:p>
        </w:tc>
        <w:tc>
          <w:tcPr>
            <w:tcW w:w="1559" w:type="dxa"/>
            <w:vAlign w:val="center"/>
          </w:tcPr>
          <w:p>
            <w:pPr>
              <w:pStyle w:val="12"/>
            </w:pPr>
            <w:r>
              <w:t>城乡社区管理事务</w:t>
            </w:r>
          </w:p>
        </w:tc>
        <w:tc>
          <w:tcPr>
            <w:tcW w:w="1134" w:type="dxa"/>
            <w:vAlign w:val="center"/>
          </w:tcPr>
          <w:p>
            <w:pPr>
              <w:pStyle w:val="11"/>
            </w:pPr>
            <w:r>
              <w:t>4885.33</w:t>
            </w:r>
          </w:p>
        </w:tc>
        <w:tc>
          <w:tcPr>
            <w:tcW w:w="1134" w:type="dxa"/>
            <w:vAlign w:val="center"/>
          </w:tcPr>
          <w:p>
            <w:pPr>
              <w:pStyle w:val="11"/>
            </w:pPr>
            <w:r>
              <w:t>4885.33</w:t>
            </w:r>
          </w:p>
        </w:tc>
        <w:tc>
          <w:tcPr>
            <w:tcW w:w="1134" w:type="dxa"/>
            <w:vAlign w:val="center"/>
          </w:tcPr>
          <w:p>
            <w:pPr>
              <w:pStyle w:val="11"/>
            </w:pPr>
            <w:r>
              <w:t>4885.33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2120101</w:t>
            </w:r>
          </w:p>
        </w:tc>
        <w:tc>
          <w:tcPr>
            <w:tcW w:w="1559" w:type="dxa"/>
            <w:vAlign w:val="center"/>
          </w:tcPr>
          <w:p>
            <w:pPr>
              <w:pStyle w:val="12"/>
            </w:pPr>
            <w:r>
              <w:t>行政运行</w:t>
            </w:r>
          </w:p>
        </w:tc>
        <w:tc>
          <w:tcPr>
            <w:tcW w:w="1134" w:type="dxa"/>
            <w:vAlign w:val="center"/>
          </w:tcPr>
          <w:p>
            <w:pPr>
              <w:pStyle w:val="11"/>
            </w:pPr>
            <w:r>
              <w:t>4056.73</w:t>
            </w:r>
          </w:p>
        </w:tc>
        <w:tc>
          <w:tcPr>
            <w:tcW w:w="1134" w:type="dxa"/>
            <w:vAlign w:val="center"/>
          </w:tcPr>
          <w:p>
            <w:pPr>
              <w:pStyle w:val="11"/>
            </w:pPr>
            <w:r>
              <w:t>4056.73</w:t>
            </w:r>
          </w:p>
        </w:tc>
        <w:tc>
          <w:tcPr>
            <w:tcW w:w="1134" w:type="dxa"/>
            <w:vAlign w:val="center"/>
          </w:tcPr>
          <w:p>
            <w:pPr>
              <w:pStyle w:val="11"/>
            </w:pPr>
            <w:r>
              <w:t>4056.73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2120104</w:t>
            </w:r>
          </w:p>
        </w:tc>
        <w:tc>
          <w:tcPr>
            <w:tcW w:w="1559" w:type="dxa"/>
            <w:vAlign w:val="center"/>
          </w:tcPr>
          <w:p>
            <w:pPr>
              <w:pStyle w:val="12"/>
            </w:pPr>
            <w:r>
              <w:t>城管执法</w:t>
            </w:r>
          </w:p>
        </w:tc>
        <w:tc>
          <w:tcPr>
            <w:tcW w:w="1134" w:type="dxa"/>
            <w:vAlign w:val="center"/>
          </w:tcPr>
          <w:p>
            <w:pPr>
              <w:pStyle w:val="11"/>
            </w:pPr>
            <w:r>
              <w:t>803.00</w:t>
            </w:r>
          </w:p>
        </w:tc>
        <w:tc>
          <w:tcPr>
            <w:tcW w:w="1134" w:type="dxa"/>
            <w:vAlign w:val="center"/>
          </w:tcPr>
          <w:p>
            <w:pPr>
              <w:pStyle w:val="11"/>
            </w:pPr>
            <w:r>
              <w:t>803.00</w:t>
            </w:r>
          </w:p>
        </w:tc>
        <w:tc>
          <w:tcPr>
            <w:tcW w:w="1134" w:type="dxa"/>
            <w:vAlign w:val="center"/>
          </w:tcPr>
          <w:p>
            <w:pPr>
              <w:pStyle w:val="11"/>
            </w:pPr>
            <w:r>
              <w:t>803.00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2120199</w:t>
            </w:r>
          </w:p>
        </w:tc>
        <w:tc>
          <w:tcPr>
            <w:tcW w:w="1559" w:type="dxa"/>
            <w:vAlign w:val="center"/>
          </w:tcPr>
          <w:p>
            <w:pPr>
              <w:pStyle w:val="12"/>
            </w:pPr>
            <w:r>
              <w:t>其他城乡社区管理事务支出</w:t>
            </w:r>
          </w:p>
        </w:tc>
        <w:tc>
          <w:tcPr>
            <w:tcW w:w="1134" w:type="dxa"/>
            <w:vAlign w:val="center"/>
          </w:tcPr>
          <w:p>
            <w:pPr>
              <w:pStyle w:val="11"/>
            </w:pPr>
            <w:r>
              <w:t>25.60</w:t>
            </w:r>
          </w:p>
        </w:tc>
        <w:tc>
          <w:tcPr>
            <w:tcW w:w="1134" w:type="dxa"/>
            <w:vAlign w:val="center"/>
          </w:tcPr>
          <w:p>
            <w:pPr>
              <w:pStyle w:val="11"/>
            </w:pPr>
            <w:r>
              <w:t>25.60</w:t>
            </w:r>
          </w:p>
        </w:tc>
        <w:tc>
          <w:tcPr>
            <w:tcW w:w="1134" w:type="dxa"/>
            <w:vAlign w:val="center"/>
          </w:tcPr>
          <w:p>
            <w:pPr>
              <w:pStyle w:val="11"/>
            </w:pPr>
            <w:r>
              <w:t>25.60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21203</w:t>
            </w:r>
          </w:p>
        </w:tc>
        <w:tc>
          <w:tcPr>
            <w:tcW w:w="1559" w:type="dxa"/>
            <w:vAlign w:val="center"/>
          </w:tcPr>
          <w:p>
            <w:pPr>
              <w:pStyle w:val="12"/>
            </w:pPr>
            <w:r>
              <w:t>城乡社区公共设施</w:t>
            </w:r>
          </w:p>
        </w:tc>
        <w:tc>
          <w:tcPr>
            <w:tcW w:w="1134" w:type="dxa"/>
            <w:vAlign w:val="center"/>
          </w:tcPr>
          <w:p>
            <w:pPr>
              <w:pStyle w:val="11"/>
            </w:pPr>
            <w:r>
              <w:t>3435.00</w:t>
            </w:r>
          </w:p>
        </w:tc>
        <w:tc>
          <w:tcPr>
            <w:tcW w:w="1134" w:type="dxa"/>
            <w:vAlign w:val="center"/>
          </w:tcPr>
          <w:p>
            <w:pPr>
              <w:pStyle w:val="11"/>
            </w:pPr>
            <w:r>
              <w:t>3435.00</w:t>
            </w:r>
          </w:p>
        </w:tc>
        <w:tc>
          <w:tcPr>
            <w:tcW w:w="1134" w:type="dxa"/>
            <w:vAlign w:val="center"/>
          </w:tcPr>
          <w:p>
            <w:pPr>
              <w:pStyle w:val="11"/>
            </w:pPr>
            <w:r>
              <w:t>3435.00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2120399</w:t>
            </w:r>
          </w:p>
        </w:tc>
        <w:tc>
          <w:tcPr>
            <w:tcW w:w="1559" w:type="dxa"/>
            <w:vAlign w:val="center"/>
          </w:tcPr>
          <w:p>
            <w:pPr>
              <w:pStyle w:val="12"/>
            </w:pPr>
            <w:r>
              <w:t>其他城乡社区公共设施支出</w:t>
            </w:r>
          </w:p>
        </w:tc>
        <w:tc>
          <w:tcPr>
            <w:tcW w:w="1134" w:type="dxa"/>
            <w:vAlign w:val="center"/>
          </w:tcPr>
          <w:p>
            <w:pPr>
              <w:pStyle w:val="11"/>
            </w:pPr>
            <w:r>
              <w:t>3435.00</w:t>
            </w:r>
          </w:p>
        </w:tc>
        <w:tc>
          <w:tcPr>
            <w:tcW w:w="1134" w:type="dxa"/>
            <w:vAlign w:val="center"/>
          </w:tcPr>
          <w:p>
            <w:pPr>
              <w:pStyle w:val="11"/>
            </w:pPr>
            <w:r>
              <w:t>3435.00</w:t>
            </w:r>
          </w:p>
        </w:tc>
        <w:tc>
          <w:tcPr>
            <w:tcW w:w="1134" w:type="dxa"/>
            <w:vAlign w:val="center"/>
          </w:tcPr>
          <w:p>
            <w:pPr>
              <w:pStyle w:val="11"/>
            </w:pPr>
            <w:r>
              <w:t>3435.00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21205</w:t>
            </w:r>
          </w:p>
        </w:tc>
        <w:tc>
          <w:tcPr>
            <w:tcW w:w="1559" w:type="dxa"/>
            <w:vAlign w:val="center"/>
          </w:tcPr>
          <w:p>
            <w:pPr>
              <w:pStyle w:val="12"/>
            </w:pPr>
            <w:r>
              <w:t>城乡社区环境卫生</w:t>
            </w:r>
          </w:p>
        </w:tc>
        <w:tc>
          <w:tcPr>
            <w:tcW w:w="1134" w:type="dxa"/>
            <w:vAlign w:val="center"/>
          </w:tcPr>
          <w:p>
            <w:pPr>
              <w:pStyle w:val="11"/>
            </w:pPr>
            <w:r>
              <w:t>1900.00</w:t>
            </w:r>
          </w:p>
        </w:tc>
        <w:tc>
          <w:tcPr>
            <w:tcW w:w="1134" w:type="dxa"/>
            <w:vAlign w:val="center"/>
          </w:tcPr>
          <w:p>
            <w:pPr>
              <w:pStyle w:val="11"/>
            </w:pPr>
            <w:r>
              <w:t>1900.00</w:t>
            </w:r>
          </w:p>
        </w:tc>
        <w:tc>
          <w:tcPr>
            <w:tcW w:w="1134" w:type="dxa"/>
            <w:vAlign w:val="center"/>
          </w:tcPr>
          <w:p>
            <w:pPr>
              <w:pStyle w:val="11"/>
            </w:pPr>
            <w:r>
              <w:t>1900.00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2120501</w:t>
            </w:r>
          </w:p>
        </w:tc>
        <w:tc>
          <w:tcPr>
            <w:tcW w:w="1559" w:type="dxa"/>
            <w:vAlign w:val="center"/>
          </w:tcPr>
          <w:p>
            <w:pPr>
              <w:pStyle w:val="12"/>
            </w:pPr>
            <w:r>
              <w:t>城乡社区环境卫生</w:t>
            </w:r>
          </w:p>
        </w:tc>
        <w:tc>
          <w:tcPr>
            <w:tcW w:w="1134" w:type="dxa"/>
            <w:vAlign w:val="center"/>
          </w:tcPr>
          <w:p>
            <w:pPr>
              <w:pStyle w:val="11"/>
            </w:pPr>
            <w:r>
              <w:t>1900.00</w:t>
            </w:r>
          </w:p>
        </w:tc>
        <w:tc>
          <w:tcPr>
            <w:tcW w:w="1134" w:type="dxa"/>
            <w:vAlign w:val="center"/>
          </w:tcPr>
          <w:p>
            <w:pPr>
              <w:pStyle w:val="11"/>
            </w:pPr>
            <w:r>
              <w:t>1900.00</w:t>
            </w:r>
          </w:p>
        </w:tc>
        <w:tc>
          <w:tcPr>
            <w:tcW w:w="1134" w:type="dxa"/>
            <w:vAlign w:val="center"/>
          </w:tcPr>
          <w:p>
            <w:pPr>
              <w:pStyle w:val="11"/>
            </w:pPr>
            <w:r>
              <w:t>1900.00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1360.00</w:t>
            </w:r>
          </w:p>
        </w:tc>
        <w:tc>
          <w:tcPr>
            <w:tcW w:w="1134" w:type="dxa"/>
            <w:vAlign w:val="center"/>
          </w:tcPr>
          <w:p>
            <w:pPr>
              <w:pStyle w:val="11"/>
            </w:pPr>
            <w:r>
              <w:t>1360.00</w:t>
            </w:r>
          </w:p>
        </w:tc>
        <w:tc>
          <w:tcPr>
            <w:tcW w:w="1134" w:type="dxa"/>
            <w:vAlign w:val="center"/>
          </w:tcPr>
          <w:p>
            <w:pPr>
              <w:pStyle w:val="11"/>
            </w:pPr>
            <w:r>
              <w:t>1360.00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2120810</w:t>
            </w:r>
          </w:p>
        </w:tc>
        <w:tc>
          <w:tcPr>
            <w:tcW w:w="1559" w:type="dxa"/>
            <w:vAlign w:val="center"/>
          </w:tcPr>
          <w:p>
            <w:pPr>
              <w:pStyle w:val="12"/>
            </w:pPr>
            <w:r>
              <w:t>棚户区改造支出</w:t>
            </w:r>
          </w:p>
        </w:tc>
        <w:tc>
          <w:tcPr>
            <w:tcW w:w="1134" w:type="dxa"/>
            <w:vAlign w:val="center"/>
          </w:tcPr>
          <w:p>
            <w:pPr>
              <w:pStyle w:val="11"/>
            </w:pPr>
            <w:r>
              <w:t>1360.00</w:t>
            </w:r>
          </w:p>
        </w:tc>
        <w:tc>
          <w:tcPr>
            <w:tcW w:w="1134" w:type="dxa"/>
            <w:vAlign w:val="center"/>
          </w:tcPr>
          <w:p>
            <w:pPr>
              <w:pStyle w:val="11"/>
            </w:pPr>
            <w:r>
              <w:t>1360.00</w:t>
            </w:r>
          </w:p>
        </w:tc>
        <w:tc>
          <w:tcPr>
            <w:tcW w:w="1134" w:type="dxa"/>
            <w:vAlign w:val="center"/>
          </w:tcPr>
          <w:p>
            <w:pPr>
              <w:pStyle w:val="11"/>
            </w:pPr>
            <w:r>
              <w:t>1360.00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22101</w:t>
            </w:r>
          </w:p>
        </w:tc>
        <w:tc>
          <w:tcPr>
            <w:tcW w:w="1559" w:type="dxa"/>
            <w:vAlign w:val="center"/>
          </w:tcPr>
          <w:p>
            <w:pPr>
              <w:pStyle w:val="12"/>
            </w:pPr>
            <w:r>
              <w:t>保障性安居工程支出</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2210106</w:t>
            </w:r>
          </w:p>
        </w:tc>
        <w:tc>
          <w:tcPr>
            <w:tcW w:w="1559" w:type="dxa"/>
            <w:vAlign w:val="center"/>
          </w:tcPr>
          <w:p>
            <w:pPr>
              <w:pStyle w:val="12"/>
            </w:pPr>
            <w:r>
              <w:t>公共租赁住房</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231</w:t>
            </w:r>
          </w:p>
        </w:tc>
        <w:tc>
          <w:tcPr>
            <w:tcW w:w="1559" w:type="dxa"/>
            <w:vAlign w:val="center"/>
          </w:tcPr>
          <w:p>
            <w:pPr>
              <w:pStyle w:val="12"/>
            </w:pPr>
            <w:r>
              <w:t>债务还本支出</w:t>
            </w:r>
          </w:p>
        </w:tc>
        <w:tc>
          <w:tcPr>
            <w:tcW w:w="1134" w:type="dxa"/>
            <w:vAlign w:val="center"/>
          </w:tcPr>
          <w:p>
            <w:pPr>
              <w:pStyle w:val="11"/>
            </w:pPr>
            <w:r>
              <w:t>303.00</w:t>
            </w:r>
          </w:p>
        </w:tc>
        <w:tc>
          <w:tcPr>
            <w:tcW w:w="1134" w:type="dxa"/>
            <w:vAlign w:val="center"/>
          </w:tcPr>
          <w:p>
            <w:pPr>
              <w:pStyle w:val="11"/>
            </w:pPr>
            <w:r>
              <w:t>303.00</w:t>
            </w:r>
          </w:p>
        </w:tc>
        <w:tc>
          <w:tcPr>
            <w:tcW w:w="1134" w:type="dxa"/>
            <w:vAlign w:val="center"/>
          </w:tcPr>
          <w:p>
            <w:pPr>
              <w:pStyle w:val="11"/>
            </w:pPr>
            <w:r>
              <w:t>303.00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23103</w:t>
            </w:r>
          </w:p>
        </w:tc>
        <w:tc>
          <w:tcPr>
            <w:tcW w:w="1559" w:type="dxa"/>
            <w:vAlign w:val="center"/>
          </w:tcPr>
          <w:p>
            <w:pPr>
              <w:pStyle w:val="12"/>
            </w:pPr>
            <w:r>
              <w:t>地方政府一般债务还本支出</w:t>
            </w:r>
          </w:p>
        </w:tc>
        <w:tc>
          <w:tcPr>
            <w:tcW w:w="1134" w:type="dxa"/>
            <w:vAlign w:val="center"/>
          </w:tcPr>
          <w:p>
            <w:pPr>
              <w:pStyle w:val="11"/>
            </w:pPr>
            <w:r>
              <w:t>303.00</w:t>
            </w:r>
          </w:p>
        </w:tc>
        <w:tc>
          <w:tcPr>
            <w:tcW w:w="1134" w:type="dxa"/>
            <w:vAlign w:val="center"/>
          </w:tcPr>
          <w:p>
            <w:pPr>
              <w:pStyle w:val="11"/>
            </w:pPr>
            <w:r>
              <w:t>303.00</w:t>
            </w:r>
          </w:p>
        </w:tc>
        <w:tc>
          <w:tcPr>
            <w:tcW w:w="1134" w:type="dxa"/>
            <w:vAlign w:val="center"/>
          </w:tcPr>
          <w:p>
            <w:pPr>
              <w:pStyle w:val="11"/>
            </w:pPr>
            <w:r>
              <w:t>303.00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2310399</w:t>
            </w:r>
          </w:p>
        </w:tc>
        <w:tc>
          <w:tcPr>
            <w:tcW w:w="1559" w:type="dxa"/>
            <w:vAlign w:val="center"/>
          </w:tcPr>
          <w:p>
            <w:pPr>
              <w:pStyle w:val="12"/>
            </w:pPr>
            <w:r>
              <w:t>地方政府其他一般债务还本支出</w:t>
            </w:r>
          </w:p>
        </w:tc>
        <w:tc>
          <w:tcPr>
            <w:tcW w:w="1134" w:type="dxa"/>
            <w:vAlign w:val="center"/>
          </w:tcPr>
          <w:p>
            <w:pPr>
              <w:pStyle w:val="11"/>
            </w:pPr>
            <w:r>
              <w:t>303.00</w:t>
            </w:r>
          </w:p>
        </w:tc>
        <w:tc>
          <w:tcPr>
            <w:tcW w:w="1134" w:type="dxa"/>
            <w:vAlign w:val="center"/>
          </w:tcPr>
          <w:p>
            <w:pPr>
              <w:pStyle w:val="11"/>
            </w:pPr>
            <w:r>
              <w:t>303.00</w:t>
            </w:r>
          </w:p>
        </w:tc>
        <w:tc>
          <w:tcPr>
            <w:tcW w:w="1134" w:type="dxa"/>
            <w:vAlign w:val="center"/>
          </w:tcPr>
          <w:p>
            <w:pPr>
              <w:pStyle w:val="11"/>
            </w:pPr>
            <w:r>
              <w:t>303.00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333魏县住房和城乡建设局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13767.33</w:t>
            </w:r>
          </w:p>
        </w:tc>
        <w:tc>
          <w:tcPr>
            <w:tcW w:w="1361" w:type="dxa"/>
            <w:vAlign w:val="center"/>
          </w:tcPr>
          <w:p>
            <w:pPr>
              <w:pStyle w:val="15"/>
            </w:pPr>
            <w:r>
              <w:t>4101.73</w:t>
            </w:r>
          </w:p>
        </w:tc>
        <w:tc>
          <w:tcPr>
            <w:tcW w:w="1361" w:type="dxa"/>
            <w:vAlign w:val="center"/>
          </w:tcPr>
          <w:p>
            <w:pPr>
              <w:pStyle w:val="15"/>
            </w:pPr>
            <w:r>
              <w:t>9665.60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203</w:t>
            </w:r>
          </w:p>
        </w:tc>
        <w:tc>
          <w:tcPr>
            <w:tcW w:w="4535" w:type="dxa"/>
            <w:vAlign w:val="center"/>
          </w:tcPr>
          <w:p>
            <w:pPr>
              <w:pStyle w:val="12"/>
            </w:pPr>
            <w:r>
              <w:t>国防支出</w:t>
            </w:r>
          </w:p>
        </w:tc>
        <w:tc>
          <w:tcPr>
            <w:tcW w:w="1361" w:type="dxa"/>
            <w:vAlign w:val="center"/>
          </w:tcPr>
          <w:p>
            <w:pPr>
              <w:pStyle w:val="11"/>
            </w:pPr>
            <w:r>
              <w:t>125.00</w:t>
            </w:r>
          </w:p>
        </w:tc>
        <w:tc>
          <w:tcPr>
            <w:tcW w:w="1361" w:type="dxa"/>
            <w:vAlign w:val="center"/>
          </w:tcPr>
          <w:p>
            <w:pPr>
              <w:pStyle w:val="11"/>
            </w:pPr>
          </w:p>
        </w:tc>
        <w:tc>
          <w:tcPr>
            <w:tcW w:w="1361" w:type="dxa"/>
            <w:vAlign w:val="center"/>
          </w:tcPr>
          <w:p>
            <w:pPr>
              <w:pStyle w:val="11"/>
            </w:pPr>
            <w:r>
              <w:t>125.00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20306</w:t>
            </w:r>
          </w:p>
        </w:tc>
        <w:tc>
          <w:tcPr>
            <w:tcW w:w="4535" w:type="dxa"/>
            <w:vAlign w:val="center"/>
          </w:tcPr>
          <w:p>
            <w:pPr>
              <w:pStyle w:val="12"/>
            </w:pPr>
            <w:r>
              <w:t>国防动员</w:t>
            </w:r>
          </w:p>
        </w:tc>
        <w:tc>
          <w:tcPr>
            <w:tcW w:w="1361" w:type="dxa"/>
            <w:vAlign w:val="center"/>
          </w:tcPr>
          <w:p>
            <w:pPr>
              <w:pStyle w:val="11"/>
            </w:pPr>
            <w:r>
              <w:t>125.00</w:t>
            </w:r>
          </w:p>
        </w:tc>
        <w:tc>
          <w:tcPr>
            <w:tcW w:w="1361" w:type="dxa"/>
            <w:vAlign w:val="center"/>
          </w:tcPr>
          <w:p>
            <w:pPr>
              <w:pStyle w:val="11"/>
            </w:pPr>
          </w:p>
        </w:tc>
        <w:tc>
          <w:tcPr>
            <w:tcW w:w="1361" w:type="dxa"/>
            <w:vAlign w:val="center"/>
          </w:tcPr>
          <w:p>
            <w:pPr>
              <w:pStyle w:val="11"/>
            </w:pPr>
            <w:r>
              <w:t>125.00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2030603</w:t>
            </w:r>
          </w:p>
        </w:tc>
        <w:tc>
          <w:tcPr>
            <w:tcW w:w="4535" w:type="dxa"/>
            <w:vAlign w:val="center"/>
          </w:tcPr>
          <w:p>
            <w:pPr>
              <w:pStyle w:val="12"/>
            </w:pPr>
            <w:r>
              <w:t>人民防空</w:t>
            </w:r>
          </w:p>
        </w:tc>
        <w:tc>
          <w:tcPr>
            <w:tcW w:w="1361" w:type="dxa"/>
            <w:vAlign w:val="center"/>
          </w:tcPr>
          <w:p>
            <w:pPr>
              <w:pStyle w:val="11"/>
            </w:pPr>
            <w:r>
              <w:t>125.00</w:t>
            </w:r>
          </w:p>
        </w:tc>
        <w:tc>
          <w:tcPr>
            <w:tcW w:w="1361" w:type="dxa"/>
            <w:vAlign w:val="center"/>
          </w:tcPr>
          <w:p>
            <w:pPr>
              <w:pStyle w:val="11"/>
            </w:pPr>
          </w:p>
        </w:tc>
        <w:tc>
          <w:tcPr>
            <w:tcW w:w="1361" w:type="dxa"/>
            <w:vAlign w:val="center"/>
          </w:tcPr>
          <w:p>
            <w:pPr>
              <w:pStyle w:val="11"/>
            </w:pPr>
            <w:r>
              <w:t>125.00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501.31</w:t>
            </w:r>
          </w:p>
        </w:tc>
        <w:tc>
          <w:tcPr>
            <w:tcW w:w="1361" w:type="dxa"/>
            <w:vAlign w:val="center"/>
          </w:tcPr>
          <w:p>
            <w:pPr>
              <w:pStyle w:val="11"/>
            </w:pPr>
            <w:r>
              <w:t>1.31</w:t>
            </w: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1.31</w:t>
            </w:r>
          </w:p>
        </w:tc>
        <w:tc>
          <w:tcPr>
            <w:tcW w:w="1361" w:type="dxa"/>
            <w:vAlign w:val="center"/>
          </w:tcPr>
          <w:p>
            <w:pPr>
              <w:pStyle w:val="11"/>
            </w:pPr>
            <w:r>
              <w:t>1.31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1.31</w:t>
            </w:r>
          </w:p>
        </w:tc>
        <w:tc>
          <w:tcPr>
            <w:tcW w:w="1361" w:type="dxa"/>
            <w:vAlign w:val="center"/>
          </w:tcPr>
          <w:p>
            <w:pPr>
              <w:pStyle w:val="11"/>
            </w:pPr>
            <w:r>
              <w:t>1.31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20899</w:t>
            </w:r>
          </w:p>
        </w:tc>
        <w:tc>
          <w:tcPr>
            <w:tcW w:w="4535" w:type="dxa"/>
            <w:vAlign w:val="center"/>
          </w:tcPr>
          <w:p>
            <w:pPr>
              <w:pStyle w:val="12"/>
            </w:pPr>
            <w:r>
              <w:t>其他社会保障和就业支出</w:t>
            </w: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2089999</w:t>
            </w:r>
          </w:p>
        </w:tc>
        <w:tc>
          <w:tcPr>
            <w:tcW w:w="4535" w:type="dxa"/>
            <w:vAlign w:val="center"/>
          </w:tcPr>
          <w:p>
            <w:pPr>
              <w:pStyle w:val="12"/>
            </w:pPr>
            <w:r>
              <w:t>其他社会保障和就业支出</w:t>
            </w: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43.69</w:t>
            </w:r>
          </w:p>
        </w:tc>
        <w:tc>
          <w:tcPr>
            <w:tcW w:w="1361" w:type="dxa"/>
            <w:vAlign w:val="center"/>
          </w:tcPr>
          <w:p>
            <w:pPr>
              <w:pStyle w:val="11"/>
            </w:pPr>
            <w:r>
              <w:t>43.69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43.69</w:t>
            </w:r>
          </w:p>
        </w:tc>
        <w:tc>
          <w:tcPr>
            <w:tcW w:w="1361" w:type="dxa"/>
            <w:vAlign w:val="center"/>
          </w:tcPr>
          <w:p>
            <w:pPr>
              <w:pStyle w:val="11"/>
            </w:pPr>
            <w:r>
              <w:t>43.69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43.69</w:t>
            </w:r>
          </w:p>
        </w:tc>
        <w:tc>
          <w:tcPr>
            <w:tcW w:w="1361" w:type="dxa"/>
            <w:vAlign w:val="center"/>
          </w:tcPr>
          <w:p>
            <w:pPr>
              <w:pStyle w:val="11"/>
            </w:pPr>
            <w:r>
              <w:t>43.69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1176.00</w:t>
            </w:r>
          </w:p>
        </w:tc>
        <w:tc>
          <w:tcPr>
            <w:tcW w:w="1361" w:type="dxa"/>
            <w:vAlign w:val="center"/>
          </w:tcPr>
          <w:p>
            <w:pPr>
              <w:pStyle w:val="11"/>
            </w:pPr>
          </w:p>
        </w:tc>
        <w:tc>
          <w:tcPr>
            <w:tcW w:w="1361" w:type="dxa"/>
            <w:vAlign w:val="center"/>
          </w:tcPr>
          <w:p>
            <w:pPr>
              <w:pStyle w:val="11"/>
            </w:pPr>
            <w:r>
              <w:t>1176.00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1176.00</w:t>
            </w:r>
          </w:p>
        </w:tc>
        <w:tc>
          <w:tcPr>
            <w:tcW w:w="1361" w:type="dxa"/>
            <w:vAlign w:val="center"/>
          </w:tcPr>
          <w:p>
            <w:pPr>
              <w:pStyle w:val="11"/>
            </w:pPr>
          </w:p>
        </w:tc>
        <w:tc>
          <w:tcPr>
            <w:tcW w:w="1361" w:type="dxa"/>
            <w:vAlign w:val="center"/>
          </w:tcPr>
          <w:p>
            <w:pPr>
              <w:pStyle w:val="11"/>
            </w:pPr>
            <w:r>
              <w:t>1176.00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2110302</w:t>
            </w:r>
          </w:p>
        </w:tc>
        <w:tc>
          <w:tcPr>
            <w:tcW w:w="4535" w:type="dxa"/>
            <w:vAlign w:val="center"/>
          </w:tcPr>
          <w:p>
            <w:pPr>
              <w:pStyle w:val="12"/>
            </w:pPr>
            <w:r>
              <w:t>水体</w:t>
            </w:r>
          </w:p>
        </w:tc>
        <w:tc>
          <w:tcPr>
            <w:tcW w:w="1361" w:type="dxa"/>
            <w:vAlign w:val="center"/>
          </w:tcPr>
          <w:p>
            <w:pPr>
              <w:pStyle w:val="11"/>
            </w:pPr>
            <w:r>
              <w:t>856.00</w:t>
            </w:r>
          </w:p>
        </w:tc>
        <w:tc>
          <w:tcPr>
            <w:tcW w:w="1361" w:type="dxa"/>
            <w:vAlign w:val="center"/>
          </w:tcPr>
          <w:p>
            <w:pPr>
              <w:pStyle w:val="11"/>
            </w:pPr>
          </w:p>
        </w:tc>
        <w:tc>
          <w:tcPr>
            <w:tcW w:w="1361" w:type="dxa"/>
            <w:vAlign w:val="center"/>
          </w:tcPr>
          <w:p>
            <w:pPr>
              <w:pStyle w:val="11"/>
            </w:pPr>
            <w:r>
              <w:t>856.00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2110304</w:t>
            </w:r>
          </w:p>
        </w:tc>
        <w:tc>
          <w:tcPr>
            <w:tcW w:w="4535" w:type="dxa"/>
            <w:vAlign w:val="center"/>
          </w:tcPr>
          <w:p>
            <w:pPr>
              <w:pStyle w:val="12"/>
            </w:pPr>
            <w:r>
              <w:t>固体废弃物与化学品</w:t>
            </w:r>
          </w:p>
        </w:tc>
        <w:tc>
          <w:tcPr>
            <w:tcW w:w="1361" w:type="dxa"/>
            <w:vAlign w:val="center"/>
          </w:tcPr>
          <w:p>
            <w:pPr>
              <w:pStyle w:val="11"/>
            </w:pPr>
            <w:r>
              <w:t>320.00</w:t>
            </w:r>
          </w:p>
        </w:tc>
        <w:tc>
          <w:tcPr>
            <w:tcW w:w="1361" w:type="dxa"/>
            <w:vAlign w:val="center"/>
          </w:tcPr>
          <w:p>
            <w:pPr>
              <w:pStyle w:val="11"/>
            </w:pPr>
          </w:p>
        </w:tc>
        <w:tc>
          <w:tcPr>
            <w:tcW w:w="1361" w:type="dxa"/>
            <w:vAlign w:val="center"/>
          </w:tcPr>
          <w:p>
            <w:pPr>
              <w:pStyle w:val="11"/>
            </w:pPr>
            <w:r>
              <w:t>320.00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11580.33</w:t>
            </w:r>
          </w:p>
        </w:tc>
        <w:tc>
          <w:tcPr>
            <w:tcW w:w="1361" w:type="dxa"/>
            <w:vAlign w:val="center"/>
          </w:tcPr>
          <w:p>
            <w:pPr>
              <w:pStyle w:val="11"/>
            </w:pPr>
            <w:r>
              <w:t>4056.73</w:t>
            </w:r>
          </w:p>
        </w:tc>
        <w:tc>
          <w:tcPr>
            <w:tcW w:w="1361" w:type="dxa"/>
            <w:vAlign w:val="center"/>
          </w:tcPr>
          <w:p>
            <w:pPr>
              <w:pStyle w:val="11"/>
            </w:pPr>
            <w:r>
              <w:t>7523.60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21201</w:t>
            </w:r>
          </w:p>
        </w:tc>
        <w:tc>
          <w:tcPr>
            <w:tcW w:w="4535" w:type="dxa"/>
            <w:vAlign w:val="center"/>
          </w:tcPr>
          <w:p>
            <w:pPr>
              <w:pStyle w:val="12"/>
            </w:pPr>
            <w:r>
              <w:t>城乡社区管理事务</w:t>
            </w:r>
          </w:p>
        </w:tc>
        <w:tc>
          <w:tcPr>
            <w:tcW w:w="1361" w:type="dxa"/>
            <w:vAlign w:val="center"/>
          </w:tcPr>
          <w:p>
            <w:pPr>
              <w:pStyle w:val="11"/>
            </w:pPr>
            <w:r>
              <w:t>4885.33</w:t>
            </w:r>
          </w:p>
        </w:tc>
        <w:tc>
          <w:tcPr>
            <w:tcW w:w="1361" w:type="dxa"/>
            <w:vAlign w:val="center"/>
          </w:tcPr>
          <w:p>
            <w:pPr>
              <w:pStyle w:val="11"/>
            </w:pPr>
            <w:r>
              <w:t>4056.73</w:t>
            </w:r>
          </w:p>
        </w:tc>
        <w:tc>
          <w:tcPr>
            <w:tcW w:w="1361" w:type="dxa"/>
            <w:vAlign w:val="center"/>
          </w:tcPr>
          <w:p>
            <w:pPr>
              <w:pStyle w:val="11"/>
            </w:pPr>
            <w:r>
              <w:t>828.60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2120101</w:t>
            </w:r>
          </w:p>
        </w:tc>
        <w:tc>
          <w:tcPr>
            <w:tcW w:w="4535" w:type="dxa"/>
            <w:vAlign w:val="center"/>
          </w:tcPr>
          <w:p>
            <w:pPr>
              <w:pStyle w:val="12"/>
            </w:pPr>
            <w:r>
              <w:t>行政运行</w:t>
            </w:r>
          </w:p>
        </w:tc>
        <w:tc>
          <w:tcPr>
            <w:tcW w:w="1361" w:type="dxa"/>
            <w:vAlign w:val="center"/>
          </w:tcPr>
          <w:p>
            <w:pPr>
              <w:pStyle w:val="11"/>
            </w:pPr>
            <w:r>
              <w:t>4056.73</w:t>
            </w:r>
          </w:p>
        </w:tc>
        <w:tc>
          <w:tcPr>
            <w:tcW w:w="1361" w:type="dxa"/>
            <w:vAlign w:val="center"/>
          </w:tcPr>
          <w:p>
            <w:pPr>
              <w:pStyle w:val="11"/>
            </w:pPr>
            <w:r>
              <w:t>4056.73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2120104</w:t>
            </w:r>
          </w:p>
        </w:tc>
        <w:tc>
          <w:tcPr>
            <w:tcW w:w="4535" w:type="dxa"/>
            <w:vAlign w:val="center"/>
          </w:tcPr>
          <w:p>
            <w:pPr>
              <w:pStyle w:val="12"/>
            </w:pPr>
            <w:r>
              <w:t>城管执法</w:t>
            </w:r>
          </w:p>
        </w:tc>
        <w:tc>
          <w:tcPr>
            <w:tcW w:w="1361" w:type="dxa"/>
            <w:vAlign w:val="center"/>
          </w:tcPr>
          <w:p>
            <w:pPr>
              <w:pStyle w:val="11"/>
            </w:pPr>
            <w:r>
              <w:t>803.00</w:t>
            </w:r>
          </w:p>
        </w:tc>
        <w:tc>
          <w:tcPr>
            <w:tcW w:w="1361" w:type="dxa"/>
            <w:vAlign w:val="center"/>
          </w:tcPr>
          <w:p>
            <w:pPr>
              <w:pStyle w:val="11"/>
            </w:pPr>
          </w:p>
        </w:tc>
        <w:tc>
          <w:tcPr>
            <w:tcW w:w="1361" w:type="dxa"/>
            <w:vAlign w:val="center"/>
          </w:tcPr>
          <w:p>
            <w:pPr>
              <w:pStyle w:val="11"/>
            </w:pPr>
            <w:r>
              <w:t>803.00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2120199</w:t>
            </w:r>
          </w:p>
        </w:tc>
        <w:tc>
          <w:tcPr>
            <w:tcW w:w="4535" w:type="dxa"/>
            <w:vAlign w:val="center"/>
          </w:tcPr>
          <w:p>
            <w:pPr>
              <w:pStyle w:val="12"/>
            </w:pPr>
            <w:r>
              <w:t>其他城乡社区管理事务支出</w:t>
            </w:r>
          </w:p>
        </w:tc>
        <w:tc>
          <w:tcPr>
            <w:tcW w:w="1361" w:type="dxa"/>
            <w:vAlign w:val="center"/>
          </w:tcPr>
          <w:p>
            <w:pPr>
              <w:pStyle w:val="11"/>
            </w:pPr>
            <w:r>
              <w:t>25.60</w:t>
            </w:r>
          </w:p>
        </w:tc>
        <w:tc>
          <w:tcPr>
            <w:tcW w:w="1361" w:type="dxa"/>
            <w:vAlign w:val="center"/>
          </w:tcPr>
          <w:p>
            <w:pPr>
              <w:pStyle w:val="11"/>
            </w:pPr>
          </w:p>
        </w:tc>
        <w:tc>
          <w:tcPr>
            <w:tcW w:w="1361" w:type="dxa"/>
            <w:vAlign w:val="center"/>
          </w:tcPr>
          <w:p>
            <w:pPr>
              <w:pStyle w:val="11"/>
            </w:pPr>
            <w:r>
              <w:t>25.60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21203</w:t>
            </w:r>
          </w:p>
        </w:tc>
        <w:tc>
          <w:tcPr>
            <w:tcW w:w="4535" w:type="dxa"/>
            <w:vAlign w:val="center"/>
          </w:tcPr>
          <w:p>
            <w:pPr>
              <w:pStyle w:val="12"/>
            </w:pPr>
            <w:r>
              <w:t>城乡社区公共设施</w:t>
            </w:r>
          </w:p>
        </w:tc>
        <w:tc>
          <w:tcPr>
            <w:tcW w:w="1361" w:type="dxa"/>
            <w:vAlign w:val="center"/>
          </w:tcPr>
          <w:p>
            <w:pPr>
              <w:pStyle w:val="11"/>
            </w:pPr>
            <w:r>
              <w:t>3435.00</w:t>
            </w:r>
          </w:p>
        </w:tc>
        <w:tc>
          <w:tcPr>
            <w:tcW w:w="1361" w:type="dxa"/>
            <w:vAlign w:val="center"/>
          </w:tcPr>
          <w:p>
            <w:pPr>
              <w:pStyle w:val="11"/>
            </w:pPr>
          </w:p>
        </w:tc>
        <w:tc>
          <w:tcPr>
            <w:tcW w:w="1361" w:type="dxa"/>
            <w:vAlign w:val="center"/>
          </w:tcPr>
          <w:p>
            <w:pPr>
              <w:pStyle w:val="11"/>
            </w:pPr>
            <w:r>
              <w:t>3435.00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2120399</w:t>
            </w:r>
          </w:p>
        </w:tc>
        <w:tc>
          <w:tcPr>
            <w:tcW w:w="4535" w:type="dxa"/>
            <w:vAlign w:val="center"/>
          </w:tcPr>
          <w:p>
            <w:pPr>
              <w:pStyle w:val="12"/>
            </w:pPr>
            <w:r>
              <w:t>其他城乡社区公共设施支出</w:t>
            </w:r>
          </w:p>
        </w:tc>
        <w:tc>
          <w:tcPr>
            <w:tcW w:w="1361" w:type="dxa"/>
            <w:vAlign w:val="center"/>
          </w:tcPr>
          <w:p>
            <w:pPr>
              <w:pStyle w:val="11"/>
            </w:pPr>
            <w:r>
              <w:t>3435.00</w:t>
            </w:r>
          </w:p>
        </w:tc>
        <w:tc>
          <w:tcPr>
            <w:tcW w:w="1361" w:type="dxa"/>
            <w:vAlign w:val="center"/>
          </w:tcPr>
          <w:p>
            <w:pPr>
              <w:pStyle w:val="11"/>
            </w:pPr>
          </w:p>
        </w:tc>
        <w:tc>
          <w:tcPr>
            <w:tcW w:w="1361" w:type="dxa"/>
            <w:vAlign w:val="center"/>
          </w:tcPr>
          <w:p>
            <w:pPr>
              <w:pStyle w:val="11"/>
            </w:pPr>
            <w:r>
              <w:t>3435.00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21205</w:t>
            </w:r>
          </w:p>
        </w:tc>
        <w:tc>
          <w:tcPr>
            <w:tcW w:w="4535" w:type="dxa"/>
            <w:vAlign w:val="center"/>
          </w:tcPr>
          <w:p>
            <w:pPr>
              <w:pStyle w:val="12"/>
            </w:pPr>
            <w:r>
              <w:t>城乡社区环境卫生</w:t>
            </w:r>
          </w:p>
        </w:tc>
        <w:tc>
          <w:tcPr>
            <w:tcW w:w="1361" w:type="dxa"/>
            <w:vAlign w:val="center"/>
          </w:tcPr>
          <w:p>
            <w:pPr>
              <w:pStyle w:val="11"/>
            </w:pPr>
            <w:r>
              <w:t>1900.00</w:t>
            </w:r>
          </w:p>
        </w:tc>
        <w:tc>
          <w:tcPr>
            <w:tcW w:w="1361" w:type="dxa"/>
            <w:vAlign w:val="center"/>
          </w:tcPr>
          <w:p>
            <w:pPr>
              <w:pStyle w:val="11"/>
            </w:pPr>
          </w:p>
        </w:tc>
        <w:tc>
          <w:tcPr>
            <w:tcW w:w="1361" w:type="dxa"/>
            <w:vAlign w:val="center"/>
          </w:tcPr>
          <w:p>
            <w:pPr>
              <w:pStyle w:val="11"/>
            </w:pPr>
            <w:r>
              <w:t>1900.00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2120501</w:t>
            </w:r>
          </w:p>
        </w:tc>
        <w:tc>
          <w:tcPr>
            <w:tcW w:w="4535" w:type="dxa"/>
            <w:vAlign w:val="center"/>
          </w:tcPr>
          <w:p>
            <w:pPr>
              <w:pStyle w:val="12"/>
            </w:pPr>
            <w:r>
              <w:t>城乡社区环境卫生</w:t>
            </w:r>
          </w:p>
        </w:tc>
        <w:tc>
          <w:tcPr>
            <w:tcW w:w="1361" w:type="dxa"/>
            <w:vAlign w:val="center"/>
          </w:tcPr>
          <w:p>
            <w:pPr>
              <w:pStyle w:val="11"/>
            </w:pPr>
            <w:r>
              <w:t>1900.00</w:t>
            </w:r>
          </w:p>
        </w:tc>
        <w:tc>
          <w:tcPr>
            <w:tcW w:w="1361" w:type="dxa"/>
            <w:vAlign w:val="center"/>
          </w:tcPr>
          <w:p>
            <w:pPr>
              <w:pStyle w:val="11"/>
            </w:pPr>
          </w:p>
        </w:tc>
        <w:tc>
          <w:tcPr>
            <w:tcW w:w="1361" w:type="dxa"/>
            <w:vAlign w:val="center"/>
          </w:tcPr>
          <w:p>
            <w:pPr>
              <w:pStyle w:val="11"/>
            </w:pPr>
            <w:r>
              <w:t>1900.00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1360.00</w:t>
            </w:r>
          </w:p>
        </w:tc>
        <w:tc>
          <w:tcPr>
            <w:tcW w:w="1361" w:type="dxa"/>
            <w:vAlign w:val="center"/>
          </w:tcPr>
          <w:p>
            <w:pPr>
              <w:pStyle w:val="11"/>
            </w:pPr>
          </w:p>
        </w:tc>
        <w:tc>
          <w:tcPr>
            <w:tcW w:w="1361" w:type="dxa"/>
            <w:vAlign w:val="center"/>
          </w:tcPr>
          <w:p>
            <w:pPr>
              <w:pStyle w:val="11"/>
            </w:pPr>
            <w:r>
              <w:t>1360.00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2120810</w:t>
            </w:r>
          </w:p>
        </w:tc>
        <w:tc>
          <w:tcPr>
            <w:tcW w:w="4535" w:type="dxa"/>
            <w:vAlign w:val="center"/>
          </w:tcPr>
          <w:p>
            <w:pPr>
              <w:pStyle w:val="12"/>
            </w:pPr>
            <w:r>
              <w:t>棚户区改造支出</w:t>
            </w:r>
          </w:p>
        </w:tc>
        <w:tc>
          <w:tcPr>
            <w:tcW w:w="1361" w:type="dxa"/>
            <w:vAlign w:val="center"/>
          </w:tcPr>
          <w:p>
            <w:pPr>
              <w:pStyle w:val="11"/>
            </w:pPr>
            <w:r>
              <w:t>1360.00</w:t>
            </w:r>
          </w:p>
        </w:tc>
        <w:tc>
          <w:tcPr>
            <w:tcW w:w="1361" w:type="dxa"/>
            <w:vAlign w:val="center"/>
          </w:tcPr>
          <w:p>
            <w:pPr>
              <w:pStyle w:val="11"/>
            </w:pPr>
          </w:p>
        </w:tc>
        <w:tc>
          <w:tcPr>
            <w:tcW w:w="1361" w:type="dxa"/>
            <w:vAlign w:val="center"/>
          </w:tcPr>
          <w:p>
            <w:pPr>
              <w:pStyle w:val="11"/>
            </w:pPr>
            <w:r>
              <w:t>1360.00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22101</w:t>
            </w:r>
          </w:p>
        </w:tc>
        <w:tc>
          <w:tcPr>
            <w:tcW w:w="4535" w:type="dxa"/>
            <w:vAlign w:val="center"/>
          </w:tcPr>
          <w:p>
            <w:pPr>
              <w:pStyle w:val="12"/>
            </w:pPr>
            <w:r>
              <w:t>保障性安居工程支出</w:t>
            </w: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2210106</w:t>
            </w:r>
          </w:p>
        </w:tc>
        <w:tc>
          <w:tcPr>
            <w:tcW w:w="4535" w:type="dxa"/>
            <w:vAlign w:val="center"/>
          </w:tcPr>
          <w:p>
            <w:pPr>
              <w:pStyle w:val="12"/>
            </w:pPr>
            <w:r>
              <w:t>公共租赁住房</w:t>
            </w: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231</w:t>
            </w:r>
          </w:p>
        </w:tc>
        <w:tc>
          <w:tcPr>
            <w:tcW w:w="4535" w:type="dxa"/>
            <w:vAlign w:val="center"/>
          </w:tcPr>
          <w:p>
            <w:pPr>
              <w:pStyle w:val="12"/>
            </w:pPr>
            <w:r>
              <w:t>债务还本支出</w:t>
            </w:r>
          </w:p>
        </w:tc>
        <w:tc>
          <w:tcPr>
            <w:tcW w:w="1361" w:type="dxa"/>
            <w:vAlign w:val="center"/>
          </w:tcPr>
          <w:p>
            <w:pPr>
              <w:pStyle w:val="11"/>
            </w:pPr>
            <w:r>
              <w:t>303.00</w:t>
            </w:r>
          </w:p>
        </w:tc>
        <w:tc>
          <w:tcPr>
            <w:tcW w:w="1361" w:type="dxa"/>
            <w:vAlign w:val="center"/>
          </w:tcPr>
          <w:p>
            <w:pPr>
              <w:pStyle w:val="11"/>
            </w:pPr>
          </w:p>
        </w:tc>
        <w:tc>
          <w:tcPr>
            <w:tcW w:w="1361" w:type="dxa"/>
            <w:vAlign w:val="center"/>
          </w:tcPr>
          <w:p>
            <w:pPr>
              <w:pStyle w:val="11"/>
            </w:pPr>
            <w:r>
              <w:t>303.00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23103</w:t>
            </w:r>
          </w:p>
        </w:tc>
        <w:tc>
          <w:tcPr>
            <w:tcW w:w="4535" w:type="dxa"/>
            <w:vAlign w:val="center"/>
          </w:tcPr>
          <w:p>
            <w:pPr>
              <w:pStyle w:val="12"/>
            </w:pPr>
            <w:r>
              <w:t>地方政府一般债务还本支出</w:t>
            </w:r>
          </w:p>
        </w:tc>
        <w:tc>
          <w:tcPr>
            <w:tcW w:w="1361" w:type="dxa"/>
            <w:vAlign w:val="center"/>
          </w:tcPr>
          <w:p>
            <w:pPr>
              <w:pStyle w:val="11"/>
            </w:pPr>
            <w:r>
              <w:t>303.00</w:t>
            </w:r>
          </w:p>
        </w:tc>
        <w:tc>
          <w:tcPr>
            <w:tcW w:w="1361" w:type="dxa"/>
            <w:vAlign w:val="center"/>
          </w:tcPr>
          <w:p>
            <w:pPr>
              <w:pStyle w:val="11"/>
            </w:pPr>
          </w:p>
        </w:tc>
        <w:tc>
          <w:tcPr>
            <w:tcW w:w="1361" w:type="dxa"/>
            <w:vAlign w:val="center"/>
          </w:tcPr>
          <w:p>
            <w:pPr>
              <w:pStyle w:val="11"/>
            </w:pPr>
            <w:r>
              <w:t>303.00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2310399</w:t>
            </w:r>
          </w:p>
        </w:tc>
        <w:tc>
          <w:tcPr>
            <w:tcW w:w="4535" w:type="dxa"/>
            <w:vAlign w:val="center"/>
          </w:tcPr>
          <w:p>
            <w:pPr>
              <w:pStyle w:val="12"/>
            </w:pPr>
            <w:r>
              <w:t>地方政府其他一般债务还本支出</w:t>
            </w:r>
          </w:p>
        </w:tc>
        <w:tc>
          <w:tcPr>
            <w:tcW w:w="1361" w:type="dxa"/>
            <w:vAlign w:val="center"/>
          </w:tcPr>
          <w:p>
            <w:pPr>
              <w:pStyle w:val="11"/>
            </w:pPr>
            <w:r>
              <w:t>303.00</w:t>
            </w:r>
          </w:p>
        </w:tc>
        <w:tc>
          <w:tcPr>
            <w:tcW w:w="1361" w:type="dxa"/>
            <w:vAlign w:val="center"/>
          </w:tcPr>
          <w:p>
            <w:pPr>
              <w:pStyle w:val="11"/>
            </w:pPr>
          </w:p>
        </w:tc>
        <w:tc>
          <w:tcPr>
            <w:tcW w:w="1361" w:type="dxa"/>
            <w:vAlign w:val="center"/>
          </w:tcPr>
          <w:p>
            <w:pPr>
              <w:pStyle w:val="11"/>
            </w:pPr>
            <w:r>
              <w:t>303.00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333魏县住房和城乡建设局</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12407.33</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1360.00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r>
              <w:t>125.00</w:t>
            </w:r>
          </w:p>
        </w:tc>
        <w:tc>
          <w:tcPr>
            <w:tcW w:w="1474" w:type="dxa"/>
            <w:vAlign w:val="center"/>
          </w:tcPr>
          <w:p>
            <w:pPr>
              <w:pStyle w:val="11"/>
            </w:pPr>
            <w:r>
              <w:t>125.00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501.31</w:t>
            </w:r>
          </w:p>
        </w:tc>
        <w:tc>
          <w:tcPr>
            <w:tcW w:w="1474" w:type="dxa"/>
            <w:vAlign w:val="center"/>
          </w:tcPr>
          <w:p>
            <w:pPr>
              <w:pStyle w:val="11"/>
            </w:pPr>
            <w:r>
              <w:t>501.31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43.69</w:t>
            </w:r>
          </w:p>
        </w:tc>
        <w:tc>
          <w:tcPr>
            <w:tcW w:w="1474" w:type="dxa"/>
            <w:vAlign w:val="center"/>
          </w:tcPr>
          <w:p>
            <w:pPr>
              <w:pStyle w:val="11"/>
            </w:pPr>
            <w:r>
              <w:t>43.69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1176.00</w:t>
            </w:r>
          </w:p>
        </w:tc>
        <w:tc>
          <w:tcPr>
            <w:tcW w:w="1474" w:type="dxa"/>
            <w:vAlign w:val="center"/>
          </w:tcPr>
          <w:p>
            <w:pPr>
              <w:pStyle w:val="11"/>
            </w:pPr>
            <w:r>
              <w:t>1176.00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11580.33</w:t>
            </w:r>
          </w:p>
        </w:tc>
        <w:tc>
          <w:tcPr>
            <w:tcW w:w="1474" w:type="dxa"/>
            <w:vAlign w:val="center"/>
          </w:tcPr>
          <w:p>
            <w:pPr>
              <w:pStyle w:val="11"/>
            </w:pPr>
            <w:r>
              <w:t>10220.33</w:t>
            </w:r>
          </w:p>
        </w:tc>
        <w:tc>
          <w:tcPr>
            <w:tcW w:w="1474" w:type="dxa"/>
            <w:vAlign w:val="center"/>
          </w:tcPr>
          <w:p>
            <w:pPr>
              <w:pStyle w:val="11"/>
            </w:pPr>
            <w:r>
              <w:t>1360.00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38.00</w:t>
            </w:r>
          </w:p>
        </w:tc>
        <w:tc>
          <w:tcPr>
            <w:tcW w:w="1474" w:type="dxa"/>
            <w:vAlign w:val="center"/>
          </w:tcPr>
          <w:p>
            <w:pPr>
              <w:pStyle w:val="11"/>
            </w:pPr>
            <w:r>
              <w:t>38.00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r>
              <w:t>303.00</w:t>
            </w:r>
          </w:p>
        </w:tc>
        <w:tc>
          <w:tcPr>
            <w:tcW w:w="1474" w:type="dxa"/>
            <w:vAlign w:val="center"/>
          </w:tcPr>
          <w:p>
            <w:pPr>
              <w:pStyle w:val="11"/>
            </w:pPr>
            <w:r>
              <w:t>303.00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13767.33</w:t>
            </w:r>
          </w:p>
        </w:tc>
        <w:tc>
          <w:tcPr>
            <w:tcW w:w="3402" w:type="dxa"/>
            <w:vAlign w:val="center"/>
          </w:tcPr>
          <w:p>
            <w:pPr>
              <w:pStyle w:val="14"/>
            </w:pPr>
            <w:r>
              <w:t>本年支出合计</w:t>
            </w:r>
          </w:p>
        </w:tc>
        <w:tc>
          <w:tcPr>
            <w:tcW w:w="1474" w:type="dxa"/>
            <w:vAlign w:val="center"/>
          </w:tcPr>
          <w:p>
            <w:pPr>
              <w:pStyle w:val="15"/>
            </w:pPr>
            <w:r>
              <w:t>13767.33</w:t>
            </w:r>
          </w:p>
        </w:tc>
        <w:tc>
          <w:tcPr>
            <w:tcW w:w="1474" w:type="dxa"/>
            <w:vAlign w:val="center"/>
          </w:tcPr>
          <w:p>
            <w:pPr>
              <w:pStyle w:val="15"/>
            </w:pPr>
            <w:r>
              <w:t>12407.33</w:t>
            </w:r>
          </w:p>
        </w:tc>
        <w:tc>
          <w:tcPr>
            <w:tcW w:w="1474" w:type="dxa"/>
            <w:vAlign w:val="center"/>
          </w:tcPr>
          <w:p>
            <w:pPr>
              <w:pStyle w:val="15"/>
            </w:pPr>
            <w:r>
              <w:t>1360.00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13767.33</w:t>
            </w:r>
          </w:p>
        </w:tc>
        <w:tc>
          <w:tcPr>
            <w:tcW w:w="3402" w:type="dxa"/>
            <w:vAlign w:val="center"/>
          </w:tcPr>
          <w:p>
            <w:pPr>
              <w:pStyle w:val="14"/>
            </w:pPr>
            <w:r>
              <w:t>支出总计</w:t>
            </w:r>
          </w:p>
        </w:tc>
        <w:tc>
          <w:tcPr>
            <w:tcW w:w="1474" w:type="dxa"/>
            <w:vAlign w:val="center"/>
          </w:tcPr>
          <w:p>
            <w:pPr>
              <w:pStyle w:val="15"/>
            </w:pPr>
            <w:r>
              <w:t>13767.33</w:t>
            </w:r>
          </w:p>
        </w:tc>
        <w:tc>
          <w:tcPr>
            <w:tcW w:w="1474" w:type="dxa"/>
            <w:vAlign w:val="center"/>
          </w:tcPr>
          <w:p>
            <w:pPr>
              <w:pStyle w:val="15"/>
            </w:pPr>
            <w:r>
              <w:t>12407.33</w:t>
            </w:r>
          </w:p>
        </w:tc>
        <w:tc>
          <w:tcPr>
            <w:tcW w:w="1474" w:type="dxa"/>
            <w:vAlign w:val="center"/>
          </w:tcPr>
          <w:p>
            <w:pPr>
              <w:pStyle w:val="15"/>
            </w:pPr>
            <w:r>
              <w:t>1360.00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333魏县住房和城乡建设局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12407.33</w:t>
            </w:r>
          </w:p>
        </w:tc>
        <w:tc>
          <w:tcPr>
            <w:tcW w:w="2551" w:type="dxa"/>
            <w:vAlign w:val="center"/>
          </w:tcPr>
          <w:p>
            <w:pPr>
              <w:pStyle w:val="15"/>
            </w:pPr>
            <w:r>
              <w:t>4101.73</w:t>
            </w:r>
          </w:p>
        </w:tc>
        <w:tc>
          <w:tcPr>
            <w:tcW w:w="2551" w:type="dxa"/>
            <w:vAlign w:val="center"/>
          </w:tcPr>
          <w:p>
            <w:pPr>
              <w:pStyle w:val="15"/>
            </w:pPr>
            <w:r>
              <w:t>8305.60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203</w:t>
            </w:r>
          </w:p>
        </w:tc>
        <w:tc>
          <w:tcPr>
            <w:tcW w:w="4535" w:type="dxa"/>
            <w:vAlign w:val="center"/>
          </w:tcPr>
          <w:p>
            <w:pPr>
              <w:pStyle w:val="12"/>
            </w:pPr>
            <w:r>
              <w:t>国防支出</w:t>
            </w:r>
          </w:p>
        </w:tc>
        <w:tc>
          <w:tcPr>
            <w:tcW w:w="2551" w:type="dxa"/>
            <w:vAlign w:val="center"/>
          </w:tcPr>
          <w:p>
            <w:pPr>
              <w:pStyle w:val="11"/>
            </w:pPr>
            <w:r>
              <w:t>125.00</w:t>
            </w:r>
          </w:p>
        </w:tc>
        <w:tc>
          <w:tcPr>
            <w:tcW w:w="2551" w:type="dxa"/>
            <w:vAlign w:val="center"/>
          </w:tcPr>
          <w:p>
            <w:pPr>
              <w:pStyle w:val="11"/>
            </w:pPr>
          </w:p>
        </w:tc>
        <w:tc>
          <w:tcPr>
            <w:tcW w:w="2551" w:type="dxa"/>
            <w:vAlign w:val="center"/>
          </w:tcPr>
          <w:p>
            <w:pPr>
              <w:pStyle w:val="11"/>
            </w:pPr>
            <w:r>
              <w:t>125.00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20306</w:t>
            </w:r>
          </w:p>
        </w:tc>
        <w:tc>
          <w:tcPr>
            <w:tcW w:w="4535" w:type="dxa"/>
            <w:vAlign w:val="center"/>
          </w:tcPr>
          <w:p>
            <w:pPr>
              <w:pStyle w:val="12"/>
            </w:pPr>
            <w:r>
              <w:t>国防动员</w:t>
            </w:r>
          </w:p>
        </w:tc>
        <w:tc>
          <w:tcPr>
            <w:tcW w:w="2551" w:type="dxa"/>
            <w:vAlign w:val="center"/>
          </w:tcPr>
          <w:p>
            <w:pPr>
              <w:pStyle w:val="11"/>
            </w:pPr>
            <w:r>
              <w:t>125.00</w:t>
            </w:r>
          </w:p>
        </w:tc>
        <w:tc>
          <w:tcPr>
            <w:tcW w:w="2551" w:type="dxa"/>
            <w:vAlign w:val="center"/>
          </w:tcPr>
          <w:p>
            <w:pPr>
              <w:pStyle w:val="11"/>
            </w:pPr>
          </w:p>
        </w:tc>
        <w:tc>
          <w:tcPr>
            <w:tcW w:w="2551" w:type="dxa"/>
            <w:vAlign w:val="center"/>
          </w:tcPr>
          <w:p>
            <w:pPr>
              <w:pStyle w:val="11"/>
            </w:pPr>
            <w:r>
              <w:t>125.00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2030603</w:t>
            </w:r>
          </w:p>
        </w:tc>
        <w:tc>
          <w:tcPr>
            <w:tcW w:w="4535" w:type="dxa"/>
            <w:vAlign w:val="center"/>
          </w:tcPr>
          <w:p>
            <w:pPr>
              <w:pStyle w:val="12"/>
            </w:pPr>
            <w:r>
              <w:t>人民防空</w:t>
            </w:r>
          </w:p>
        </w:tc>
        <w:tc>
          <w:tcPr>
            <w:tcW w:w="2551" w:type="dxa"/>
            <w:vAlign w:val="center"/>
          </w:tcPr>
          <w:p>
            <w:pPr>
              <w:pStyle w:val="11"/>
            </w:pPr>
            <w:r>
              <w:t>125.00</w:t>
            </w:r>
          </w:p>
        </w:tc>
        <w:tc>
          <w:tcPr>
            <w:tcW w:w="2551" w:type="dxa"/>
            <w:vAlign w:val="center"/>
          </w:tcPr>
          <w:p>
            <w:pPr>
              <w:pStyle w:val="11"/>
            </w:pPr>
          </w:p>
        </w:tc>
        <w:tc>
          <w:tcPr>
            <w:tcW w:w="2551" w:type="dxa"/>
            <w:vAlign w:val="center"/>
          </w:tcPr>
          <w:p>
            <w:pPr>
              <w:pStyle w:val="11"/>
            </w:pPr>
            <w:r>
              <w:t>125.00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501.31</w:t>
            </w:r>
          </w:p>
        </w:tc>
        <w:tc>
          <w:tcPr>
            <w:tcW w:w="2551" w:type="dxa"/>
            <w:vAlign w:val="center"/>
          </w:tcPr>
          <w:p>
            <w:pPr>
              <w:pStyle w:val="11"/>
            </w:pPr>
            <w:r>
              <w:t>1.31</w:t>
            </w:r>
          </w:p>
        </w:tc>
        <w:tc>
          <w:tcPr>
            <w:tcW w:w="2551" w:type="dxa"/>
            <w:vAlign w:val="center"/>
          </w:tcPr>
          <w:p>
            <w:pPr>
              <w:pStyle w:val="11"/>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1.31</w:t>
            </w:r>
          </w:p>
        </w:tc>
        <w:tc>
          <w:tcPr>
            <w:tcW w:w="2551" w:type="dxa"/>
            <w:vAlign w:val="center"/>
          </w:tcPr>
          <w:p>
            <w:pPr>
              <w:pStyle w:val="11"/>
            </w:pPr>
            <w:r>
              <w:t>1.31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1.31</w:t>
            </w:r>
          </w:p>
        </w:tc>
        <w:tc>
          <w:tcPr>
            <w:tcW w:w="2551" w:type="dxa"/>
            <w:vAlign w:val="center"/>
          </w:tcPr>
          <w:p>
            <w:pPr>
              <w:pStyle w:val="11"/>
            </w:pPr>
            <w:r>
              <w:t>1.31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20899</w:t>
            </w:r>
          </w:p>
        </w:tc>
        <w:tc>
          <w:tcPr>
            <w:tcW w:w="4535" w:type="dxa"/>
            <w:vAlign w:val="center"/>
          </w:tcPr>
          <w:p>
            <w:pPr>
              <w:pStyle w:val="12"/>
            </w:pPr>
            <w:r>
              <w:t>其他社会保障和就业支出</w:t>
            </w:r>
          </w:p>
        </w:tc>
        <w:tc>
          <w:tcPr>
            <w:tcW w:w="2551" w:type="dxa"/>
            <w:vAlign w:val="center"/>
          </w:tcPr>
          <w:p>
            <w:pPr>
              <w:pStyle w:val="11"/>
            </w:pPr>
            <w:r>
              <w:t>500.00</w:t>
            </w:r>
          </w:p>
        </w:tc>
        <w:tc>
          <w:tcPr>
            <w:tcW w:w="2551" w:type="dxa"/>
            <w:vAlign w:val="center"/>
          </w:tcPr>
          <w:p>
            <w:pPr>
              <w:pStyle w:val="11"/>
            </w:pPr>
          </w:p>
        </w:tc>
        <w:tc>
          <w:tcPr>
            <w:tcW w:w="2551" w:type="dxa"/>
            <w:vAlign w:val="center"/>
          </w:tcPr>
          <w:p>
            <w:pPr>
              <w:pStyle w:val="11"/>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2089999</w:t>
            </w:r>
          </w:p>
        </w:tc>
        <w:tc>
          <w:tcPr>
            <w:tcW w:w="4535" w:type="dxa"/>
            <w:vAlign w:val="center"/>
          </w:tcPr>
          <w:p>
            <w:pPr>
              <w:pStyle w:val="12"/>
            </w:pPr>
            <w:r>
              <w:t>其他社会保障和就业支出</w:t>
            </w:r>
          </w:p>
        </w:tc>
        <w:tc>
          <w:tcPr>
            <w:tcW w:w="2551" w:type="dxa"/>
            <w:vAlign w:val="center"/>
          </w:tcPr>
          <w:p>
            <w:pPr>
              <w:pStyle w:val="11"/>
            </w:pPr>
            <w:r>
              <w:t>500.00</w:t>
            </w:r>
          </w:p>
        </w:tc>
        <w:tc>
          <w:tcPr>
            <w:tcW w:w="2551" w:type="dxa"/>
            <w:vAlign w:val="center"/>
          </w:tcPr>
          <w:p>
            <w:pPr>
              <w:pStyle w:val="11"/>
            </w:pPr>
          </w:p>
        </w:tc>
        <w:tc>
          <w:tcPr>
            <w:tcW w:w="2551" w:type="dxa"/>
            <w:vAlign w:val="center"/>
          </w:tcPr>
          <w:p>
            <w:pPr>
              <w:pStyle w:val="11"/>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43.69</w:t>
            </w:r>
          </w:p>
        </w:tc>
        <w:tc>
          <w:tcPr>
            <w:tcW w:w="2551" w:type="dxa"/>
            <w:vAlign w:val="center"/>
          </w:tcPr>
          <w:p>
            <w:pPr>
              <w:pStyle w:val="11"/>
            </w:pPr>
            <w:r>
              <w:t>43.69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43.69</w:t>
            </w:r>
          </w:p>
        </w:tc>
        <w:tc>
          <w:tcPr>
            <w:tcW w:w="2551" w:type="dxa"/>
            <w:vAlign w:val="center"/>
          </w:tcPr>
          <w:p>
            <w:pPr>
              <w:pStyle w:val="11"/>
            </w:pPr>
            <w:r>
              <w:t>43.69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43.69</w:t>
            </w:r>
          </w:p>
        </w:tc>
        <w:tc>
          <w:tcPr>
            <w:tcW w:w="2551" w:type="dxa"/>
            <w:vAlign w:val="center"/>
          </w:tcPr>
          <w:p>
            <w:pPr>
              <w:pStyle w:val="11"/>
            </w:pPr>
            <w:r>
              <w:t>43.69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1176.00</w:t>
            </w:r>
          </w:p>
        </w:tc>
        <w:tc>
          <w:tcPr>
            <w:tcW w:w="2551" w:type="dxa"/>
            <w:vAlign w:val="center"/>
          </w:tcPr>
          <w:p>
            <w:pPr>
              <w:pStyle w:val="11"/>
            </w:pPr>
          </w:p>
        </w:tc>
        <w:tc>
          <w:tcPr>
            <w:tcW w:w="2551" w:type="dxa"/>
            <w:vAlign w:val="center"/>
          </w:tcPr>
          <w:p>
            <w:pPr>
              <w:pStyle w:val="11"/>
            </w:pPr>
            <w:r>
              <w:t>1176.00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1176.00</w:t>
            </w:r>
          </w:p>
        </w:tc>
        <w:tc>
          <w:tcPr>
            <w:tcW w:w="2551" w:type="dxa"/>
            <w:vAlign w:val="center"/>
          </w:tcPr>
          <w:p>
            <w:pPr>
              <w:pStyle w:val="11"/>
            </w:pPr>
          </w:p>
        </w:tc>
        <w:tc>
          <w:tcPr>
            <w:tcW w:w="2551" w:type="dxa"/>
            <w:vAlign w:val="center"/>
          </w:tcPr>
          <w:p>
            <w:pPr>
              <w:pStyle w:val="11"/>
            </w:pPr>
            <w:r>
              <w:t>1176.00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2110302</w:t>
            </w:r>
          </w:p>
        </w:tc>
        <w:tc>
          <w:tcPr>
            <w:tcW w:w="4535" w:type="dxa"/>
            <w:vAlign w:val="center"/>
          </w:tcPr>
          <w:p>
            <w:pPr>
              <w:pStyle w:val="12"/>
            </w:pPr>
            <w:r>
              <w:t>水体</w:t>
            </w:r>
          </w:p>
        </w:tc>
        <w:tc>
          <w:tcPr>
            <w:tcW w:w="2551" w:type="dxa"/>
            <w:vAlign w:val="center"/>
          </w:tcPr>
          <w:p>
            <w:pPr>
              <w:pStyle w:val="11"/>
            </w:pPr>
            <w:r>
              <w:t>856.00</w:t>
            </w:r>
          </w:p>
        </w:tc>
        <w:tc>
          <w:tcPr>
            <w:tcW w:w="2551" w:type="dxa"/>
            <w:vAlign w:val="center"/>
          </w:tcPr>
          <w:p>
            <w:pPr>
              <w:pStyle w:val="11"/>
            </w:pPr>
          </w:p>
        </w:tc>
        <w:tc>
          <w:tcPr>
            <w:tcW w:w="2551" w:type="dxa"/>
            <w:vAlign w:val="center"/>
          </w:tcPr>
          <w:p>
            <w:pPr>
              <w:pStyle w:val="11"/>
            </w:pPr>
            <w:r>
              <w:t>856.00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2110304</w:t>
            </w:r>
          </w:p>
        </w:tc>
        <w:tc>
          <w:tcPr>
            <w:tcW w:w="4535" w:type="dxa"/>
            <w:vAlign w:val="center"/>
          </w:tcPr>
          <w:p>
            <w:pPr>
              <w:pStyle w:val="12"/>
            </w:pPr>
            <w:r>
              <w:t>固体废弃物与化学品</w:t>
            </w:r>
          </w:p>
        </w:tc>
        <w:tc>
          <w:tcPr>
            <w:tcW w:w="2551" w:type="dxa"/>
            <w:vAlign w:val="center"/>
          </w:tcPr>
          <w:p>
            <w:pPr>
              <w:pStyle w:val="11"/>
            </w:pPr>
            <w:r>
              <w:t>320.00</w:t>
            </w:r>
          </w:p>
        </w:tc>
        <w:tc>
          <w:tcPr>
            <w:tcW w:w="2551" w:type="dxa"/>
            <w:vAlign w:val="center"/>
          </w:tcPr>
          <w:p>
            <w:pPr>
              <w:pStyle w:val="11"/>
            </w:pPr>
          </w:p>
        </w:tc>
        <w:tc>
          <w:tcPr>
            <w:tcW w:w="2551" w:type="dxa"/>
            <w:vAlign w:val="center"/>
          </w:tcPr>
          <w:p>
            <w:pPr>
              <w:pStyle w:val="11"/>
            </w:pPr>
            <w:r>
              <w:t>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10220.33</w:t>
            </w:r>
          </w:p>
        </w:tc>
        <w:tc>
          <w:tcPr>
            <w:tcW w:w="2551" w:type="dxa"/>
            <w:vAlign w:val="center"/>
          </w:tcPr>
          <w:p>
            <w:pPr>
              <w:pStyle w:val="11"/>
            </w:pPr>
            <w:r>
              <w:t>4056.73</w:t>
            </w:r>
          </w:p>
        </w:tc>
        <w:tc>
          <w:tcPr>
            <w:tcW w:w="2551" w:type="dxa"/>
            <w:vAlign w:val="center"/>
          </w:tcPr>
          <w:p>
            <w:pPr>
              <w:pStyle w:val="11"/>
            </w:pPr>
            <w:r>
              <w:t>6163.60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21201</w:t>
            </w:r>
          </w:p>
        </w:tc>
        <w:tc>
          <w:tcPr>
            <w:tcW w:w="4535" w:type="dxa"/>
            <w:vAlign w:val="center"/>
          </w:tcPr>
          <w:p>
            <w:pPr>
              <w:pStyle w:val="12"/>
            </w:pPr>
            <w:r>
              <w:t>城乡社区管理事务</w:t>
            </w:r>
          </w:p>
        </w:tc>
        <w:tc>
          <w:tcPr>
            <w:tcW w:w="2551" w:type="dxa"/>
            <w:vAlign w:val="center"/>
          </w:tcPr>
          <w:p>
            <w:pPr>
              <w:pStyle w:val="11"/>
            </w:pPr>
            <w:r>
              <w:t>4885.33</w:t>
            </w:r>
          </w:p>
        </w:tc>
        <w:tc>
          <w:tcPr>
            <w:tcW w:w="2551" w:type="dxa"/>
            <w:vAlign w:val="center"/>
          </w:tcPr>
          <w:p>
            <w:pPr>
              <w:pStyle w:val="11"/>
            </w:pPr>
            <w:r>
              <w:t>4056.73</w:t>
            </w:r>
          </w:p>
        </w:tc>
        <w:tc>
          <w:tcPr>
            <w:tcW w:w="2551" w:type="dxa"/>
            <w:vAlign w:val="center"/>
          </w:tcPr>
          <w:p>
            <w:pPr>
              <w:pStyle w:val="11"/>
            </w:pPr>
            <w:r>
              <w:t>828.60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2120101</w:t>
            </w:r>
          </w:p>
        </w:tc>
        <w:tc>
          <w:tcPr>
            <w:tcW w:w="4535" w:type="dxa"/>
            <w:vAlign w:val="center"/>
          </w:tcPr>
          <w:p>
            <w:pPr>
              <w:pStyle w:val="12"/>
            </w:pPr>
            <w:r>
              <w:t>行政运行</w:t>
            </w:r>
          </w:p>
        </w:tc>
        <w:tc>
          <w:tcPr>
            <w:tcW w:w="2551" w:type="dxa"/>
            <w:vAlign w:val="center"/>
          </w:tcPr>
          <w:p>
            <w:pPr>
              <w:pStyle w:val="11"/>
            </w:pPr>
            <w:r>
              <w:t>4056.73</w:t>
            </w:r>
          </w:p>
        </w:tc>
        <w:tc>
          <w:tcPr>
            <w:tcW w:w="2551" w:type="dxa"/>
            <w:vAlign w:val="center"/>
          </w:tcPr>
          <w:p>
            <w:pPr>
              <w:pStyle w:val="11"/>
            </w:pPr>
            <w:r>
              <w:t>4056.73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2120104</w:t>
            </w:r>
          </w:p>
        </w:tc>
        <w:tc>
          <w:tcPr>
            <w:tcW w:w="4535" w:type="dxa"/>
            <w:vAlign w:val="center"/>
          </w:tcPr>
          <w:p>
            <w:pPr>
              <w:pStyle w:val="12"/>
            </w:pPr>
            <w:r>
              <w:t>城管执法</w:t>
            </w:r>
          </w:p>
        </w:tc>
        <w:tc>
          <w:tcPr>
            <w:tcW w:w="2551" w:type="dxa"/>
            <w:vAlign w:val="center"/>
          </w:tcPr>
          <w:p>
            <w:pPr>
              <w:pStyle w:val="11"/>
            </w:pPr>
            <w:r>
              <w:t>803.00</w:t>
            </w:r>
          </w:p>
        </w:tc>
        <w:tc>
          <w:tcPr>
            <w:tcW w:w="2551" w:type="dxa"/>
            <w:vAlign w:val="center"/>
          </w:tcPr>
          <w:p>
            <w:pPr>
              <w:pStyle w:val="11"/>
            </w:pPr>
          </w:p>
        </w:tc>
        <w:tc>
          <w:tcPr>
            <w:tcW w:w="2551" w:type="dxa"/>
            <w:vAlign w:val="center"/>
          </w:tcPr>
          <w:p>
            <w:pPr>
              <w:pStyle w:val="11"/>
            </w:pPr>
            <w:r>
              <w:t>803.00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2120199</w:t>
            </w:r>
          </w:p>
        </w:tc>
        <w:tc>
          <w:tcPr>
            <w:tcW w:w="4535" w:type="dxa"/>
            <w:vAlign w:val="center"/>
          </w:tcPr>
          <w:p>
            <w:pPr>
              <w:pStyle w:val="12"/>
            </w:pPr>
            <w:r>
              <w:t>其他城乡社区管理事务支出</w:t>
            </w:r>
          </w:p>
        </w:tc>
        <w:tc>
          <w:tcPr>
            <w:tcW w:w="2551" w:type="dxa"/>
            <w:vAlign w:val="center"/>
          </w:tcPr>
          <w:p>
            <w:pPr>
              <w:pStyle w:val="11"/>
            </w:pPr>
            <w:r>
              <w:t>25.60</w:t>
            </w:r>
          </w:p>
        </w:tc>
        <w:tc>
          <w:tcPr>
            <w:tcW w:w="2551" w:type="dxa"/>
            <w:vAlign w:val="center"/>
          </w:tcPr>
          <w:p>
            <w:pPr>
              <w:pStyle w:val="11"/>
            </w:pPr>
          </w:p>
        </w:tc>
        <w:tc>
          <w:tcPr>
            <w:tcW w:w="2551" w:type="dxa"/>
            <w:vAlign w:val="center"/>
          </w:tcPr>
          <w:p>
            <w:pPr>
              <w:pStyle w:val="11"/>
            </w:pPr>
            <w:r>
              <w:t>25.60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21203</w:t>
            </w:r>
          </w:p>
        </w:tc>
        <w:tc>
          <w:tcPr>
            <w:tcW w:w="4535" w:type="dxa"/>
            <w:vAlign w:val="center"/>
          </w:tcPr>
          <w:p>
            <w:pPr>
              <w:pStyle w:val="12"/>
            </w:pPr>
            <w:r>
              <w:t>城乡社区公共设施</w:t>
            </w:r>
          </w:p>
        </w:tc>
        <w:tc>
          <w:tcPr>
            <w:tcW w:w="2551" w:type="dxa"/>
            <w:vAlign w:val="center"/>
          </w:tcPr>
          <w:p>
            <w:pPr>
              <w:pStyle w:val="11"/>
            </w:pPr>
            <w:r>
              <w:t>3435.00</w:t>
            </w:r>
          </w:p>
        </w:tc>
        <w:tc>
          <w:tcPr>
            <w:tcW w:w="2551" w:type="dxa"/>
            <w:vAlign w:val="center"/>
          </w:tcPr>
          <w:p>
            <w:pPr>
              <w:pStyle w:val="11"/>
            </w:pPr>
          </w:p>
        </w:tc>
        <w:tc>
          <w:tcPr>
            <w:tcW w:w="2551" w:type="dxa"/>
            <w:vAlign w:val="center"/>
          </w:tcPr>
          <w:p>
            <w:pPr>
              <w:pStyle w:val="11"/>
            </w:pPr>
            <w:r>
              <w:t>3435.00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2120399</w:t>
            </w:r>
          </w:p>
        </w:tc>
        <w:tc>
          <w:tcPr>
            <w:tcW w:w="4535" w:type="dxa"/>
            <w:vAlign w:val="center"/>
          </w:tcPr>
          <w:p>
            <w:pPr>
              <w:pStyle w:val="12"/>
            </w:pPr>
            <w:r>
              <w:t>其他城乡社区公共设施支出</w:t>
            </w:r>
          </w:p>
        </w:tc>
        <w:tc>
          <w:tcPr>
            <w:tcW w:w="2551" w:type="dxa"/>
            <w:vAlign w:val="center"/>
          </w:tcPr>
          <w:p>
            <w:pPr>
              <w:pStyle w:val="11"/>
            </w:pPr>
            <w:r>
              <w:t>3435.00</w:t>
            </w:r>
          </w:p>
        </w:tc>
        <w:tc>
          <w:tcPr>
            <w:tcW w:w="2551" w:type="dxa"/>
            <w:vAlign w:val="center"/>
          </w:tcPr>
          <w:p>
            <w:pPr>
              <w:pStyle w:val="11"/>
            </w:pPr>
          </w:p>
        </w:tc>
        <w:tc>
          <w:tcPr>
            <w:tcW w:w="2551" w:type="dxa"/>
            <w:vAlign w:val="center"/>
          </w:tcPr>
          <w:p>
            <w:pPr>
              <w:pStyle w:val="11"/>
            </w:pPr>
            <w:r>
              <w:t>3435.00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21205</w:t>
            </w:r>
          </w:p>
        </w:tc>
        <w:tc>
          <w:tcPr>
            <w:tcW w:w="4535" w:type="dxa"/>
            <w:vAlign w:val="center"/>
          </w:tcPr>
          <w:p>
            <w:pPr>
              <w:pStyle w:val="12"/>
            </w:pPr>
            <w:r>
              <w:t>城乡社区环境卫生</w:t>
            </w:r>
          </w:p>
        </w:tc>
        <w:tc>
          <w:tcPr>
            <w:tcW w:w="2551" w:type="dxa"/>
            <w:vAlign w:val="center"/>
          </w:tcPr>
          <w:p>
            <w:pPr>
              <w:pStyle w:val="11"/>
            </w:pPr>
            <w:r>
              <w:t>1900.00</w:t>
            </w:r>
          </w:p>
        </w:tc>
        <w:tc>
          <w:tcPr>
            <w:tcW w:w="2551" w:type="dxa"/>
            <w:vAlign w:val="center"/>
          </w:tcPr>
          <w:p>
            <w:pPr>
              <w:pStyle w:val="11"/>
            </w:pPr>
          </w:p>
        </w:tc>
        <w:tc>
          <w:tcPr>
            <w:tcW w:w="2551" w:type="dxa"/>
            <w:vAlign w:val="center"/>
          </w:tcPr>
          <w:p>
            <w:pPr>
              <w:pStyle w:val="11"/>
            </w:pPr>
            <w:r>
              <w:t>1900.00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2120501</w:t>
            </w:r>
          </w:p>
        </w:tc>
        <w:tc>
          <w:tcPr>
            <w:tcW w:w="4535" w:type="dxa"/>
            <w:vAlign w:val="center"/>
          </w:tcPr>
          <w:p>
            <w:pPr>
              <w:pStyle w:val="12"/>
            </w:pPr>
            <w:r>
              <w:t>城乡社区环境卫生</w:t>
            </w:r>
          </w:p>
        </w:tc>
        <w:tc>
          <w:tcPr>
            <w:tcW w:w="2551" w:type="dxa"/>
            <w:vAlign w:val="center"/>
          </w:tcPr>
          <w:p>
            <w:pPr>
              <w:pStyle w:val="11"/>
            </w:pPr>
            <w:r>
              <w:t>1900.00</w:t>
            </w:r>
          </w:p>
        </w:tc>
        <w:tc>
          <w:tcPr>
            <w:tcW w:w="2551" w:type="dxa"/>
            <w:vAlign w:val="center"/>
          </w:tcPr>
          <w:p>
            <w:pPr>
              <w:pStyle w:val="11"/>
            </w:pPr>
          </w:p>
        </w:tc>
        <w:tc>
          <w:tcPr>
            <w:tcW w:w="2551" w:type="dxa"/>
            <w:vAlign w:val="center"/>
          </w:tcPr>
          <w:p>
            <w:pPr>
              <w:pStyle w:val="11"/>
            </w:pPr>
            <w:r>
              <w:t>1900.00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38.00</w:t>
            </w:r>
          </w:p>
        </w:tc>
        <w:tc>
          <w:tcPr>
            <w:tcW w:w="2551" w:type="dxa"/>
            <w:vAlign w:val="center"/>
          </w:tcPr>
          <w:p>
            <w:pPr>
              <w:pStyle w:val="11"/>
            </w:pPr>
          </w:p>
        </w:tc>
        <w:tc>
          <w:tcPr>
            <w:tcW w:w="2551" w:type="dxa"/>
            <w:vAlign w:val="center"/>
          </w:tcPr>
          <w:p>
            <w:pPr>
              <w:pStyle w:val="11"/>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22101</w:t>
            </w:r>
          </w:p>
        </w:tc>
        <w:tc>
          <w:tcPr>
            <w:tcW w:w="4535" w:type="dxa"/>
            <w:vAlign w:val="center"/>
          </w:tcPr>
          <w:p>
            <w:pPr>
              <w:pStyle w:val="12"/>
            </w:pPr>
            <w:r>
              <w:t>保障性安居工程支出</w:t>
            </w:r>
          </w:p>
        </w:tc>
        <w:tc>
          <w:tcPr>
            <w:tcW w:w="2551" w:type="dxa"/>
            <w:vAlign w:val="center"/>
          </w:tcPr>
          <w:p>
            <w:pPr>
              <w:pStyle w:val="11"/>
            </w:pPr>
            <w:r>
              <w:t>38.00</w:t>
            </w:r>
          </w:p>
        </w:tc>
        <w:tc>
          <w:tcPr>
            <w:tcW w:w="2551" w:type="dxa"/>
            <w:vAlign w:val="center"/>
          </w:tcPr>
          <w:p>
            <w:pPr>
              <w:pStyle w:val="11"/>
            </w:pPr>
          </w:p>
        </w:tc>
        <w:tc>
          <w:tcPr>
            <w:tcW w:w="2551" w:type="dxa"/>
            <w:vAlign w:val="center"/>
          </w:tcPr>
          <w:p>
            <w:pPr>
              <w:pStyle w:val="11"/>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2210106</w:t>
            </w:r>
          </w:p>
        </w:tc>
        <w:tc>
          <w:tcPr>
            <w:tcW w:w="4535" w:type="dxa"/>
            <w:vAlign w:val="center"/>
          </w:tcPr>
          <w:p>
            <w:pPr>
              <w:pStyle w:val="12"/>
            </w:pPr>
            <w:r>
              <w:t>公共租赁住房</w:t>
            </w:r>
          </w:p>
        </w:tc>
        <w:tc>
          <w:tcPr>
            <w:tcW w:w="2551" w:type="dxa"/>
            <w:vAlign w:val="center"/>
          </w:tcPr>
          <w:p>
            <w:pPr>
              <w:pStyle w:val="11"/>
            </w:pPr>
            <w:r>
              <w:t>38.00</w:t>
            </w:r>
          </w:p>
        </w:tc>
        <w:tc>
          <w:tcPr>
            <w:tcW w:w="2551" w:type="dxa"/>
            <w:vAlign w:val="center"/>
          </w:tcPr>
          <w:p>
            <w:pPr>
              <w:pStyle w:val="11"/>
            </w:pPr>
          </w:p>
        </w:tc>
        <w:tc>
          <w:tcPr>
            <w:tcW w:w="2551" w:type="dxa"/>
            <w:vAlign w:val="center"/>
          </w:tcPr>
          <w:p>
            <w:pPr>
              <w:pStyle w:val="11"/>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231</w:t>
            </w:r>
          </w:p>
        </w:tc>
        <w:tc>
          <w:tcPr>
            <w:tcW w:w="4535" w:type="dxa"/>
            <w:vAlign w:val="center"/>
          </w:tcPr>
          <w:p>
            <w:pPr>
              <w:pStyle w:val="12"/>
            </w:pPr>
            <w:r>
              <w:t>债务还本支出</w:t>
            </w:r>
          </w:p>
        </w:tc>
        <w:tc>
          <w:tcPr>
            <w:tcW w:w="2551" w:type="dxa"/>
            <w:vAlign w:val="center"/>
          </w:tcPr>
          <w:p>
            <w:pPr>
              <w:pStyle w:val="11"/>
            </w:pPr>
            <w:r>
              <w:t>303.00</w:t>
            </w:r>
          </w:p>
        </w:tc>
        <w:tc>
          <w:tcPr>
            <w:tcW w:w="2551" w:type="dxa"/>
            <w:vAlign w:val="center"/>
          </w:tcPr>
          <w:p>
            <w:pPr>
              <w:pStyle w:val="11"/>
            </w:pPr>
          </w:p>
        </w:tc>
        <w:tc>
          <w:tcPr>
            <w:tcW w:w="2551" w:type="dxa"/>
            <w:vAlign w:val="center"/>
          </w:tcPr>
          <w:p>
            <w:pPr>
              <w:pStyle w:val="11"/>
            </w:pPr>
            <w:r>
              <w:t>303.00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23103</w:t>
            </w:r>
          </w:p>
        </w:tc>
        <w:tc>
          <w:tcPr>
            <w:tcW w:w="4535" w:type="dxa"/>
            <w:vAlign w:val="center"/>
          </w:tcPr>
          <w:p>
            <w:pPr>
              <w:pStyle w:val="12"/>
            </w:pPr>
            <w:r>
              <w:t>地方政府一般债务还本支出</w:t>
            </w:r>
          </w:p>
        </w:tc>
        <w:tc>
          <w:tcPr>
            <w:tcW w:w="2551" w:type="dxa"/>
            <w:vAlign w:val="center"/>
          </w:tcPr>
          <w:p>
            <w:pPr>
              <w:pStyle w:val="11"/>
            </w:pPr>
            <w:r>
              <w:t>303.00</w:t>
            </w:r>
          </w:p>
        </w:tc>
        <w:tc>
          <w:tcPr>
            <w:tcW w:w="2551" w:type="dxa"/>
            <w:vAlign w:val="center"/>
          </w:tcPr>
          <w:p>
            <w:pPr>
              <w:pStyle w:val="11"/>
            </w:pPr>
          </w:p>
        </w:tc>
        <w:tc>
          <w:tcPr>
            <w:tcW w:w="2551" w:type="dxa"/>
            <w:vAlign w:val="center"/>
          </w:tcPr>
          <w:p>
            <w:pPr>
              <w:pStyle w:val="11"/>
            </w:pPr>
            <w:r>
              <w:t>303.00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2310399</w:t>
            </w:r>
          </w:p>
        </w:tc>
        <w:tc>
          <w:tcPr>
            <w:tcW w:w="4535" w:type="dxa"/>
            <w:vAlign w:val="center"/>
          </w:tcPr>
          <w:p>
            <w:pPr>
              <w:pStyle w:val="12"/>
            </w:pPr>
            <w:r>
              <w:t>地方政府其他一般债务还本支出</w:t>
            </w:r>
          </w:p>
        </w:tc>
        <w:tc>
          <w:tcPr>
            <w:tcW w:w="2551" w:type="dxa"/>
            <w:vAlign w:val="center"/>
          </w:tcPr>
          <w:p>
            <w:pPr>
              <w:pStyle w:val="11"/>
            </w:pPr>
            <w:r>
              <w:t>303.00</w:t>
            </w:r>
          </w:p>
        </w:tc>
        <w:tc>
          <w:tcPr>
            <w:tcW w:w="2551" w:type="dxa"/>
            <w:vAlign w:val="center"/>
          </w:tcPr>
          <w:p>
            <w:pPr>
              <w:pStyle w:val="11"/>
            </w:pPr>
          </w:p>
        </w:tc>
        <w:tc>
          <w:tcPr>
            <w:tcW w:w="2551" w:type="dxa"/>
            <w:vAlign w:val="center"/>
          </w:tcPr>
          <w:p>
            <w:pPr>
              <w:pStyle w:val="11"/>
            </w:pPr>
            <w:r>
              <w:t>303.00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333魏县住房和城乡建设局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4101.73</w:t>
            </w:r>
          </w:p>
        </w:tc>
        <w:tc>
          <w:tcPr>
            <w:tcW w:w="2551" w:type="dxa"/>
            <w:vAlign w:val="center"/>
          </w:tcPr>
          <w:p>
            <w:pPr>
              <w:pStyle w:val="15"/>
            </w:pPr>
            <w:r>
              <w:t>4005.39</w:t>
            </w:r>
          </w:p>
        </w:tc>
        <w:tc>
          <w:tcPr>
            <w:tcW w:w="2551" w:type="dxa"/>
            <w:vAlign w:val="center"/>
          </w:tcPr>
          <w:p>
            <w:pPr>
              <w:pStyle w:val="15"/>
            </w:pPr>
            <w:r>
              <w:t>96.34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4004.08</w:t>
            </w:r>
          </w:p>
        </w:tc>
        <w:tc>
          <w:tcPr>
            <w:tcW w:w="2551" w:type="dxa"/>
            <w:vAlign w:val="center"/>
          </w:tcPr>
          <w:p>
            <w:pPr>
              <w:pStyle w:val="11"/>
            </w:pPr>
            <w:r>
              <w:t>4004.08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3709.05</w:t>
            </w:r>
          </w:p>
        </w:tc>
        <w:tc>
          <w:tcPr>
            <w:tcW w:w="2551" w:type="dxa"/>
            <w:vAlign w:val="center"/>
          </w:tcPr>
          <w:p>
            <w:pPr>
              <w:pStyle w:val="11"/>
            </w:pPr>
            <w:r>
              <w:t>3709.05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11.26</w:t>
            </w:r>
          </w:p>
        </w:tc>
        <w:tc>
          <w:tcPr>
            <w:tcW w:w="2551" w:type="dxa"/>
            <w:vAlign w:val="center"/>
          </w:tcPr>
          <w:p>
            <w:pPr>
              <w:pStyle w:val="11"/>
            </w:pPr>
            <w:r>
              <w:t>11.26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37.15</w:t>
            </w:r>
          </w:p>
        </w:tc>
        <w:tc>
          <w:tcPr>
            <w:tcW w:w="2551" w:type="dxa"/>
            <w:vAlign w:val="center"/>
          </w:tcPr>
          <w:p>
            <w:pPr>
              <w:pStyle w:val="11"/>
            </w:pPr>
            <w:r>
              <w:t>37.15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78.13</w:t>
            </w:r>
          </w:p>
        </w:tc>
        <w:tc>
          <w:tcPr>
            <w:tcW w:w="2551" w:type="dxa"/>
            <w:vAlign w:val="center"/>
          </w:tcPr>
          <w:p>
            <w:pPr>
              <w:pStyle w:val="11"/>
            </w:pPr>
            <w:r>
              <w:t>78.13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39.06</w:t>
            </w:r>
          </w:p>
        </w:tc>
        <w:tc>
          <w:tcPr>
            <w:tcW w:w="2551" w:type="dxa"/>
            <w:vAlign w:val="center"/>
          </w:tcPr>
          <w:p>
            <w:pPr>
              <w:pStyle w:val="11"/>
            </w:pPr>
            <w:r>
              <w:t>39.06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43.69</w:t>
            </w:r>
          </w:p>
        </w:tc>
        <w:tc>
          <w:tcPr>
            <w:tcW w:w="2551" w:type="dxa"/>
            <w:vAlign w:val="center"/>
          </w:tcPr>
          <w:p>
            <w:pPr>
              <w:pStyle w:val="11"/>
            </w:pPr>
            <w:r>
              <w:t>43.69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85.74</w:t>
            </w:r>
          </w:p>
        </w:tc>
        <w:tc>
          <w:tcPr>
            <w:tcW w:w="2551" w:type="dxa"/>
            <w:vAlign w:val="center"/>
          </w:tcPr>
          <w:p>
            <w:pPr>
              <w:pStyle w:val="11"/>
            </w:pPr>
            <w:r>
              <w:t>85.74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96.34</w:t>
            </w:r>
          </w:p>
        </w:tc>
        <w:tc>
          <w:tcPr>
            <w:tcW w:w="2551" w:type="dxa"/>
            <w:vAlign w:val="center"/>
          </w:tcPr>
          <w:p>
            <w:pPr>
              <w:pStyle w:val="11"/>
            </w:pPr>
          </w:p>
        </w:tc>
        <w:tc>
          <w:tcPr>
            <w:tcW w:w="2551" w:type="dxa"/>
            <w:vAlign w:val="center"/>
          </w:tcPr>
          <w:p>
            <w:pPr>
              <w:pStyle w:val="11"/>
            </w:pPr>
            <w:r>
              <w:t>96.34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75.70</w:t>
            </w:r>
          </w:p>
        </w:tc>
        <w:tc>
          <w:tcPr>
            <w:tcW w:w="2551" w:type="dxa"/>
            <w:vAlign w:val="center"/>
          </w:tcPr>
          <w:p>
            <w:pPr>
              <w:pStyle w:val="11"/>
            </w:pPr>
          </w:p>
        </w:tc>
        <w:tc>
          <w:tcPr>
            <w:tcW w:w="2551" w:type="dxa"/>
            <w:vAlign w:val="center"/>
          </w:tcPr>
          <w:p>
            <w:pPr>
              <w:pStyle w:val="11"/>
            </w:pPr>
            <w:r>
              <w:t>75.70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20.64</w:t>
            </w:r>
          </w:p>
        </w:tc>
        <w:tc>
          <w:tcPr>
            <w:tcW w:w="2551" w:type="dxa"/>
            <w:vAlign w:val="center"/>
          </w:tcPr>
          <w:p>
            <w:pPr>
              <w:pStyle w:val="11"/>
            </w:pPr>
          </w:p>
        </w:tc>
        <w:tc>
          <w:tcPr>
            <w:tcW w:w="2551" w:type="dxa"/>
            <w:vAlign w:val="center"/>
          </w:tcPr>
          <w:p>
            <w:pPr>
              <w:pStyle w:val="11"/>
            </w:pPr>
            <w:r>
              <w:t>20.64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1.31</w:t>
            </w:r>
          </w:p>
        </w:tc>
        <w:tc>
          <w:tcPr>
            <w:tcW w:w="2551" w:type="dxa"/>
            <w:vAlign w:val="center"/>
          </w:tcPr>
          <w:p>
            <w:pPr>
              <w:pStyle w:val="11"/>
            </w:pPr>
            <w:r>
              <w:t>1.31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1.31</w:t>
            </w:r>
          </w:p>
        </w:tc>
        <w:tc>
          <w:tcPr>
            <w:tcW w:w="2551" w:type="dxa"/>
            <w:vAlign w:val="center"/>
          </w:tcPr>
          <w:p>
            <w:pPr>
              <w:pStyle w:val="11"/>
            </w:pPr>
            <w:r>
              <w:t>1.31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333魏县住房和城乡建设局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1360.00</w:t>
            </w:r>
          </w:p>
        </w:tc>
        <w:tc>
          <w:tcPr>
            <w:tcW w:w="2551" w:type="dxa"/>
            <w:vAlign w:val="center"/>
          </w:tcPr>
          <w:p>
            <w:pPr>
              <w:pStyle w:val="15"/>
            </w:pPr>
          </w:p>
        </w:tc>
        <w:tc>
          <w:tcPr>
            <w:tcW w:w="2551" w:type="dxa"/>
            <w:vAlign w:val="center"/>
          </w:tcPr>
          <w:p>
            <w:pPr>
              <w:pStyle w:val="15"/>
            </w:pPr>
            <w:r>
              <w:t>1360.00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1360.00</w:t>
            </w:r>
          </w:p>
        </w:tc>
        <w:tc>
          <w:tcPr>
            <w:tcW w:w="2551" w:type="dxa"/>
            <w:vAlign w:val="center"/>
          </w:tcPr>
          <w:p>
            <w:pPr>
              <w:pStyle w:val="11"/>
            </w:pPr>
          </w:p>
        </w:tc>
        <w:tc>
          <w:tcPr>
            <w:tcW w:w="2551" w:type="dxa"/>
            <w:vAlign w:val="center"/>
          </w:tcPr>
          <w:p>
            <w:pPr>
              <w:pStyle w:val="11"/>
            </w:pPr>
            <w:r>
              <w:t>1360.00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1360.00</w:t>
            </w:r>
          </w:p>
        </w:tc>
        <w:tc>
          <w:tcPr>
            <w:tcW w:w="2551" w:type="dxa"/>
            <w:vAlign w:val="center"/>
          </w:tcPr>
          <w:p>
            <w:pPr>
              <w:pStyle w:val="11"/>
            </w:pPr>
          </w:p>
        </w:tc>
        <w:tc>
          <w:tcPr>
            <w:tcW w:w="2551" w:type="dxa"/>
            <w:vAlign w:val="center"/>
          </w:tcPr>
          <w:p>
            <w:pPr>
              <w:pStyle w:val="11"/>
            </w:pPr>
            <w:r>
              <w:t>1360.00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2120810</w:t>
            </w:r>
          </w:p>
        </w:tc>
        <w:tc>
          <w:tcPr>
            <w:tcW w:w="4535" w:type="dxa"/>
            <w:vAlign w:val="center"/>
          </w:tcPr>
          <w:p>
            <w:pPr>
              <w:pStyle w:val="12"/>
            </w:pPr>
            <w:r>
              <w:t>棚户区改造支出</w:t>
            </w:r>
          </w:p>
        </w:tc>
        <w:tc>
          <w:tcPr>
            <w:tcW w:w="2551" w:type="dxa"/>
            <w:vAlign w:val="center"/>
          </w:tcPr>
          <w:p>
            <w:pPr>
              <w:pStyle w:val="11"/>
            </w:pPr>
            <w:r>
              <w:t>1360.00</w:t>
            </w:r>
          </w:p>
        </w:tc>
        <w:tc>
          <w:tcPr>
            <w:tcW w:w="2551" w:type="dxa"/>
            <w:vAlign w:val="center"/>
          </w:tcPr>
          <w:p>
            <w:pPr>
              <w:pStyle w:val="11"/>
            </w:pPr>
          </w:p>
        </w:tc>
        <w:tc>
          <w:tcPr>
            <w:tcW w:w="2551" w:type="dxa"/>
            <w:vAlign w:val="center"/>
          </w:tcPr>
          <w:p>
            <w:pPr>
              <w:pStyle w:val="11"/>
            </w:pPr>
            <w:r>
              <w:t>1360.00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333魏县住房和城乡建设局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333魏县住房和城乡建设局</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魏县住房和城乡建设局2022年部门预算信息公开情况说明</w:t>
      </w:r>
    </w:p>
    <w:p>
      <w:pPr>
        <w:jc w:val="center"/>
      </w:pPr>
      <w:r>
        <w:rPr>
          <w:rFonts w:ascii="方正小标宋_GBK" w:hAnsi="方正小标宋_GBK" w:eastAsia="方正小标宋_GBK" w:cs="方正小标宋_GBK"/>
          <w:color w:val="000000"/>
          <w:sz w:val="44"/>
        </w:rPr>
        <w:t>魏县住房和城乡建设局2022年部门预算信息公开情况说明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按照《预算法》、《地方预决算公开操作规程》和《关于进一步推进预算公开工作的实施意见》规定，现将魏县住房和城乡建设局2022年部门预算公开如下：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根据《魏县住房和城乡建设局职能配置、内设机构和人员编制方案》规定，住建局的主要职责是：贯彻落实党中央、省、市、县关于城乡建设工作的方针政策和决策部署，坚持和加强党对城乡建设工作的集中统一领导；贯彻执行国家、省、市有关城乡建设的方针、政策和法律、法规；负责推行工程建设标准，组织实施工程建设实施阶段的国家标准、全国统一的行业标准及工程建设地方标准；负责建筑市场的监督管理；负责建筑工程质量安全监管；负责房地产市场的监督管理；指导城乡建设工作；指导村镇建设；负责民用建筑节能、墙体材料革新和工业废渣综合利用管理工作；负责全县建设工程抗震设防工作；开展城乡建设方面的对外交流与合作；负责全县房屋建筑和市政基础设施建设领域清欠工作的协调督导，指导全县房屋建筑和市政基础设施建设领域拖欠工程款和农民工工资的整体工作；负责全县建立和完善住房保障体系的指导工作，编制保障性住房年度计划；负责全县房产交易市场管理；负责拟定房屋交易、房屋租赁、房地产评估价与经纪管理、物业管理的规章制度并监督实施，指导监督房屋产权管理等工作；负责全县房屋安全鉴定管理和住宅室内装饰装修管理工作；负责指导全县住宅专项维修资金的管理工作；组织开展全县人民防空信息化建设，指导各地人民防空信息系统建设、使用、维护和管理，组织开展人民防空警报体系建设和警报试鸣工作；负责县中心城区的城市综合管理工作；负责全县范围内燃气、污水处理，以及中心城区供热、垃圾处理等市政公用事业及相关经营活动特许经营的管理；负责县中心城区市政设施管理工作；负责县中心城区的园林绿化管理工作；负责指导协调县中心城区的市容市貌、城市环境综合整治工作和城市管理重大活动；承办县人大代表建议和县政协提案工作，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魏县住房和城乡建设局本级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魏县住房和城乡建设局（差额）</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魏县污水处理厂</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魏祠公园</w:t>
            </w:r>
          </w:p>
        </w:tc>
        <w:tc>
          <w:tcPr>
            <w:tcW w:w="1843" w:type="dxa"/>
            <w:vAlign w:val="center"/>
          </w:tcPr>
          <w:p>
            <w:pPr>
              <w:pStyle w:val="13"/>
            </w:pPr>
            <w:r>
              <w:t>事业</w:t>
            </w:r>
          </w:p>
        </w:tc>
        <w:tc>
          <w:tcPr>
            <w:tcW w:w="2126" w:type="dxa"/>
            <w:vAlign w:val="center"/>
          </w:tcPr>
          <w:p>
            <w:pPr>
              <w:pStyle w:val="13"/>
            </w:pPr>
            <w:r>
              <w:t>副科级</w:t>
            </w:r>
          </w:p>
        </w:tc>
        <w:tc>
          <w:tcPr>
            <w:tcW w:w="3827" w:type="dxa"/>
            <w:vAlign w:val="center"/>
          </w:tcPr>
          <w:p>
            <w:pPr>
              <w:pStyle w:val="13"/>
            </w:pPr>
            <w:r>
              <w:t>其他</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部门预算的编制实行综合预算管理，即全部收入和支出都反映在预算中。魏县住房和城乡建设局机关及所属事业单位的收支包含在部门预算中。</w:t>
      </w:r>
    </w:p>
    <w:p>
      <w:pPr>
        <w:pStyle w:val="18"/>
      </w:pPr>
      <w:r>
        <w:t>1、收入说明：2022 年收入预算共计13767.33万元，全部为财政拨款收入。</w:t>
      </w:r>
    </w:p>
    <w:p>
      <w:pPr>
        <w:pStyle w:val="18"/>
      </w:pPr>
      <w:r>
        <w:t>2、支出说明：2022年支出预算共计13767.33万元。其中，人员经费支出预算4005.39万元，公用经费支出预算96.34万元，项目支出</w:t>
      </w:r>
      <w:r>
        <w:rPr>
          <w:rFonts w:hint="eastAsia"/>
          <w:lang w:val="en-US" w:eastAsia="zh-CN"/>
        </w:rPr>
        <w:t>9665.6</w:t>
      </w:r>
      <w:r>
        <w:t>万元。</w:t>
      </w:r>
    </w:p>
    <w:p>
      <w:pPr>
        <w:pStyle w:val="18"/>
      </w:pPr>
      <w:r>
        <w:t>3、比上年增减情况：经过对比测算，2022年预算收支比2021年减少14419万元。主要是：2022年项目安排减少，主要原因是2022年较2021年大气污染防治项目任务量大幅减少。</w:t>
      </w:r>
    </w:p>
    <w:p>
      <w:pPr>
        <w:pStyle w:val="18"/>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机关运行经费共计安排</w:t>
      </w:r>
      <w:r>
        <w:rPr>
          <w:rFonts w:hint="eastAsia"/>
          <w:lang w:val="en-US" w:eastAsia="zh-CN"/>
        </w:rPr>
        <w:t>96.34</w:t>
      </w:r>
      <w:r>
        <w:t>万元。机关运行经费主要用于保证正常办公的基本需要和维持单位日常业务运转，包括：办公费、邮电费、差旅费、福利费、手续费、公务接待费、工会经费、公务用车运行维护费和离退休干部经费。</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2022年，财政拨款“三公”经费预算安排0万元，其中因公出国(境)费0万元,与上年持平；公务用车购置及运维费0万元,其中：公务用车购置费为0万元，公务用车运行费0万元，增加0万元，与上年持平；公务接待费0万元，与上年持平。主要原因是，我局按照上级“过紧日子”思想要求，大力压减“三公”经费支出，已将各项支出降到最低限度，故本年未再做压减。</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1、集中人力物力，加快新区建设</w:t>
      </w:r>
    </w:p>
    <w:p>
      <w:pPr>
        <w:pStyle w:val="21"/>
      </w:pPr>
      <w:r>
        <w:t>2、修建道路拆迁。</w:t>
      </w:r>
    </w:p>
    <w:p>
      <w:pPr>
        <w:pStyle w:val="21"/>
      </w:pPr>
      <w:r>
        <w:t>3、亿丰时代广场。</w:t>
      </w:r>
    </w:p>
    <w:p>
      <w:pPr>
        <w:pStyle w:val="21"/>
      </w:pPr>
      <w:r>
        <w:t>4、高标准、严要求，推进鑫城广场建设进度。</w:t>
      </w:r>
    </w:p>
    <w:p>
      <w:pPr>
        <w:pStyle w:val="21"/>
      </w:pPr>
      <w:r>
        <w:t>5、按照城市主体规划，选出合理位置，再建设5个公园，进一步提高园林绿化建设水平。</w:t>
      </w:r>
    </w:p>
    <w:p>
      <w:pPr>
        <w:pStyle w:val="21"/>
      </w:pPr>
      <w:r>
        <w:t>6、完善供热设施配套。</w:t>
      </w:r>
    </w:p>
    <w:p>
      <w:pPr>
        <w:pStyle w:val="21"/>
      </w:pPr>
      <w:r>
        <w:t>7、创新思想理念，积极打造绿化精品</w:t>
      </w:r>
    </w:p>
    <w:p>
      <w:pPr>
        <w:pStyle w:val="21"/>
      </w:pPr>
      <w:r>
        <w:t>8、建筑工地扬尘治理。</w:t>
      </w:r>
    </w:p>
    <w:p>
      <w:pPr>
        <w:pStyle w:val="21"/>
      </w:pPr>
      <w:r>
        <w:t>9、进一步加强相关制度建设。</w:t>
      </w:r>
    </w:p>
    <w:p>
      <w:pPr>
        <w:pStyle w:val="21"/>
      </w:pPr>
      <w:r>
        <w:t>我局将围绕县中心工作，以机构改革为新的起点，全面建立健全城市管理运行机制，规范城市治理秩序，补短板、重规范，开创城市管理工作新局面。</w:t>
      </w:r>
    </w:p>
    <w:p>
      <w:pPr>
        <w:spacing w:line="500" w:lineRule="exact"/>
        <w:ind w:firstLine="560"/>
      </w:pPr>
      <w:r>
        <w:rPr>
          <w:rFonts w:eastAsia="方正仿宋_GBK"/>
          <w:color w:val="000000"/>
          <w:sz w:val="28"/>
        </w:rPr>
        <w:t>（二）分项绩效目标</w:t>
      </w:r>
    </w:p>
    <w:p>
      <w:pPr>
        <w:pStyle w:val="22"/>
      </w:pPr>
      <w:r>
        <w:t>1、加快推进估全长11.5公里的梨乡大街南延（天安大道至益民河）、天雨路（万泉大街至魏源河）、礼贤街南延（洹水大道至益民河）等3条街（路）建设，完成前期准备工作。</w:t>
      </w:r>
    </w:p>
    <w:p>
      <w:pPr>
        <w:pStyle w:val="22"/>
      </w:pPr>
      <w:r>
        <w:t>2、新区建设需征迁改造的有5个村，其中，梨乡大街南延和礼贤街南延涉及岗井村、杜町村、康町村征迁，广源街、天雨路和天泽路建设涉及的马庄村整体搬迁、后小寨村征迁。</w:t>
      </w:r>
    </w:p>
    <w:p>
      <w:pPr>
        <w:pStyle w:val="22"/>
      </w:pPr>
      <w:r>
        <w:t>3、项目位于魏都南大街以东、天泽路以北，占地面积200亩，建筑面积30万平方米，主要建设多种业态的品牌博览商贸城，采用社会投资的方式实施建设。</w:t>
      </w:r>
    </w:p>
    <w:p>
      <w:pPr>
        <w:pStyle w:val="22"/>
      </w:pPr>
      <w:r>
        <w:t>4、鑫城广场占地面积约200亩，总建筑面积达70多万平方米，主要建设京伦大酒店、高档购物中心等。</w:t>
      </w:r>
    </w:p>
    <w:p>
      <w:pPr>
        <w:pStyle w:val="22"/>
      </w:pPr>
      <w:r>
        <w:t>5、按照城市主体规划，选出合理位置，再建设5个公园，进一步提高园林绿化建设水平。</w:t>
      </w:r>
    </w:p>
    <w:p>
      <w:pPr>
        <w:spacing w:line="500" w:lineRule="exact"/>
        <w:ind w:firstLine="560"/>
      </w:pPr>
      <w:r>
        <w:rPr>
          <w:rFonts w:eastAsia="方正仿宋_GBK"/>
          <w:color w:val="000000"/>
          <w:sz w:val="28"/>
        </w:rPr>
        <w:t>（三）工作保障措施</w:t>
      </w:r>
    </w:p>
    <w:p>
      <w:pPr>
        <w:pStyle w:val="23"/>
      </w:pPr>
      <w:r>
        <w:t>1、精细管理，克难攻坚。大力实施市容环境综合整治，全面推行网格化管理，在城区内全面开展市容市貌大整治活动，坚决拔掉长期违规的“钉子户”“痞子户”，严厉打击各类影响城市容貌和与城市发展不相适应的行为。</w:t>
      </w:r>
    </w:p>
    <w:p>
      <w:pPr>
        <w:pStyle w:val="23"/>
      </w:pPr>
      <w:r>
        <w:t>2、稳步管理，常抓不懈。充实一线执法力量，以街道路灯杆为依托划分单元网格，将“市容执法、环卫督导、数字化巡查”融为一体，形成快速发现、快速处置确保长效管理的模式。同时，全力推进广告牌匾拆除进度，优化提升城市空间。</w:t>
      </w:r>
    </w:p>
    <w:p>
      <w:pPr>
        <w:pStyle w:val="23"/>
      </w:pPr>
      <w:r>
        <w:t>3、强化责任，降低扬尘。扎实做好露天烧烤取缔、限高设施看护、大车进城管控、工地施工围挡、施工车辆冲洗、环卫车辆抑尘等工作，全面加大执法中队责任落实，全力提高我县空气质量，为全面提升城市精细化管理水平提供有力保障。</w:t>
      </w:r>
    </w:p>
    <w:p>
      <w:pPr>
        <w:pStyle w:val="23"/>
      </w:pPr>
    </w:p>
    <w:p>
      <w:pPr>
        <w:numPr>
          <w:ilvl w:val="0"/>
          <w:numId w:val="1"/>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numId w:val="0"/>
        </w:numPr>
        <w:rPr>
          <w:rFonts w:ascii="方正楷体_GBK" w:hAnsi="方正楷体_GBK" w:eastAsia="方正楷体_GBK" w:cs="方正楷体_GBK"/>
          <w:b/>
          <w:color w:val="000000"/>
          <w:sz w:val="32"/>
        </w:rPr>
      </w:pPr>
    </w:p>
    <w:p>
      <w:pPr>
        <w:numPr>
          <w:numId w:val="0"/>
        </w:numPr>
        <w:rPr>
          <w:rFonts w:hint="default" w:ascii="方正楷体_GBK" w:hAnsi="方正楷体_GBK" w:eastAsia="方正楷体_GBK" w:cs="方正楷体_GBK"/>
          <w:b/>
          <w:color w:val="000000"/>
          <w:sz w:val="32"/>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val="en-US" w:eastAsia="zh-CN"/>
        </w:rPr>
        <w:t xml:space="preserve">    </w:t>
      </w:r>
      <w:r>
        <w:rPr>
          <w:rFonts w:hint="eastAsia" w:ascii="方正楷体_GBK" w:hAnsi="方正楷体_GBK" w:eastAsia="方正楷体_GBK" w:cs="方正楷体_GBK"/>
          <w:b w:val="0"/>
          <w:bCs/>
          <w:color w:val="000000"/>
          <w:sz w:val="28"/>
          <w:szCs w:val="28"/>
          <w:lang w:val="en-US" w:eastAsia="zh-CN"/>
        </w:rPr>
        <w:t>无</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1、2002年人民防空经费绩效目标表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1.人防人员工资及日常运行公用经费</w:t>
            </w:r>
          </w:p>
          <w:p>
            <w:pPr>
              <w:pStyle w:val="12"/>
            </w:pPr>
            <w:r>
              <w:t>2.防空通信警报设备维护</w:t>
            </w:r>
          </w:p>
          <w:p>
            <w:pPr>
              <w:pStyle w:val="12"/>
            </w:pPr>
            <w:r>
              <w:t>3.宣传人防知识、组织人防演练。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人防办人数</w:t>
            </w:r>
          </w:p>
        </w:tc>
        <w:tc>
          <w:tcPr>
            <w:tcW w:w="2835" w:type="dxa"/>
            <w:vAlign w:val="center"/>
          </w:tcPr>
          <w:p>
            <w:pPr>
              <w:pStyle w:val="12"/>
            </w:pPr>
            <w:r>
              <w:t>人防办人员数量</w:t>
            </w:r>
          </w:p>
        </w:tc>
        <w:tc>
          <w:tcPr>
            <w:tcW w:w="2551" w:type="dxa"/>
            <w:vAlign w:val="center"/>
          </w:tcPr>
          <w:p>
            <w:pPr>
              <w:pStyle w:val="12"/>
            </w:pPr>
            <w:r>
              <w:t>20人</w:t>
            </w:r>
          </w:p>
        </w:tc>
        <w:tc>
          <w:tcPr>
            <w:tcW w:w="2268" w:type="dxa"/>
            <w:vAlign w:val="center"/>
          </w:tcPr>
          <w:p>
            <w:pPr>
              <w:pStyle w:val="12"/>
            </w:pPr>
            <w:r>
              <w:t>根据实际情况制定标准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全年工资总数</w:t>
            </w:r>
          </w:p>
        </w:tc>
        <w:tc>
          <w:tcPr>
            <w:tcW w:w="2835" w:type="dxa"/>
            <w:vAlign w:val="center"/>
          </w:tcPr>
          <w:p>
            <w:pPr>
              <w:pStyle w:val="12"/>
            </w:pPr>
            <w:r>
              <w:t>全年工资总数</w:t>
            </w:r>
          </w:p>
        </w:tc>
        <w:tc>
          <w:tcPr>
            <w:tcW w:w="2551" w:type="dxa"/>
            <w:vAlign w:val="center"/>
          </w:tcPr>
          <w:p>
            <w:pPr>
              <w:pStyle w:val="12"/>
            </w:pPr>
            <w:r>
              <w:t>≥72万元</w:t>
            </w:r>
          </w:p>
        </w:tc>
        <w:tc>
          <w:tcPr>
            <w:tcW w:w="2268" w:type="dxa"/>
            <w:vAlign w:val="center"/>
          </w:tcPr>
          <w:p>
            <w:pPr>
              <w:pStyle w:val="12"/>
            </w:pPr>
            <w:r>
              <w:t>根据实际情况制定标准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按规定时限发放工资、缴纳保险</w:t>
            </w:r>
          </w:p>
        </w:tc>
        <w:tc>
          <w:tcPr>
            <w:tcW w:w="2835" w:type="dxa"/>
            <w:vAlign w:val="center"/>
          </w:tcPr>
          <w:p>
            <w:pPr>
              <w:pStyle w:val="12"/>
            </w:pPr>
            <w:r>
              <w:t>按规定时限发放工资、缴纳保险</w:t>
            </w:r>
          </w:p>
        </w:tc>
        <w:tc>
          <w:tcPr>
            <w:tcW w:w="2551" w:type="dxa"/>
            <w:vAlign w:val="center"/>
          </w:tcPr>
          <w:p>
            <w:pPr>
              <w:pStyle w:val="12"/>
            </w:pPr>
            <w:r>
              <w:t>每月及时发放</w:t>
            </w:r>
          </w:p>
        </w:tc>
        <w:tc>
          <w:tcPr>
            <w:tcW w:w="2268" w:type="dxa"/>
            <w:vAlign w:val="center"/>
          </w:tcPr>
          <w:p>
            <w:pPr>
              <w:pStyle w:val="12"/>
            </w:pPr>
            <w:r>
              <w:t>根据实际情况制定标准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人均发放水平</w:t>
            </w:r>
          </w:p>
        </w:tc>
        <w:tc>
          <w:tcPr>
            <w:tcW w:w="2835" w:type="dxa"/>
            <w:vAlign w:val="center"/>
          </w:tcPr>
          <w:p>
            <w:pPr>
              <w:pStyle w:val="12"/>
            </w:pPr>
            <w:r>
              <w:t>人均发放水平</w:t>
            </w:r>
          </w:p>
        </w:tc>
        <w:tc>
          <w:tcPr>
            <w:tcW w:w="2551" w:type="dxa"/>
            <w:vAlign w:val="center"/>
          </w:tcPr>
          <w:p>
            <w:pPr>
              <w:pStyle w:val="12"/>
            </w:pPr>
            <w:r>
              <w:t>正常发放工资的同时节约成本</w:t>
            </w:r>
          </w:p>
        </w:tc>
        <w:tc>
          <w:tcPr>
            <w:tcW w:w="2268" w:type="dxa"/>
            <w:vAlign w:val="center"/>
          </w:tcPr>
          <w:p>
            <w:pPr>
              <w:pStyle w:val="12"/>
            </w:pPr>
            <w:r>
              <w:t>根据实际情况制定标准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组织主题宣传活动场次</w:t>
            </w:r>
          </w:p>
        </w:tc>
        <w:tc>
          <w:tcPr>
            <w:tcW w:w="2835" w:type="dxa"/>
            <w:vAlign w:val="center"/>
          </w:tcPr>
          <w:p>
            <w:pPr>
              <w:pStyle w:val="12"/>
            </w:pPr>
            <w:r>
              <w:t>组织主题宣传活动场次</w:t>
            </w:r>
          </w:p>
        </w:tc>
        <w:tc>
          <w:tcPr>
            <w:tcW w:w="2551" w:type="dxa"/>
            <w:vAlign w:val="center"/>
          </w:tcPr>
          <w:p>
            <w:pPr>
              <w:pStyle w:val="12"/>
            </w:pPr>
            <w:r>
              <w:t>≥4次</w:t>
            </w:r>
          </w:p>
        </w:tc>
        <w:tc>
          <w:tcPr>
            <w:tcW w:w="2268" w:type="dxa"/>
            <w:vAlign w:val="center"/>
          </w:tcPr>
          <w:p>
            <w:pPr>
              <w:pStyle w:val="12"/>
            </w:pPr>
            <w:r>
              <w:t>根据实际情况制定标准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宣传目标完成率</w:t>
            </w:r>
          </w:p>
        </w:tc>
        <w:tc>
          <w:tcPr>
            <w:tcW w:w="2835" w:type="dxa"/>
            <w:vAlign w:val="center"/>
          </w:tcPr>
          <w:p>
            <w:pPr>
              <w:pStyle w:val="12"/>
            </w:pPr>
            <w:r>
              <w:t>宣传目标完成率</w:t>
            </w:r>
          </w:p>
        </w:tc>
        <w:tc>
          <w:tcPr>
            <w:tcW w:w="2551" w:type="dxa"/>
            <w:vAlign w:val="center"/>
          </w:tcPr>
          <w:p>
            <w:pPr>
              <w:pStyle w:val="12"/>
            </w:pPr>
            <w:r>
              <w:t>≥95%</w:t>
            </w:r>
          </w:p>
        </w:tc>
        <w:tc>
          <w:tcPr>
            <w:tcW w:w="2268" w:type="dxa"/>
            <w:vAlign w:val="center"/>
          </w:tcPr>
          <w:p>
            <w:pPr>
              <w:pStyle w:val="12"/>
            </w:pPr>
            <w:r>
              <w:t>根据实际情况制定标准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宣传、活动完成时间</w:t>
            </w:r>
          </w:p>
        </w:tc>
        <w:tc>
          <w:tcPr>
            <w:tcW w:w="2835" w:type="dxa"/>
            <w:vAlign w:val="center"/>
          </w:tcPr>
          <w:p>
            <w:pPr>
              <w:pStyle w:val="12"/>
            </w:pPr>
            <w:r>
              <w:t>宣传、活动完成时间</w:t>
            </w:r>
          </w:p>
        </w:tc>
        <w:tc>
          <w:tcPr>
            <w:tcW w:w="2551" w:type="dxa"/>
            <w:vAlign w:val="center"/>
          </w:tcPr>
          <w:p>
            <w:pPr>
              <w:pStyle w:val="12"/>
            </w:pPr>
            <w:r>
              <w:t>5月12日；7月7日；9月底；10月31日</w:t>
            </w:r>
          </w:p>
        </w:tc>
        <w:tc>
          <w:tcPr>
            <w:tcW w:w="2268" w:type="dxa"/>
            <w:vAlign w:val="center"/>
          </w:tcPr>
          <w:p>
            <w:pPr>
              <w:pStyle w:val="12"/>
            </w:pPr>
            <w:r>
              <w:t>根据实际情况制定标准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安全宣传总成本</w:t>
            </w:r>
          </w:p>
        </w:tc>
        <w:tc>
          <w:tcPr>
            <w:tcW w:w="2835" w:type="dxa"/>
            <w:vAlign w:val="center"/>
          </w:tcPr>
          <w:p>
            <w:pPr>
              <w:pStyle w:val="12"/>
            </w:pPr>
            <w:r>
              <w:t>安全宣传总成本</w:t>
            </w:r>
          </w:p>
        </w:tc>
        <w:tc>
          <w:tcPr>
            <w:tcW w:w="2551" w:type="dxa"/>
            <w:vAlign w:val="center"/>
          </w:tcPr>
          <w:p>
            <w:pPr>
              <w:pStyle w:val="12"/>
            </w:pPr>
            <w:r>
              <w:t>不影响宣传效果的情况下节省成本</w:t>
            </w:r>
          </w:p>
        </w:tc>
        <w:tc>
          <w:tcPr>
            <w:tcW w:w="2268" w:type="dxa"/>
            <w:vAlign w:val="center"/>
          </w:tcPr>
          <w:p>
            <w:pPr>
              <w:pStyle w:val="12"/>
            </w:pPr>
            <w:r>
              <w:t>根据实际情况制定标准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硬件设备数量</w:t>
            </w:r>
          </w:p>
        </w:tc>
        <w:tc>
          <w:tcPr>
            <w:tcW w:w="2835" w:type="dxa"/>
            <w:vAlign w:val="center"/>
          </w:tcPr>
          <w:p>
            <w:pPr>
              <w:pStyle w:val="12"/>
            </w:pPr>
            <w:r>
              <w:t>防空警报设备的数量</w:t>
            </w:r>
          </w:p>
        </w:tc>
        <w:tc>
          <w:tcPr>
            <w:tcW w:w="2551" w:type="dxa"/>
            <w:vAlign w:val="center"/>
          </w:tcPr>
          <w:p>
            <w:pPr>
              <w:pStyle w:val="12"/>
            </w:pPr>
            <w:r>
              <w:t>26台</w:t>
            </w:r>
          </w:p>
        </w:tc>
        <w:tc>
          <w:tcPr>
            <w:tcW w:w="2268" w:type="dxa"/>
            <w:vAlign w:val="center"/>
          </w:tcPr>
          <w:p>
            <w:pPr>
              <w:pStyle w:val="12"/>
            </w:pPr>
            <w:r>
              <w:t>根据实际情况制定标准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设备仪器完好率（≧**%）</w:t>
            </w:r>
          </w:p>
        </w:tc>
        <w:tc>
          <w:tcPr>
            <w:tcW w:w="2835" w:type="dxa"/>
            <w:vAlign w:val="center"/>
          </w:tcPr>
          <w:p>
            <w:pPr>
              <w:pStyle w:val="12"/>
            </w:pPr>
            <w:r>
              <w:t>设备仪器完好率（≧**%）</w:t>
            </w:r>
          </w:p>
        </w:tc>
        <w:tc>
          <w:tcPr>
            <w:tcW w:w="2551" w:type="dxa"/>
            <w:vAlign w:val="center"/>
          </w:tcPr>
          <w:p>
            <w:pPr>
              <w:pStyle w:val="12"/>
            </w:pPr>
            <w:r>
              <w:t>≥96%</w:t>
            </w:r>
          </w:p>
        </w:tc>
        <w:tc>
          <w:tcPr>
            <w:tcW w:w="2268" w:type="dxa"/>
            <w:vAlign w:val="center"/>
          </w:tcPr>
          <w:p>
            <w:pPr>
              <w:pStyle w:val="12"/>
            </w:pPr>
            <w:r>
              <w:t>根据实际情况制定标准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设备维修及时率</w:t>
            </w:r>
          </w:p>
        </w:tc>
        <w:tc>
          <w:tcPr>
            <w:tcW w:w="2835" w:type="dxa"/>
            <w:vAlign w:val="center"/>
          </w:tcPr>
          <w:p>
            <w:pPr>
              <w:pStyle w:val="12"/>
            </w:pPr>
            <w:r>
              <w:t>设备维修及时率</w:t>
            </w:r>
          </w:p>
        </w:tc>
        <w:tc>
          <w:tcPr>
            <w:tcW w:w="2551" w:type="dxa"/>
            <w:vAlign w:val="center"/>
          </w:tcPr>
          <w:p>
            <w:pPr>
              <w:pStyle w:val="12"/>
            </w:pPr>
            <w:r>
              <w:t>≥97%</w:t>
            </w:r>
          </w:p>
        </w:tc>
        <w:tc>
          <w:tcPr>
            <w:tcW w:w="2268" w:type="dxa"/>
            <w:vAlign w:val="center"/>
          </w:tcPr>
          <w:p>
            <w:pPr>
              <w:pStyle w:val="12"/>
            </w:pPr>
            <w:r>
              <w:t>根据实际情况制定标准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设备维修维护、日常公用成本率</w:t>
            </w:r>
          </w:p>
        </w:tc>
        <w:tc>
          <w:tcPr>
            <w:tcW w:w="2835" w:type="dxa"/>
            <w:vAlign w:val="center"/>
          </w:tcPr>
          <w:p>
            <w:pPr>
              <w:pStyle w:val="12"/>
            </w:pPr>
            <w:r>
              <w:t>防空警报设备维修维护成本率</w:t>
            </w:r>
          </w:p>
        </w:tc>
        <w:tc>
          <w:tcPr>
            <w:tcW w:w="2551" w:type="dxa"/>
            <w:vAlign w:val="center"/>
          </w:tcPr>
          <w:p>
            <w:pPr>
              <w:pStyle w:val="12"/>
            </w:pPr>
            <w:r>
              <w:t>≥96%</w:t>
            </w:r>
          </w:p>
        </w:tc>
        <w:tc>
          <w:tcPr>
            <w:tcW w:w="2268" w:type="dxa"/>
            <w:vAlign w:val="center"/>
          </w:tcPr>
          <w:p>
            <w:pPr>
              <w:pStyle w:val="12"/>
            </w:pPr>
            <w:r>
              <w:t>根据实际情况制定标准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通过宣传组织和指导防空安全生产</w:t>
            </w:r>
          </w:p>
        </w:tc>
        <w:tc>
          <w:tcPr>
            <w:tcW w:w="2835" w:type="dxa"/>
            <w:vAlign w:val="center"/>
          </w:tcPr>
          <w:p>
            <w:pPr>
              <w:pStyle w:val="12"/>
            </w:pPr>
            <w:r>
              <w:t>通过宣传组织和指导防空安全生产</w:t>
            </w:r>
          </w:p>
        </w:tc>
        <w:tc>
          <w:tcPr>
            <w:tcW w:w="2551" w:type="dxa"/>
            <w:vAlign w:val="center"/>
          </w:tcPr>
          <w:p>
            <w:pPr>
              <w:pStyle w:val="12"/>
            </w:pPr>
            <w:r>
              <w:t>达到预期效果</w:t>
            </w:r>
          </w:p>
        </w:tc>
        <w:tc>
          <w:tcPr>
            <w:tcW w:w="2268" w:type="dxa"/>
            <w:vAlign w:val="center"/>
          </w:tcPr>
          <w:p>
            <w:pPr>
              <w:pStyle w:val="12"/>
            </w:pPr>
            <w:r>
              <w:t>根据实际情况制定标准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宣传教育率</w:t>
            </w:r>
          </w:p>
        </w:tc>
        <w:tc>
          <w:tcPr>
            <w:tcW w:w="2835" w:type="dxa"/>
            <w:vAlign w:val="center"/>
          </w:tcPr>
          <w:p>
            <w:pPr>
              <w:pStyle w:val="12"/>
            </w:pPr>
            <w:r>
              <w:t>宣传人防知识教育率</w:t>
            </w:r>
          </w:p>
        </w:tc>
        <w:tc>
          <w:tcPr>
            <w:tcW w:w="2551" w:type="dxa"/>
            <w:vAlign w:val="center"/>
          </w:tcPr>
          <w:p>
            <w:pPr>
              <w:pStyle w:val="12"/>
            </w:pPr>
            <w:r>
              <w:t>≥96%</w:t>
            </w:r>
          </w:p>
        </w:tc>
        <w:tc>
          <w:tcPr>
            <w:tcW w:w="2268" w:type="dxa"/>
            <w:vAlign w:val="center"/>
          </w:tcPr>
          <w:p>
            <w:pPr>
              <w:pStyle w:val="12"/>
            </w:pPr>
            <w:r>
              <w:t>根据实际情况制定标准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≥96%</w:t>
            </w:r>
          </w:p>
        </w:tc>
        <w:tc>
          <w:tcPr>
            <w:tcW w:w="2268" w:type="dxa"/>
            <w:vAlign w:val="center"/>
          </w:tcPr>
          <w:p>
            <w:pPr>
              <w:pStyle w:val="12"/>
            </w:pPr>
            <w:r>
              <w:t>根据实际回访情况确定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2、2022年城市公用事业支出绩效目标表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1.县城80余公里道路、排水管网、便道等市政设施及时维修维护。</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维护道路里程、面积</w:t>
            </w:r>
          </w:p>
        </w:tc>
        <w:tc>
          <w:tcPr>
            <w:tcW w:w="2835" w:type="dxa"/>
            <w:vAlign w:val="center"/>
          </w:tcPr>
          <w:p>
            <w:pPr>
              <w:pStyle w:val="12"/>
            </w:pPr>
            <w:r>
              <w:t>维护道路里程、面积</w:t>
            </w:r>
          </w:p>
        </w:tc>
        <w:tc>
          <w:tcPr>
            <w:tcW w:w="2551" w:type="dxa"/>
            <w:vAlign w:val="center"/>
          </w:tcPr>
          <w:p>
            <w:pPr>
              <w:pStyle w:val="12"/>
            </w:pPr>
            <w:r>
              <w:t>≥80公里</w:t>
            </w:r>
          </w:p>
        </w:tc>
        <w:tc>
          <w:tcPr>
            <w:tcW w:w="2268" w:type="dxa"/>
            <w:vAlign w:val="center"/>
          </w:tcPr>
          <w:p>
            <w:pPr>
              <w:pStyle w:val="12"/>
            </w:pPr>
            <w:r>
              <w:t>根据实际里程确定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基础设施验收通过率（%）</w:t>
            </w:r>
          </w:p>
        </w:tc>
        <w:tc>
          <w:tcPr>
            <w:tcW w:w="2835" w:type="dxa"/>
            <w:vAlign w:val="center"/>
          </w:tcPr>
          <w:p>
            <w:pPr>
              <w:pStyle w:val="12"/>
            </w:pPr>
            <w:r>
              <w:t>基础设施验收通过率（%）</w:t>
            </w:r>
          </w:p>
        </w:tc>
        <w:tc>
          <w:tcPr>
            <w:tcW w:w="2551" w:type="dxa"/>
            <w:vAlign w:val="center"/>
          </w:tcPr>
          <w:p>
            <w:pPr>
              <w:pStyle w:val="12"/>
            </w:pPr>
            <w:r>
              <w:t>≥98%</w:t>
            </w:r>
          </w:p>
        </w:tc>
        <w:tc>
          <w:tcPr>
            <w:tcW w:w="2268" w:type="dxa"/>
            <w:vAlign w:val="center"/>
          </w:tcPr>
          <w:p>
            <w:pPr>
              <w:pStyle w:val="12"/>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2835" w:type="dxa"/>
            <w:vAlign w:val="center"/>
          </w:tcPr>
          <w:p>
            <w:pPr>
              <w:pStyle w:val="12"/>
            </w:pPr>
            <w:r>
              <w:t>根据年初预算及工作需要及时支付</w:t>
            </w:r>
          </w:p>
        </w:tc>
        <w:tc>
          <w:tcPr>
            <w:tcW w:w="2551" w:type="dxa"/>
            <w:vAlign w:val="center"/>
          </w:tcPr>
          <w:p>
            <w:pPr>
              <w:pStyle w:val="12"/>
            </w:pPr>
            <w:r>
              <w:t>≥97%</w:t>
            </w:r>
          </w:p>
        </w:tc>
        <w:tc>
          <w:tcPr>
            <w:tcW w:w="2268" w:type="dxa"/>
            <w:vAlign w:val="center"/>
          </w:tcPr>
          <w:p>
            <w:pPr>
              <w:pStyle w:val="12"/>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成本控制率(%)</w:t>
            </w:r>
          </w:p>
        </w:tc>
        <w:tc>
          <w:tcPr>
            <w:tcW w:w="2551" w:type="dxa"/>
            <w:vAlign w:val="center"/>
          </w:tcPr>
          <w:p>
            <w:pPr>
              <w:pStyle w:val="12"/>
            </w:pPr>
            <w:r>
              <w:t>≥96%</w:t>
            </w:r>
          </w:p>
        </w:tc>
        <w:tc>
          <w:tcPr>
            <w:tcW w:w="2268" w:type="dxa"/>
            <w:vAlign w:val="center"/>
          </w:tcPr>
          <w:p>
            <w:pPr>
              <w:pStyle w:val="12"/>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设施完好率(％)</w:t>
            </w:r>
          </w:p>
        </w:tc>
        <w:tc>
          <w:tcPr>
            <w:tcW w:w="2835" w:type="dxa"/>
            <w:vAlign w:val="center"/>
          </w:tcPr>
          <w:p>
            <w:pPr>
              <w:pStyle w:val="12"/>
            </w:pPr>
            <w:r>
              <w:t>设施完好率(％)</w:t>
            </w:r>
          </w:p>
        </w:tc>
        <w:tc>
          <w:tcPr>
            <w:tcW w:w="2551" w:type="dxa"/>
            <w:vAlign w:val="center"/>
          </w:tcPr>
          <w:p>
            <w:pPr>
              <w:pStyle w:val="12"/>
            </w:pPr>
            <w:r>
              <w:t>≥98%</w:t>
            </w:r>
          </w:p>
        </w:tc>
        <w:tc>
          <w:tcPr>
            <w:tcW w:w="2268" w:type="dxa"/>
            <w:vAlign w:val="center"/>
          </w:tcPr>
          <w:p>
            <w:pPr>
              <w:pStyle w:val="12"/>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公路密度增长率</w:t>
            </w:r>
          </w:p>
        </w:tc>
        <w:tc>
          <w:tcPr>
            <w:tcW w:w="2835" w:type="dxa"/>
            <w:vAlign w:val="center"/>
          </w:tcPr>
          <w:p>
            <w:pPr>
              <w:pStyle w:val="12"/>
            </w:pPr>
            <w:r>
              <w:t>公路密度增长率</w:t>
            </w:r>
          </w:p>
        </w:tc>
        <w:tc>
          <w:tcPr>
            <w:tcW w:w="2551" w:type="dxa"/>
            <w:vAlign w:val="center"/>
          </w:tcPr>
          <w:p>
            <w:pPr>
              <w:pStyle w:val="12"/>
            </w:pPr>
            <w:r>
              <w:t>≥98%</w:t>
            </w:r>
          </w:p>
        </w:tc>
        <w:tc>
          <w:tcPr>
            <w:tcW w:w="2268" w:type="dxa"/>
            <w:vAlign w:val="center"/>
          </w:tcPr>
          <w:p>
            <w:pPr>
              <w:pStyle w:val="12"/>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2835" w:type="dxa"/>
            <w:vAlign w:val="center"/>
          </w:tcPr>
          <w:p>
            <w:pPr>
              <w:pStyle w:val="12"/>
            </w:pPr>
            <w:r>
              <w:t>生态效益增长率</w:t>
            </w:r>
          </w:p>
        </w:tc>
        <w:tc>
          <w:tcPr>
            <w:tcW w:w="2551" w:type="dxa"/>
            <w:vAlign w:val="center"/>
          </w:tcPr>
          <w:p>
            <w:pPr>
              <w:pStyle w:val="12"/>
            </w:pPr>
            <w:r>
              <w:t>≥95%</w:t>
            </w:r>
          </w:p>
        </w:tc>
        <w:tc>
          <w:tcPr>
            <w:tcW w:w="2268" w:type="dxa"/>
            <w:vAlign w:val="center"/>
          </w:tcPr>
          <w:p>
            <w:pPr>
              <w:pStyle w:val="12"/>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设备使用率</w:t>
            </w:r>
          </w:p>
        </w:tc>
        <w:tc>
          <w:tcPr>
            <w:tcW w:w="2835" w:type="dxa"/>
            <w:vAlign w:val="center"/>
          </w:tcPr>
          <w:p>
            <w:pPr>
              <w:pStyle w:val="12"/>
            </w:pPr>
            <w:r>
              <w:t>设备使用率</w:t>
            </w:r>
          </w:p>
        </w:tc>
        <w:tc>
          <w:tcPr>
            <w:tcW w:w="2551" w:type="dxa"/>
            <w:vAlign w:val="center"/>
          </w:tcPr>
          <w:p>
            <w:pPr>
              <w:pStyle w:val="12"/>
            </w:pPr>
            <w:r>
              <w:t>≥95%</w:t>
            </w:r>
          </w:p>
        </w:tc>
        <w:tc>
          <w:tcPr>
            <w:tcW w:w="2268" w:type="dxa"/>
            <w:vAlign w:val="center"/>
          </w:tcPr>
          <w:p>
            <w:pPr>
              <w:pStyle w:val="12"/>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调查问卷满意度比率</w:t>
            </w:r>
          </w:p>
        </w:tc>
        <w:tc>
          <w:tcPr>
            <w:tcW w:w="2835" w:type="dxa"/>
            <w:vAlign w:val="center"/>
          </w:tcPr>
          <w:p>
            <w:pPr>
              <w:pStyle w:val="12"/>
            </w:pPr>
            <w:r>
              <w:t>调查问卷满意度比率</w:t>
            </w:r>
          </w:p>
        </w:tc>
        <w:tc>
          <w:tcPr>
            <w:tcW w:w="2551" w:type="dxa"/>
            <w:vAlign w:val="center"/>
          </w:tcPr>
          <w:p>
            <w:pPr>
              <w:pStyle w:val="12"/>
            </w:pPr>
            <w:r>
              <w:t>≥97%</w:t>
            </w:r>
          </w:p>
        </w:tc>
        <w:tc>
          <w:tcPr>
            <w:tcW w:w="2268" w:type="dxa"/>
            <w:vAlign w:val="center"/>
          </w:tcPr>
          <w:p>
            <w:pPr>
              <w:pStyle w:val="12"/>
            </w:pPr>
            <w:r>
              <w:t>根据实际情况确定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3、2022年城市维护费绩效目标表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1.县城80余公里道路、排水管网、便道等市政设施及时维修维护。</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维护道路里程、面积</w:t>
            </w:r>
          </w:p>
        </w:tc>
        <w:tc>
          <w:tcPr>
            <w:tcW w:w="2835" w:type="dxa"/>
            <w:vAlign w:val="center"/>
          </w:tcPr>
          <w:p>
            <w:pPr>
              <w:pStyle w:val="12"/>
            </w:pPr>
            <w:r>
              <w:t>维护道路里程、面积</w:t>
            </w:r>
          </w:p>
        </w:tc>
        <w:tc>
          <w:tcPr>
            <w:tcW w:w="2551" w:type="dxa"/>
            <w:vAlign w:val="center"/>
          </w:tcPr>
          <w:p>
            <w:pPr>
              <w:pStyle w:val="12"/>
            </w:pPr>
            <w:r>
              <w:t>≥80公里</w:t>
            </w:r>
          </w:p>
        </w:tc>
        <w:tc>
          <w:tcPr>
            <w:tcW w:w="2268" w:type="dxa"/>
            <w:vAlign w:val="center"/>
          </w:tcPr>
          <w:p>
            <w:pPr>
              <w:pStyle w:val="12"/>
            </w:pPr>
            <w:r>
              <w:t>根据实际里程确定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基础设施验收通过率（%）</w:t>
            </w:r>
          </w:p>
        </w:tc>
        <w:tc>
          <w:tcPr>
            <w:tcW w:w="2835" w:type="dxa"/>
            <w:vAlign w:val="center"/>
          </w:tcPr>
          <w:p>
            <w:pPr>
              <w:pStyle w:val="12"/>
            </w:pPr>
            <w:r>
              <w:t>基础设施验收通过率（%）</w:t>
            </w:r>
          </w:p>
        </w:tc>
        <w:tc>
          <w:tcPr>
            <w:tcW w:w="2551" w:type="dxa"/>
            <w:vAlign w:val="center"/>
          </w:tcPr>
          <w:p>
            <w:pPr>
              <w:pStyle w:val="12"/>
            </w:pPr>
            <w:r>
              <w:t>≥98%</w:t>
            </w:r>
          </w:p>
        </w:tc>
        <w:tc>
          <w:tcPr>
            <w:tcW w:w="2268" w:type="dxa"/>
            <w:vAlign w:val="center"/>
          </w:tcPr>
          <w:p>
            <w:pPr>
              <w:pStyle w:val="12"/>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2835" w:type="dxa"/>
            <w:vAlign w:val="center"/>
          </w:tcPr>
          <w:p>
            <w:pPr>
              <w:pStyle w:val="12"/>
            </w:pPr>
            <w:r>
              <w:t>根据年初预算及工作需要及时支付</w:t>
            </w:r>
          </w:p>
        </w:tc>
        <w:tc>
          <w:tcPr>
            <w:tcW w:w="2551" w:type="dxa"/>
            <w:vAlign w:val="center"/>
          </w:tcPr>
          <w:p>
            <w:pPr>
              <w:pStyle w:val="12"/>
            </w:pPr>
            <w:r>
              <w:t>≥97%</w:t>
            </w:r>
          </w:p>
        </w:tc>
        <w:tc>
          <w:tcPr>
            <w:tcW w:w="2268" w:type="dxa"/>
            <w:vAlign w:val="center"/>
          </w:tcPr>
          <w:p>
            <w:pPr>
              <w:pStyle w:val="12"/>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成本控制率(%)</w:t>
            </w:r>
          </w:p>
        </w:tc>
        <w:tc>
          <w:tcPr>
            <w:tcW w:w="2551" w:type="dxa"/>
            <w:vAlign w:val="center"/>
          </w:tcPr>
          <w:p>
            <w:pPr>
              <w:pStyle w:val="12"/>
            </w:pPr>
            <w:r>
              <w:t>≥96%</w:t>
            </w:r>
          </w:p>
        </w:tc>
        <w:tc>
          <w:tcPr>
            <w:tcW w:w="2268" w:type="dxa"/>
            <w:vAlign w:val="center"/>
          </w:tcPr>
          <w:p>
            <w:pPr>
              <w:pStyle w:val="12"/>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设施完好率(％)</w:t>
            </w:r>
          </w:p>
        </w:tc>
        <w:tc>
          <w:tcPr>
            <w:tcW w:w="2835" w:type="dxa"/>
            <w:vAlign w:val="center"/>
          </w:tcPr>
          <w:p>
            <w:pPr>
              <w:pStyle w:val="12"/>
            </w:pPr>
            <w:r>
              <w:t>设施完好率(％)</w:t>
            </w:r>
          </w:p>
        </w:tc>
        <w:tc>
          <w:tcPr>
            <w:tcW w:w="2551" w:type="dxa"/>
            <w:vAlign w:val="center"/>
          </w:tcPr>
          <w:p>
            <w:pPr>
              <w:pStyle w:val="12"/>
            </w:pPr>
            <w:r>
              <w:t>≥98%</w:t>
            </w:r>
          </w:p>
        </w:tc>
        <w:tc>
          <w:tcPr>
            <w:tcW w:w="2268" w:type="dxa"/>
            <w:vAlign w:val="center"/>
          </w:tcPr>
          <w:p>
            <w:pPr>
              <w:pStyle w:val="12"/>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公路密度增长率</w:t>
            </w:r>
          </w:p>
        </w:tc>
        <w:tc>
          <w:tcPr>
            <w:tcW w:w="2835" w:type="dxa"/>
            <w:vAlign w:val="center"/>
          </w:tcPr>
          <w:p>
            <w:pPr>
              <w:pStyle w:val="12"/>
            </w:pPr>
            <w:r>
              <w:t>公路密度增长率</w:t>
            </w:r>
          </w:p>
        </w:tc>
        <w:tc>
          <w:tcPr>
            <w:tcW w:w="2551" w:type="dxa"/>
            <w:vAlign w:val="center"/>
          </w:tcPr>
          <w:p>
            <w:pPr>
              <w:pStyle w:val="12"/>
            </w:pPr>
            <w:r>
              <w:t>≥98%</w:t>
            </w:r>
          </w:p>
        </w:tc>
        <w:tc>
          <w:tcPr>
            <w:tcW w:w="2268" w:type="dxa"/>
            <w:vAlign w:val="center"/>
          </w:tcPr>
          <w:p>
            <w:pPr>
              <w:pStyle w:val="12"/>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2835" w:type="dxa"/>
            <w:vAlign w:val="center"/>
          </w:tcPr>
          <w:p>
            <w:pPr>
              <w:pStyle w:val="12"/>
            </w:pPr>
            <w:r>
              <w:t>生态效益增长率</w:t>
            </w:r>
          </w:p>
        </w:tc>
        <w:tc>
          <w:tcPr>
            <w:tcW w:w="2551" w:type="dxa"/>
            <w:vAlign w:val="center"/>
          </w:tcPr>
          <w:p>
            <w:pPr>
              <w:pStyle w:val="12"/>
            </w:pPr>
            <w:r>
              <w:t>≥95%</w:t>
            </w:r>
          </w:p>
        </w:tc>
        <w:tc>
          <w:tcPr>
            <w:tcW w:w="2268" w:type="dxa"/>
            <w:vAlign w:val="center"/>
          </w:tcPr>
          <w:p>
            <w:pPr>
              <w:pStyle w:val="12"/>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设备使用率</w:t>
            </w:r>
          </w:p>
        </w:tc>
        <w:tc>
          <w:tcPr>
            <w:tcW w:w="2835" w:type="dxa"/>
            <w:vAlign w:val="center"/>
          </w:tcPr>
          <w:p>
            <w:pPr>
              <w:pStyle w:val="12"/>
            </w:pPr>
            <w:r>
              <w:t>设备使用率</w:t>
            </w:r>
          </w:p>
        </w:tc>
        <w:tc>
          <w:tcPr>
            <w:tcW w:w="2551" w:type="dxa"/>
            <w:vAlign w:val="center"/>
          </w:tcPr>
          <w:p>
            <w:pPr>
              <w:pStyle w:val="12"/>
            </w:pPr>
            <w:r>
              <w:t>≥95%</w:t>
            </w:r>
          </w:p>
        </w:tc>
        <w:tc>
          <w:tcPr>
            <w:tcW w:w="2268" w:type="dxa"/>
            <w:vAlign w:val="center"/>
          </w:tcPr>
          <w:p>
            <w:pPr>
              <w:pStyle w:val="12"/>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调查问卷满意度比率</w:t>
            </w:r>
          </w:p>
        </w:tc>
        <w:tc>
          <w:tcPr>
            <w:tcW w:w="2835" w:type="dxa"/>
            <w:vAlign w:val="center"/>
          </w:tcPr>
          <w:p>
            <w:pPr>
              <w:pStyle w:val="12"/>
            </w:pPr>
            <w:r>
              <w:t>调查问卷满意度比率</w:t>
            </w:r>
          </w:p>
        </w:tc>
        <w:tc>
          <w:tcPr>
            <w:tcW w:w="2551" w:type="dxa"/>
            <w:vAlign w:val="center"/>
          </w:tcPr>
          <w:p>
            <w:pPr>
              <w:pStyle w:val="12"/>
            </w:pPr>
            <w:r>
              <w:t>≥97%</w:t>
            </w:r>
          </w:p>
        </w:tc>
        <w:tc>
          <w:tcPr>
            <w:tcW w:w="2268" w:type="dxa"/>
            <w:vAlign w:val="center"/>
          </w:tcPr>
          <w:p>
            <w:pPr>
              <w:pStyle w:val="12"/>
            </w:pPr>
            <w:r>
              <w:t>根据实际情况确定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4、2022年环卫清扫及管理费用绩效目标表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1.城市道路保洁以克论净达到区县领先水平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垃圾收集转运类环卫专用车</w:t>
            </w:r>
          </w:p>
        </w:tc>
        <w:tc>
          <w:tcPr>
            <w:tcW w:w="2835" w:type="dxa"/>
            <w:vAlign w:val="center"/>
          </w:tcPr>
          <w:p>
            <w:pPr>
              <w:pStyle w:val="12"/>
            </w:pPr>
            <w:r>
              <w:t>日收集垃圾数量</w:t>
            </w:r>
          </w:p>
        </w:tc>
        <w:tc>
          <w:tcPr>
            <w:tcW w:w="2551" w:type="dxa"/>
            <w:vAlign w:val="center"/>
          </w:tcPr>
          <w:p>
            <w:pPr>
              <w:pStyle w:val="12"/>
            </w:pPr>
            <w:r>
              <w:t>≥400吨</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道路卫生环境质量</w:t>
            </w:r>
          </w:p>
        </w:tc>
        <w:tc>
          <w:tcPr>
            <w:tcW w:w="2835" w:type="dxa"/>
            <w:vAlign w:val="center"/>
          </w:tcPr>
          <w:p>
            <w:pPr>
              <w:pStyle w:val="12"/>
            </w:pPr>
            <w:r>
              <w:t>环卫清理后的道路卫生环境达标率</w:t>
            </w:r>
          </w:p>
        </w:tc>
        <w:tc>
          <w:tcPr>
            <w:tcW w:w="2551" w:type="dxa"/>
            <w:vAlign w:val="center"/>
          </w:tcPr>
          <w:p>
            <w:pPr>
              <w:pStyle w:val="12"/>
            </w:pPr>
            <w:r>
              <w:t>≥95%</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垃圾清理收集时效</w:t>
            </w:r>
          </w:p>
        </w:tc>
        <w:tc>
          <w:tcPr>
            <w:tcW w:w="2835" w:type="dxa"/>
            <w:vAlign w:val="center"/>
          </w:tcPr>
          <w:p>
            <w:pPr>
              <w:pStyle w:val="12"/>
            </w:pPr>
            <w:r>
              <w:t>每日清理道路垃圾，及时收集处置时长</w:t>
            </w:r>
          </w:p>
        </w:tc>
        <w:tc>
          <w:tcPr>
            <w:tcW w:w="2551" w:type="dxa"/>
            <w:vAlign w:val="center"/>
          </w:tcPr>
          <w:p>
            <w:pPr>
              <w:pStyle w:val="12"/>
            </w:pPr>
            <w:r>
              <w:t>≤2小时</w:t>
            </w:r>
          </w:p>
        </w:tc>
        <w:tc>
          <w:tcPr>
            <w:tcW w:w="2268" w:type="dxa"/>
            <w:vAlign w:val="center"/>
          </w:tcPr>
          <w:p>
            <w:pPr>
              <w:pStyle w:val="12"/>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年维护运行总成本</w:t>
            </w:r>
          </w:p>
        </w:tc>
        <w:tc>
          <w:tcPr>
            <w:tcW w:w="2835" w:type="dxa"/>
            <w:vAlign w:val="center"/>
          </w:tcPr>
          <w:p>
            <w:pPr>
              <w:pStyle w:val="12"/>
            </w:pPr>
            <w:r>
              <w:t>成本控制率(%)</w:t>
            </w:r>
          </w:p>
        </w:tc>
        <w:tc>
          <w:tcPr>
            <w:tcW w:w="2551" w:type="dxa"/>
            <w:vAlign w:val="center"/>
          </w:tcPr>
          <w:p>
            <w:pPr>
              <w:pStyle w:val="12"/>
            </w:pPr>
            <w:r>
              <w:t>≤1900万元</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促进就业</w:t>
            </w:r>
          </w:p>
        </w:tc>
        <w:tc>
          <w:tcPr>
            <w:tcW w:w="2835" w:type="dxa"/>
            <w:vAlign w:val="center"/>
          </w:tcPr>
          <w:p>
            <w:pPr>
              <w:pStyle w:val="12"/>
            </w:pPr>
            <w:r>
              <w:t>促进老年人再就业</w:t>
            </w:r>
          </w:p>
        </w:tc>
        <w:tc>
          <w:tcPr>
            <w:tcW w:w="2551" w:type="dxa"/>
            <w:vAlign w:val="center"/>
          </w:tcPr>
          <w:p>
            <w:pPr>
              <w:pStyle w:val="12"/>
            </w:pPr>
            <w:r>
              <w:t>≥200人</w:t>
            </w:r>
          </w:p>
        </w:tc>
        <w:tc>
          <w:tcPr>
            <w:tcW w:w="2268" w:type="dxa"/>
            <w:vAlign w:val="center"/>
          </w:tcPr>
          <w:p>
            <w:pPr>
              <w:pStyle w:val="12"/>
            </w:pPr>
            <w:r>
              <w:t>根据实际测算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2835" w:type="dxa"/>
            <w:vAlign w:val="center"/>
          </w:tcPr>
          <w:p>
            <w:pPr>
              <w:pStyle w:val="12"/>
            </w:pPr>
            <w:r>
              <w:t>改善生态环境质量</w:t>
            </w:r>
          </w:p>
        </w:tc>
        <w:tc>
          <w:tcPr>
            <w:tcW w:w="2551" w:type="dxa"/>
            <w:vAlign w:val="center"/>
          </w:tcPr>
          <w:p>
            <w:pPr>
              <w:pStyle w:val="12"/>
            </w:pPr>
            <w:r>
              <w:t>道路干净整洁、无扬尘</w:t>
            </w:r>
          </w:p>
        </w:tc>
        <w:tc>
          <w:tcPr>
            <w:tcW w:w="2268"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保障道路干净整洁</w:t>
            </w:r>
          </w:p>
        </w:tc>
        <w:tc>
          <w:tcPr>
            <w:tcW w:w="2835" w:type="dxa"/>
            <w:vAlign w:val="center"/>
          </w:tcPr>
          <w:p>
            <w:pPr>
              <w:pStyle w:val="12"/>
            </w:pPr>
            <w:r>
              <w:t>长期保障道路干净整洁</w:t>
            </w:r>
          </w:p>
        </w:tc>
        <w:tc>
          <w:tcPr>
            <w:tcW w:w="2551" w:type="dxa"/>
            <w:vAlign w:val="center"/>
          </w:tcPr>
          <w:p>
            <w:pPr>
              <w:pStyle w:val="12"/>
            </w:pPr>
            <w:r>
              <w:t>以克论净评优评先</w:t>
            </w:r>
          </w:p>
        </w:tc>
        <w:tc>
          <w:tcPr>
            <w:tcW w:w="2268" w:type="dxa"/>
            <w:vAlign w:val="center"/>
          </w:tcPr>
          <w:p>
            <w:pPr>
              <w:pStyle w:val="12"/>
            </w:pPr>
            <w:r>
              <w:t>市局以克论净评比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居民群众的满意度</w:t>
            </w:r>
          </w:p>
        </w:tc>
        <w:tc>
          <w:tcPr>
            <w:tcW w:w="2835" w:type="dxa"/>
            <w:vAlign w:val="center"/>
          </w:tcPr>
          <w:p>
            <w:pPr>
              <w:pStyle w:val="12"/>
            </w:pPr>
            <w:r>
              <w:t>满意群众占全部群众的比例</w:t>
            </w:r>
          </w:p>
        </w:tc>
        <w:tc>
          <w:tcPr>
            <w:tcW w:w="2551" w:type="dxa"/>
            <w:vAlign w:val="center"/>
          </w:tcPr>
          <w:p>
            <w:pPr>
              <w:pStyle w:val="12"/>
            </w:pPr>
            <w:r>
              <w:t>≥95%</w:t>
            </w:r>
          </w:p>
        </w:tc>
        <w:tc>
          <w:tcPr>
            <w:tcW w:w="2268" w:type="dxa"/>
            <w:vAlign w:val="center"/>
          </w:tcPr>
          <w:p>
            <w:pPr>
              <w:pStyle w:val="12"/>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5、2022年经济开发区基础设施养护绩效目标表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1.为经济开发区实现供、排水、道路、绿化，整洁、亮化和美化，为企业入驻提供较为完善的基础条件。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基础设施维修任务完成率（%）</w:t>
            </w:r>
          </w:p>
        </w:tc>
        <w:tc>
          <w:tcPr>
            <w:tcW w:w="2835" w:type="dxa"/>
            <w:vAlign w:val="center"/>
          </w:tcPr>
          <w:p>
            <w:pPr>
              <w:pStyle w:val="12"/>
            </w:pPr>
            <w:r>
              <w:t>基础设施维修任务完成率（%）</w:t>
            </w:r>
          </w:p>
        </w:tc>
        <w:tc>
          <w:tcPr>
            <w:tcW w:w="2551" w:type="dxa"/>
            <w:vAlign w:val="center"/>
          </w:tcPr>
          <w:p>
            <w:pPr>
              <w:pStyle w:val="12"/>
            </w:pPr>
            <w:r>
              <w:t>≥98%</w:t>
            </w:r>
          </w:p>
        </w:tc>
        <w:tc>
          <w:tcPr>
            <w:tcW w:w="2268" w:type="dxa"/>
            <w:vAlign w:val="center"/>
          </w:tcPr>
          <w:p>
            <w:pPr>
              <w:pStyle w:val="12"/>
            </w:pPr>
            <w:r>
              <w:t>依据行业标准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基础设施验收通过率（%）</w:t>
            </w:r>
          </w:p>
        </w:tc>
        <w:tc>
          <w:tcPr>
            <w:tcW w:w="2835" w:type="dxa"/>
            <w:vAlign w:val="center"/>
          </w:tcPr>
          <w:p>
            <w:pPr>
              <w:pStyle w:val="12"/>
            </w:pPr>
            <w:r>
              <w:t>基础设施验收通过率（%）</w:t>
            </w:r>
          </w:p>
        </w:tc>
        <w:tc>
          <w:tcPr>
            <w:tcW w:w="2551" w:type="dxa"/>
            <w:vAlign w:val="center"/>
          </w:tcPr>
          <w:p>
            <w:pPr>
              <w:pStyle w:val="12"/>
            </w:pPr>
            <w:r>
              <w:t>≥98%</w:t>
            </w:r>
          </w:p>
        </w:tc>
        <w:tc>
          <w:tcPr>
            <w:tcW w:w="2268" w:type="dxa"/>
            <w:vAlign w:val="center"/>
          </w:tcPr>
          <w:p>
            <w:pPr>
              <w:pStyle w:val="12"/>
            </w:pPr>
            <w:r>
              <w:t>依据行业标准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基础设施维护按时完成率</w:t>
            </w:r>
          </w:p>
        </w:tc>
        <w:tc>
          <w:tcPr>
            <w:tcW w:w="2835" w:type="dxa"/>
            <w:vAlign w:val="center"/>
          </w:tcPr>
          <w:p>
            <w:pPr>
              <w:pStyle w:val="12"/>
            </w:pPr>
            <w:r>
              <w:t>项目按时完成率</w:t>
            </w:r>
          </w:p>
        </w:tc>
        <w:tc>
          <w:tcPr>
            <w:tcW w:w="2551" w:type="dxa"/>
            <w:vAlign w:val="center"/>
          </w:tcPr>
          <w:p>
            <w:pPr>
              <w:pStyle w:val="12"/>
            </w:pPr>
            <w:r>
              <w:t>≥97%</w:t>
            </w:r>
          </w:p>
        </w:tc>
        <w:tc>
          <w:tcPr>
            <w:tcW w:w="2268" w:type="dxa"/>
            <w:vAlign w:val="center"/>
          </w:tcPr>
          <w:p>
            <w:pPr>
              <w:pStyle w:val="12"/>
            </w:pPr>
            <w:r>
              <w:t>依据行业标准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成本控制率(%)</w:t>
            </w:r>
          </w:p>
        </w:tc>
        <w:tc>
          <w:tcPr>
            <w:tcW w:w="2551" w:type="dxa"/>
            <w:vAlign w:val="center"/>
          </w:tcPr>
          <w:p>
            <w:pPr>
              <w:pStyle w:val="12"/>
            </w:pPr>
            <w:r>
              <w:t>≥98%</w:t>
            </w:r>
          </w:p>
        </w:tc>
        <w:tc>
          <w:tcPr>
            <w:tcW w:w="2268" w:type="dxa"/>
            <w:vAlign w:val="center"/>
          </w:tcPr>
          <w:p>
            <w:pPr>
              <w:pStyle w:val="12"/>
            </w:pPr>
            <w:r>
              <w:t>依据行业标准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吸引外来企业</w:t>
            </w:r>
          </w:p>
        </w:tc>
        <w:tc>
          <w:tcPr>
            <w:tcW w:w="2835" w:type="dxa"/>
            <w:vAlign w:val="center"/>
          </w:tcPr>
          <w:p>
            <w:pPr>
              <w:pStyle w:val="12"/>
            </w:pPr>
            <w:r>
              <w:t>吸引外来企业入驻</w:t>
            </w:r>
          </w:p>
        </w:tc>
        <w:tc>
          <w:tcPr>
            <w:tcW w:w="2551" w:type="dxa"/>
            <w:vAlign w:val="center"/>
          </w:tcPr>
          <w:p>
            <w:pPr>
              <w:pStyle w:val="12"/>
            </w:pPr>
            <w:r>
              <w:t>≥98%</w:t>
            </w:r>
          </w:p>
        </w:tc>
        <w:tc>
          <w:tcPr>
            <w:tcW w:w="2268" w:type="dxa"/>
            <w:vAlign w:val="center"/>
          </w:tcPr>
          <w:p>
            <w:pPr>
              <w:pStyle w:val="12"/>
            </w:pPr>
            <w:r>
              <w:t>依据行业标准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为企业入驻提供完善基础条件</w:t>
            </w:r>
          </w:p>
        </w:tc>
        <w:tc>
          <w:tcPr>
            <w:tcW w:w="2835" w:type="dxa"/>
            <w:vAlign w:val="center"/>
          </w:tcPr>
          <w:p>
            <w:pPr>
              <w:pStyle w:val="12"/>
            </w:pPr>
            <w:r>
              <w:t>亮化和美化，为企业入驻提供较为完善的基础条件</w:t>
            </w:r>
          </w:p>
        </w:tc>
        <w:tc>
          <w:tcPr>
            <w:tcW w:w="2551" w:type="dxa"/>
            <w:vAlign w:val="center"/>
          </w:tcPr>
          <w:p>
            <w:pPr>
              <w:pStyle w:val="12"/>
            </w:pPr>
            <w:r>
              <w:t>100%</w:t>
            </w:r>
          </w:p>
        </w:tc>
        <w:tc>
          <w:tcPr>
            <w:tcW w:w="2268" w:type="dxa"/>
            <w:vAlign w:val="center"/>
          </w:tcPr>
          <w:p>
            <w:pPr>
              <w:pStyle w:val="12"/>
            </w:pPr>
            <w:r>
              <w:t>依据行业标准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促进生态文明建设，推动绿色发展</w:t>
            </w:r>
          </w:p>
        </w:tc>
        <w:tc>
          <w:tcPr>
            <w:tcW w:w="2835" w:type="dxa"/>
            <w:vAlign w:val="center"/>
          </w:tcPr>
          <w:p>
            <w:pPr>
              <w:pStyle w:val="12"/>
            </w:pPr>
            <w:r>
              <w:t>促进生态文明建设，推动绿色发展和绿色生活方式</w:t>
            </w:r>
          </w:p>
        </w:tc>
        <w:tc>
          <w:tcPr>
            <w:tcW w:w="2551" w:type="dxa"/>
            <w:vAlign w:val="center"/>
          </w:tcPr>
          <w:p>
            <w:pPr>
              <w:pStyle w:val="12"/>
            </w:pPr>
            <w:r>
              <w:t>≥98%</w:t>
            </w:r>
          </w:p>
        </w:tc>
        <w:tc>
          <w:tcPr>
            <w:tcW w:w="2268" w:type="dxa"/>
            <w:vAlign w:val="center"/>
          </w:tcPr>
          <w:p>
            <w:pPr>
              <w:pStyle w:val="12"/>
            </w:pPr>
            <w:r>
              <w:t>依据行业标准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提升经济开发区形象</w:t>
            </w:r>
          </w:p>
        </w:tc>
        <w:tc>
          <w:tcPr>
            <w:tcW w:w="2835" w:type="dxa"/>
            <w:vAlign w:val="center"/>
          </w:tcPr>
          <w:p>
            <w:pPr>
              <w:pStyle w:val="12"/>
            </w:pPr>
            <w:r>
              <w:t>亮化和美化，为企业入驻提供完善基础条件</w:t>
            </w:r>
          </w:p>
        </w:tc>
        <w:tc>
          <w:tcPr>
            <w:tcW w:w="2551" w:type="dxa"/>
            <w:vAlign w:val="center"/>
          </w:tcPr>
          <w:p>
            <w:pPr>
              <w:pStyle w:val="12"/>
            </w:pPr>
            <w:r>
              <w:t>100%</w:t>
            </w:r>
          </w:p>
        </w:tc>
        <w:tc>
          <w:tcPr>
            <w:tcW w:w="2268" w:type="dxa"/>
            <w:vAlign w:val="center"/>
          </w:tcPr>
          <w:p>
            <w:pPr>
              <w:pStyle w:val="12"/>
            </w:pPr>
            <w:r>
              <w:t>依据行业标准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2835" w:type="dxa"/>
            <w:vAlign w:val="center"/>
          </w:tcPr>
          <w:p>
            <w:pPr>
              <w:pStyle w:val="12"/>
            </w:pPr>
            <w:r>
              <w:t>企业满意度</w:t>
            </w:r>
          </w:p>
        </w:tc>
        <w:tc>
          <w:tcPr>
            <w:tcW w:w="2551" w:type="dxa"/>
            <w:vAlign w:val="center"/>
          </w:tcPr>
          <w:p>
            <w:pPr>
              <w:pStyle w:val="12"/>
            </w:pPr>
            <w:r>
              <w:t>≥98%</w:t>
            </w:r>
          </w:p>
        </w:tc>
        <w:tc>
          <w:tcPr>
            <w:tcW w:w="2268" w:type="dxa"/>
            <w:vAlign w:val="center"/>
          </w:tcPr>
          <w:p>
            <w:pPr>
              <w:pStyle w:val="12"/>
            </w:pPr>
            <w:r>
              <w:t>依据行业标准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6、2022年垃圾填埋场运行费绩效目标表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1.生活垃圾日处理在280吨以上，保障县城整体生活环境。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日垃圾处理量</w:t>
            </w:r>
          </w:p>
        </w:tc>
        <w:tc>
          <w:tcPr>
            <w:tcW w:w="2835" w:type="dxa"/>
            <w:vAlign w:val="center"/>
          </w:tcPr>
          <w:p>
            <w:pPr>
              <w:pStyle w:val="12"/>
            </w:pPr>
            <w:r>
              <w:t>每日生活垃圾处理量（吨)</w:t>
            </w:r>
          </w:p>
        </w:tc>
        <w:tc>
          <w:tcPr>
            <w:tcW w:w="2551" w:type="dxa"/>
            <w:vAlign w:val="center"/>
          </w:tcPr>
          <w:p>
            <w:pPr>
              <w:pStyle w:val="12"/>
            </w:pPr>
            <w:r>
              <w:t>≥280吨</w:t>
            </w:r>
          </w:p>
        </w:tc>
        <w:tc>
          <w:tcPr>
            <w:tcW w:w="2268" w:type="dxa"/>
            <w:vAlign w:val="center"/>
          </w:tcPr>
          <w:p>
            <w:pPr>
              <w:pStyle w:val="12"/>
            </w:pPr>
            <w:r>
              <w:t>根据实际日处理量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生活垃圾质量提升率</w:t>
            </w:r>
          </w:p>
        </w:tc>
        <w:tc>
          <w:tcPr>
            <w:tcW w:w="2835" w:type="dxa"/>
            <w:vAlign w:val="center"/>
          </w:tcPr>
          <w:p>
            <w:pPr>
              <w:pStyle w:val="12"/>
            </w:pPr>
            <w:r>
              <w:t>生活垃圾卫生填埋提升效率</w:t>
            </w:r>
          </w:p>
        </w:tc>
        <w:tc>
          <w:tcPr>
            <w:tcW w:w="2551" w:type="dxa"/>
            <w:vAlign w:val="center"/>
          </w:tcPr>
          <w:p>
            <w:pPr>
              <w:pStyle w:val="12"/>
            </w:pPr>
            <w:r>
              <w:t>≥10吨</w:t>
            </w:r>
          </w:p>
        </w:tc>
        <w:tc>
          <w:tcPr>
            <w:tcW w:w="2268" w:type="dxa"/>
            <w:vAlign w:val="center"/>
          </w:tcPr>
          <w:p>
            <w:pPr>
              <w:pStyle w:val="12"/>
            </w:pPr>
            <w:r>
              <w:t>根据上级文件相关要求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安全事故上报时限</w:t>
            </w:r>
          </w:p>
        </w:tc>
        <w:tc>
          <w:tcPr>
            <w:tcW w:w="2835" w:type="dxa"/>
            <w:vAlign w:val="center"/>
          </w:tcPr>
          <w:p>
            <w:pPr>
              <w:pStyle w:val="12"/>
            </w:pPr>
            <w:r>
              <w:t>安全事故发生到上报的时长</w:t>
            </w:r>
          </w:p>
        </w:tc>
        <w:tc>
          <w:tcPr>
            <w:tcW w:w="2551" w:type="dxa"/>
            <w:vAlign w:val="center"/>
          </w:tcPr>
          <w:p>
            <w:pPr>
              <w:pStyle w:val="12"/>
            </w:pPr>
            <w:r>
              <w:t>≤0.5小时</w:t>
            </w:r>
          </w:p>
        </w:tc>
        <w:tc>
          <w:tcPr>
            <w:tcW w:w="2268" w:type="dxa"/>
            <w:vAlign w:val="center"/>
          </w:tcPr>
          <w:p>
            <w:pPr>
              <w:pStyle w:val="12"/>
            </w:pPr>
            <w:r>
              <w:t>根据实际情况测算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垃圾处理单位成本</w:t>
            </w:r>
          </w:p>
        </w:tc>
        <w:tc>
          <w:tcPr>
            <w:tcW w:w="2835" w:type="dxa"/>
            <w:vAlign w:val="center"/>
          </w:tcPr>
          <w:p>
            <w:pPr>
              <w:pStyle w:val="12"/>
            </w:pPr>
            <w:r>
              <w:t>处理每吨生活垃圾的陈本</w:t>
            </w:r>
          </w:p>
        </w:tc>
        <w:tc>
          <w:tcPr>
            <w:tcW w:w="2551" w:type="dxa"/>
            <w:vAlign w:val="center"/>
          </w:tcPr>
          <w:p>
            <w:pPr>
              <w:pStyle w:val="12"/>
            </w:pPr>
            <w:r>
              <w:t>≤25元</w:t>
            </w:r>
          </w:p>
        </w:tc>
        <w:tc>
          <w:tcPr>
            <w:tcW w:w="2268" w:type="dxa"/>
            <w:vAlign w:val="center"/>
          </w:tcPr>
          <w:p>
            <w:pPr>
              <w:pStyle w:val="12"/>
            </w:pPr>
            <w:r>
              <w:t>垃圾处理行业标准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2835" w:type="dxa"/>
            <w:vAlign w:val="center"/>
          </w:tcPr>
          <w:p>
            <w:pPr>
              <w:pStyle w:val="12"/>
            </w:pPr>
            <w:r>
              <w:t>拉动当地经济发展率</w:t>
            </w:r>
          </w:p>
        </w:tc>
        <w:tc>
          <w:tcPr>
            <w:tcW w:w="2551" w:type="dxa"/>
            <w:vAlign w:val="center"/>
          </w:tcPr>
          <w:p>
            <w:pPr>
              <w:pStyle w:val="12"/>
            </w:pPr>
            <w:r>
              <w:t>≥20%</w:t>
            </w:r>
          </w:p>
        </w:tc>
        <w:tc>
          <w:tcPr>
            <w:tcW w:w="2268" w:type="dxa"/>
            <w:vAlign w:val="center"/>
          </w:tcPr>
          <w:p>
            <w:pPr>
              <w:pStyle w:val="12"/>
            </w:pPr>
            <w:r>
              <w:t>提高生活垃圾回收率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社会效益指标</w:t>
            </w:r>
          </w:p>
        </w:tc>
        <w:tc>
          <w:tcPr>
            <w:tcW w:w="2835" w:type="dxa"/>
            <w:vAlign w:val="center"/>
          </w:tcPr>
          <w:p>
            <w:pPr>
              <w:pStyle w:val="12"/>
            </w:pPr>
            <w:r>
              <w:t>改善人居环境生活质量</w:t>
            </w:r>
          </w:p>
        </w:tc>
        <w:tc>
          <w:tcPr>
            <w:tcW w:w="2551" w:type="dxa"/>
            <w:vAlign w:val="center"/>
          </w:tcPr>
          <w:p>
            <w:pPr>
              <w:pStyle w:val="12"/>
            </w:pPr>
            <w:r>
              <w:t>≥96百分比</w:t>
            </w:r>
          </w:p>
        </w:tc>
        <w:tc>
          <w:tcPr>
            <w:tcW w:w="2268" w:type="dxa"/>
            <w:vAlign w:val="center"/>
          </w:tcPr>
          <w:p>
            <w:pPr>
              <w:pStyle w:val="12"/>
            </w:pPr>
            <w:r>
              <w:t>改善人居生活环境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2835" w:type="dxa"/>
            <w:vAlign w:val="center"/>
          </w:tcPr>
          <w:p>
            <w:pPr>
              <w:pStyle w:val="12"/>
            </w:pPr>
            <w:r>
              <w:t>改善生态环境质量</w:t>
            </w:r>
          </w:p>
        </w:tc>
        <w:tc>
          <w:tcPr>
            <w:tcW w:w="2551" w:type="dxa"/>
            <w:vAlign w:val="center"/>
          </w:tcPr>
          <w:p>
            <w:pPr>
              <w:pStyle w:val="12"/>
            </w:pPr>
            <w:r>
              <w:t>≥95百分比</w:t>
            </w:r>
          </w:p>
        </w:tc>
        <w:tc>
          <w:tcPr>
            <w:tcW w:w="2268" w:type="dxa"/>
            <w:vAlign w:val="center"/>
          </w:tcPr>
          <w:p>
            <w:pPr>
              <w:pStyle w:val="12"/>
            </w:pPr>
            <w:r>
              <w:t>提高县城垃圾回收处理率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生态效益</w:t>
            </w:r>
          </w:p>
        </w:tc>
        <w:tc>
          <w:tcPr>
            <w:tcW w:w="2835" w:type="dxa"/>
            <w:vAlign w:val="center"/>
          </w:tcPr>
          <w:p>
            <w:pPr>
              <w:pStyle w:val="12"/>
            </w:pPr>
            <w:r>
              <w:t>改善人居环境</w:t>
            </w:r>
          </w:p>
        </w:tc>
        <w:tc>
          <w:tcPr>
            <w:tcW w:w="2551" w:type="dxa"/>
            <w:vAlign w:val="center"/>
          </w:tcPr>
          <w:p>
            <w:pPr>
              <w:pStyle w:val="12"/>
            </w:pPr>
            <w:r>
              <w:t>≥96百分比</w:t>
            </w:r>
          </w:p>
        </w:tc>
        <w:tc>
          <w:tcPr>
            <w:tcW w:w="2268" w:type="dxa"/>
            <w:vAlign w:val="center"/>
          </w:tcPr>
          <w:p>
            <w:pPr>
              <w:pStyle w:val="12"/>
            </w:pPr>
            <w:r>
              <w:t>服务群众，靓化城市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周边对垃圾填埋满意数占全部群众的比例</w:t>
            </w:r>
          </w:p>
        </w:tc>
        <w:tc>
          <w:tcPr>
            <w:tcW w:w="2551" w:type="dxa"/>
            <w:vAlign w:val="center"/>
          </w:tcPr>
          <w:p>
            <w:pPr>
              <w:pStyle w:val="12"/>
            </w:pPr>
            <w:r>
              <w:t>≥95百分比</w:t>
            </w:r>
          </w:p>
        </w:tc>
        <w:tc>
          <w:tcPr>
            <w:tcW w:w="2268" w:type="dxa"/>
            <w:vAlign w:val="center"/>
          </w:tcPr>
          <w:p>
            <w:pPr>
              <w:pStyle w:val="12"/>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7、2022年绿化养护经费绩效目标表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1.推动我县园林绿化事业发展，保障县城区内人均公园绿化率12%以上，维护我县绿化环境。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苗木补植成活率</w:t>
            </w:r>
          </w:p>
        </w:tc>
        <w:tc>
          <w:tcPr>
            <w:tcW w:w="2835" w:type="dxa"/>
            <w:vAlign w:val="center"/>
          </w:tcPr>
          <w:p>
            <w:pPr>
              <w:pStyle w:val="12"/>
            </w:pPr>
            <w:r>
              <w:t>苗木补植成活量</w:t>
            </w:r>
          </w:p>
          <w:p>
            <w:pPr>
              <w:pStyle w:val="12"/>
            </w:pPr>
            <w:r>
              <w:t>占总补植量的比例</w:t>
            </w:r>
          </w:p>
        </w:tc>
        <w:tc>
          <w:tcPr>
            <w:tcW w:w="2551" w:type="dxa"/>
            <w:vAlign w:val="center"/>
          </w:tcPr>
          <w:p>
            <w:pPr>
              <w:pStyle w:val="12"/>
            </w:pPr>
            <w:r>
              <w:t>≥90%</w:t>
            </w:r>
          </w:p>
        </w:tc>
        <w:tc>
          <w:tcPr>
            <w:tcW w:w="2268" w:type="dxa"/>
            <w:vAlign w:val="center"/>
          </w:tcPr>
          <w:p>
            <w:pPr>
              <w:pStyle w:val="12"/>
            </w:pPr>
            <w:r>
              <w:t>河北省城市园林绿化养护管理定额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人均公园绿地面（㎡）</w:t>
            </w:r>
          </w:p>
        </w:tc>
        <w:tc>
          <w:tcPr>
            <w:tcW w:w="2835" w:type="dxa"/>
            <w:vAlign w:val="center"/>
          </w:tcPr>
          <w:p>
            <w:pPr>
              <w:pStyle w:val="12"/>
            </w:pPr>
            <w:r>
              <w:t>全县县城内绿地面积与全县县城人口的比例</w:t>
            </w:r>
          </w:p>
        </w:tc>
        <w:tc>
          <w:tcPr>
            <w:tcW w:w="2551" w:type="dxa"/>
            <w:vAlign w:val="center"/>
          </w:tcPr>
          <w:p>
            <w:pPr>
              <w:pStyle w:val="12"/>
            </w:pPr>
            <w:r>
              <w:t>≥12%</w:t>
            </w:r>
          </w:p>
        </w:tc>
        <w:tc>
          <w:tcPr>
            <w:tcW w:w="2268" w:type="dxa"/>
            <w:vAlign w:val="center"/>
          </w:tcPr>
          <w:p>
            <w:pPr>
              <w:pStyle w:val="12"/>
            </w:pPr>
            <w:r>
              <w:t>河北省城市园林绿化养护管理定额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园林绿化</w:t>
            </w:r>
          </w:p>
        </w:tc>
        <w:tc>
          <w:tcPr>
            <w:tcW w:w="2835" w:type="dxa"/>
            <w:vAlign w:val="center"/>
          </w:tcPr>
          <w:p>
            <w:pPr>
              <w:pStyle w:val="12"/>
            </w:pPr>
            <w:r>
              <w:t>园林绿化维护及时率</w:t>
            </w:r>
          </w:p>
        </w:tc>
        <w:tc>
          <w:tcPr>
            <w:tcW w:w="2551" w:type="dxa"/>
            <w:vAlign w:val="center"/>
          </w:tcPr>
          <w:p>
            <w:pPr>
              <w:pStyle w:val="12"/>
            </w:pPr>
            <w:r>
              <w:t>≥95%</w:t>
            </w:r>
          </w:p>
        </w:tc>
        <w:tc>
          <w:tcPr>
            <w:tcW w:w="2268" w:type="dxa"/>
            <w:vAlign w:val="center"/>
          </w:tcPr>
          <w:p>
            <w:pPr>
              <w:pStyle w:val="12"/>
            </w:pPr>
            <w:r>
              <w:t>河北省城市园林绿化养护管理定额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县城绿化养护成本节约率</w:t>
            </w:r>
          </w:p>
        </w:tc>
        <w:tc>
          <w:tcPr>
            <w:tcW w:w="2835" w:type="dxa"/>
            <w:vAlign w:val="center"/>
          </w:tcPr>
          <w:p>
            <w:pPr>
              <w:pStyle w:val="12"/>
            </w:pPr>
            <w:r>
              <w:t>县城绿化养护成本节约率</w:t>
            </w:r>
          </w:p>
        </w:tc>
        <w:tc>
          <w:tcPr>
            <w:tcW w:w="2551" w:type="dxa"/>
            <w:vAlign w:val="center"/>
          </w:tcPr>
          <w:p>
            <w:pPr>
              <w:pStyle w:val="12"/>
            </w:pPr>
            <w:r>
              <w:t>≥45%</w:t>
            </w:r>
          </w:p>
        </w:tc>
        <w:tc>
          <w:tcPr>
            <w:tcW w:w="2268" w:type="dxa"/>
            <w:vAlign w:val="center"/>
          </w:tcPr>
          <w:p>
            <w:pPr>
              <w:pStyle w:val="12"/>
            </w:pPr>
            <w:r>
              <w:t>河北省城市园林绿化养护管理定额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改善县城环境</w:t>
            </w:r>
          </w:p>
        </w:tc>
        <w:tc>
          <w:tcPr>
            <w:tcW w:w="2835" w:type="dxa"/>
            <w:vAlign w:val="center"/>
          </w:tcPr>
          <w:p>
            <w:pPr>
              <w:pStyle w:val="12"/>
            </w:pPr>
            <w:r>
              <w:t>改善县城绿化环境，提高招商条件</w:t>
            </w:r>
          </w:p>
        </w:tc>
        <w:tc>
          <w:tcPr>
            <w:tcW w:w="2551" w:type="dxa"/>
            <w:vAlign w:val="center"/>
          </w:tcPr>
          <w:p>
            <w:pPr>
              <w:pStyle w:val="12"/>
            </w:pPr>
            <w:r>
              <w:t>打造县城绿化环境提高招商条件</w:t>
            </w:r>
          </w:p>
        </w:tc>
        <w:tc>
          <w:tcPr>
            <w:tcW w:w="2268" w:type="dxa"/>
            <w:vAlign w:val="center"/>
          </w:tcPr>
          <w:p>
            <w:pPr>
              <w:pStyle w:val="12"/>
            </w:pPr>
            <w:r>
              <w:t>提升宜商宜局环境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县城绿化面积覆盖率</w:t>
            </w:r>
          </w:p>
        </w:tc>
        <w:tc>
          <w:tcPr>
            <w:tcW w:w="2835" w:type="dxa"/>
            <w:vAlign w:val="center"/>
          </w:tcPr>
          <w:p>
            <w:pPr>
              <w:pStyle w:val="12"/>
            </w:pPr>
            <w:r>
              <w:t>县城绿化面积覆盖率</w:t>
            </w:r>
          </w:p>
        </w:tc>
        <w:tc>
          <w:tcPr>
            <w:tcW w:w="2551" w:type="dxa"/>
            <w:vAlign w:val="center"/>
          </w:tcPr>
          <w:p>
            <w:pPr>
              <w:pStyle w:val="12"/>
            </w:pPr>
            <w:r>
              <w:t>≥90%</w:t>
            </w:r>
          </w:p>
        </w:tc>
        <w:tc>
          <w:tcPr>
            <w:tcW w:w="2268" w:type="dxa"/>
            <w:vAlign w:val="center"/>
          </w:tcPr>
          <w:p>
            <w:pPr>
              <w:pStyle w:val="12"/>
            </w:pPr>
            <w:r>
              <w:t>河北省城市园林绿化养护管理定额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2835" w:type="dxa"/>
            <w:vAlign w:val="center"/>
          </w:tcPr>
          <w:p>
            <w:pPr>
              <w:pStyle w:val="12"/>
            </w:pPr>
            <w:r>
              <w:t>改善生态环境质量</w:t>
            </w:r>
          </w:p>
        </w:tc>
        <w:tc>
          <w:tcPr>
            <w:tcW w:w="2551" w:type="dxa"/>
            <w:vAlign w:val="center"/>
          </w:tcPr>
          <w:p>
            <w:pPr>
              <w:pStyle w:val="12"/>
            </w:pPr>
            <w:r>
              <w:t>≥92%</w:t>
            </w:r>
          </w:p>
        </w:tc>
        <w:tc>
          <w:tcPr>
            <w:tcW w:w="2268" w:type="dxa"/>
            <w:vAlign w:val="center"/>
          </w:tcPr>
          <w:p>
            <w:pPr>
              <w:pStyle w:val="12"/>
            </w:pPr>
            <w:r>
              <w:t>环境指数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基础设施完好率（%）</w:t>
            </w:r>
          </w:p>
          <w:p>
            <w:pPr>
              <w:pStyle w:val="12"/>
            </w:pPr>
          </w:p>
          <w:p>
            <w:pPr>
              <w:pStyle w:val="12"/>
            </w:pPr>
          </w:p>
        </w:tc>
        <w:tc>
          <w:tcPr>
            <w:tcW w:w="2835" w:type="dxa"/>
            <w:vAlign w:val="center"/>
          </w:tcPr>
          <w:p>
            <w:pPr>
              <w:pStyle w:val="12"/>
            </w:pPr>
            <w:r>
              <w:t>县城绿地公园基础设施完好率</w:t>
            </w:r>
          </w:p>
        </w:tc>
        <w:tc>
          <w:tcPr>
            <w:tcW w:w="2551" w:type="dxa"/>
            <w:vAlign w:val="center"/>
          </w:tcPr>
          <w:p>
            <w:pPr>
              <w:pStyle w:val="12"/>
            </w:pPr>
            <w:r>
              <w:t>≥95%</w:t>
            </w:r>
          </w:p>
        </w:tc>
        <w:tc>
          <w:tcPr>
            <w:tcW w:w="2268" w:type="dxa"/>
            <w:vAlign w:val="center"/>
          </w:tcPr>
          <w:p>
            <w:pPr>
              <w:pStyle w:val="12"/>
            </w:pPr>
            <w:r>
              <w:t>设备损坏数量占比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群众对环境公园绿化问卷回访满意率</w:t>
            </w:r>
          </w:p>
        </w:tc>
        <w:tc>
          <w:tcPr>
            <w:tcW w:w="2551" w:type="dxa"/>
            <w:vAlign w:val="center"/>
          </w:tcPr>
          <w:p>
            <w:pPr>
              <w:pStyle w:val="12"/>
            </w:pPr>
            <w:r>
              <w:t>≥95%</w:t>
            </w:r>
          </w:p>
        </w:tc>
        <w:tc>
          <w:tcPr>
            <w:tcW w:w="2268" w:type="dxa"/>
            <w:vAlign w:val="center"/>
          </w:tcPr>
          <w:p>
            <w:pPr>
              <w:pStyle w:val="12"/>
            </w:pPr>
            <w:r>
              <w:t>问卷调查回访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8、2022年数字化城管平台运行及光纤费绩效目标表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1.在全县建立城市数字化管理系统，保证60处摄像头正常运转，切实提高城市管理效能和现代化管理水平，保障居民出行的安全指数。</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摄像头正常运转数量</w:t>
            </w:r>
          </w:p>
        </w:tc>
        <w:tc>
          <w:tcPr>
            <w:tcW w:w="2835" w:type="dxa"/>
            <w:vAlign w:val="center"/>
          </w:tcPr>
          <w:p>
            <w:pPr>
              <w:pStyle w:val="12"/>
            </w:pPr>
            <w:r>
              <w:t>正常运行摄像头的数量</w:t>
            </w:r>
          </w:p>
        </w:tc>
        <w:tc>
          <w:tcPr>
            <w:tcW w:w="2551" w:type="dxa"/>
            <w:vAlign w:val="center"/>
          </w:tcPr>
          <w:p>
            <w:pPr>
              <w:pStyle w:val="12"/>
            </w:pPr>
            <w:r>
              <w:t>≥55个</w:t>
            </w:r>
          </w:p>
        </w:tc>
        <w:tc>
          <w:tcPr>
            <w:tcW w:w="2268" w:type="dxa"/>
            <w:vAlign w:val="center"/>
          </w:tcPr>
          <w:p>
            <w:pPr>
              <w:pStyle w:val="12"/>
            </w:pPr>
            <w:r>
              <w:t>根据城区内60处摄像头运行率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摄像头通讯合格率</w:t>
            </w:r>
          </w:p>
        </w:tc>
        <w:tc>
          <w:tcPr>
            <w:tcW w:w="2835" w:type="dxa"/>
            <w:vAlign w:val="center"/>
          </w:tcPr>
          <w:p>
            <w:pPr>
              <w:pStyle w:val="12"/>
            </w:pPr>
            <w:r>
              <w:t>摄像头通讯传输合格率</w:t>
            </w:r>
          </w:p>
        </w:tc>
        <w:tc>
          <w:tcPr>
            <w:tcW w:w="2551" w:type="dxa"/>
            <w:vAlign w:val="center"/>
          </w:tcPr>
          <w:p>
            <w:pPr>
              <w:pStyle w:val="12"/>
            </w:pPr>
            <w:r>
              <w:t>≥95%</w:t>
            </w:r>
          </w:p>
        </w:tc>
        <w:tc>
          <w:tcPr>
            <w:tcW w:w="2268" w:type="dxa"/>
            <w:vAlign w:val="center"/>
          </w:tcPr>
          <w:p>
            <w:pPr>
              <w:pStyle w:val="12"/>
            </w:pPr>
            <w:r>
              <w:t>根据视频监控确定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设备维修时限</w:t>
            </w:r>
          </w:p>
        </w:tc>
        <w:tc>
          <w:tcPr>
            <w:tcW w:w="2835" w:type="dxa"/>
            <w:vAlign w:val="center"/>
          </w:tcPr>
          <w:p>
            <w:pPr>
              <w:pStyle w:val="12"/>
            </w:pPr>
            <w:r>
              <w:t>处置摄像头毁坏时长</w:t>
            </w:r>
          </w:p>
        </w:tc>
        <w:tc>
          <w:tcPr>
            <w:tcW w:w="2551" w:type="dxa"/>
            <w:vAlign w:val="center"/>
          </w:tcPr>
          <w:p>
            <w:pPr>
              <w:pStyle w:val="12"/>
            </w:pPr>
            <w:r>
              <w:t>≤3小时</w:t>
            </w:r>
          </w:p>
        </w:tc>
        <w:tc>
          <w:tcPr>
            <w:tcW w:w="2268" w:type="dxa"/>
            <w:vAlign w:val="center"/>
          </w:tcPr>
          <w:p>
            <w:pPr>
              <w:pStyle w:val="12"/>
            </w:pPr>
            <w:r>
              <w:t>电子监控设备完好率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运行保障成本</w:t>
            </w:r>
          </w:p>
        </w:tc>
        <w:tc>
          <w:tcPr>
            <w:tcW w:w="2835" w:type="dxa"/>
            <w:vAlign w:val="center"/>
          </w:tcPr>
          <w:p>
            <w:pPr>
              <w:pStyle w:val="12"/>
            </w:pPr>
            <w:r>
              <w:t>单个摄像头运行保障成本</w:t>
            </w:r>
          </w:p>
        </w:tc>
        <w:tc>
          <w:tcPr>
            <w:tcW w:w="2551" w:type="dxa"/>
            <w:vAlign w:val="center"/>
          </w:tcPr>
          <w:p>
            <w:pPr>
              <w:pStyle w:val="12"/>
            </w:pPr>
            <w:r>
              <w:t>≤50元</w:t>
            </w:r>
          </w:p>
        </w:tc>
        <w:tc>
          <w:tcPr>
            <w:tcW w:w="2268" w:type="dxa"/>
            <w:vAlign w:val="center"/>
          </w:tcPr>
          <w:p>
            <w:pPr>
              <w:pStyle w:val="12"/>
            </w:pPr>
            <w:r>
              <w:t>节约硬盘储存器成本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化解矛盾率(%)</w:t>
            </w:r>
          </w:p>
        </w:tc>
        <w:tc>
          <w:tcPr>
            <w:tcW w:w="2835" w:type="dxa"/>
            <w:vAlign w:val="center"/>
          </w:tcPr>
          <w:p>
            <w:pPr>
              <w:pStyle w:val="12"/>
            </w:pPr>
            <w:r>
              <w:t>化解矛盾率(%)</w:t>
            </w:r>
          </w:p>
        </w:tc>
        <w:tc>
          <w:tcPr>
            <w:tcW w:w="2551" w:type="dxa"/>
            <w:vAlign w:val="center"/>
          </w:tcPr>
          <w:p>
            <w:pPr>
              <w:pStyle w:val="12"/>
            </w:pPr>
            <w:r>
              <w:t>≥95%</w:t>
            </w:r>
          </w:p>
        </w:tc>
        <w:tc>
          <w:tcPr>
            <w:tcW w:w="2268" w:type="dxa"/>
            <w:vAlign w:val="center"/>
          </w:tcPr>
          <w:p>
            <w:pPr>
              <w:pStyle w:val="12"/>
            </w:pPr>
            <w:r>
              <w:t>根据以往年度数据测算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设备运行持续性</w:t>
            </w:r>
          </w:p>
        </w:tc>
        <w:tc>
          <w:tcPr>
            <w:tcW w:w="2835" w:type="dxa"/>
            <w:vAlign w:val="center"/>
          </w:tcPr>
          <w:p>
            <w:pPr>
              <w:pStyle w:val="12"/>
            </w:pPr>
            <w:r>
              <w:t>设备正常运行服务年限</w:t>
            </w:r>
          </w:p>
        </w:tc>
        <w:tc>
          <w:tcPr>
            <w:tcW w:w="2551" w:type="dxa"/>
            <w:vAlign w:val="center"/>
          </w:tcPr>
          <w:p>
            <w:pPr>
              <w:pStyle w:val="12"/>
            </w:pPr>
            <w:r>
              <w:t>≥10年</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满意群众占全部群众的比例</w:t>
            </w:r>
          </w:p>
        </w:tc>
        <w:tc>
          <w:tcPr>
            <w:tcW w:w="2551" w:type="dxa"/>
            <w:vAlign w:val="center"/>
          </w:tcPr>
          <w:p>
            <w:pPr>
              <w:pStyle w:val="12"/>
            </w:pPr>
            <w:r>
              <w:t>≥95%</w:t>
            </w:r>
          </w:p>
        </w:tc>
        <w:tc>
          <w:tcPr>
            <w:tcW w:w="2268" w:type="dxa"/>
            <w:vAlign w:val="center"/>
          </w:tcPr>
          <w:p>
            <w:pPr>
              <w:pStyle w:val="12"/>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9、2022年魏祠维护管理经费绩效目标表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1.保证魏祠人员工资发放，日常维护，保障公园正常运转，每年吸引游客200万以上，提升我县园林公园知名度。</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日常养护工作完成率</w:t>
            </w:r>
          </w:p>
        </w:tc>
        <w:tc>
          <w:tcPr>
            <w:tcW w:w="2835" w:type="dxa"/>
            <w:vAlign w:val="center"/>
          </w:tcPr>
          <w:p>
            <w:pPr>
              <w:pStyle w:val="12"/>
            </w:pPr>
            <w:r>
              <w:t>日常养护工作完成率</w:t>
            </w:r>
          </w:p>
        </w:tc>
        <w:tc>
          <w:tcPr>
            <w:tcW w:w="2551" w:type="dxa"/>
            <w:vAlign w:val="center"/>
          </w:tcPr>
          <w:p>
            <w:pPr>
              <w:pStyle w:val="12"/>
            </w:pPr>
            <w:r>
              <w:t>≥98%</w:t>
            </w:r>
          </w:p>
        </w:tc>
        <w:tc>
          <w:tcPr>
            <w:tcW w:w="2268" w:type="dxa"/>
            <w:vAlign w:val="center"/>
          </w:tcPr>
          <w:p>
            <w:pPr>
              <w:pStyle w:val="12"/>
            </w:pPr>
            <w:r>
              <w:t>园林绿化养护标准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养护工程合格率</w:t>
            </w:r>
          </w:p>
        </w:tc>
        <w:tc>
          <w:tcPr>
            <w:tcW w:w="2835" w:type="dxa"/>
            <w:vAlign w:val="center"/>
          </w:tcPr>
          <w:p>
            <w:pPr>
              <w:pStyle w:val="12"/>
            </w:pPr>
            <w:r>
              <w:t>养护工程合格率</w:t>
            </w:r>
          </w:p>
        </w:tc>
        <w:tc>
          <w:tcPr>
            <w:tcW w:w="2551" w:type="dxa"/>
            <w:vAlign w:val="center"/>
          </w:tcPr>
          <w:p>
            <w:pPr>
              <w:pStyle w:val="12"/>
            </w:pPr>
            <w:r>
              <w:t>≥98%</w:t>
            </w:r>
          </w:p>
        </w:tc>
        <w:tc>
          <w:tcPr>
            <w:tcW w:w="2268" w:type="dxa"/>
            <w:vAlign w:val="center"/>
          </w:tcPr>
          <w:p>
            <w:pPr>
              <w:pStyle w:val="12"/>
            </w:pPr>
            <w:r>
              <w:t>园林绿化养护标准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完成率</w:t>
            </w:r>
          </w:p>
        </w:tc>
        <w:tc>
          <w:tcPr>
            <w:tcW w:w="2551" w:type="dxa"/>
            <w:vAlign w:val="center"/>
          </w:tcPr>
          <w:p>
            <w:pPr>
              <w:pStyle w:val="12"/>
            </w:pPr>
            <w:r>
              <w:t>≥95%</w:t>
            </w:r>
          </w:p>
        </w:tc>
        <w:tc>
          <w:tcPr>
            <w:tcW w:w="2268" w:type="dxa"/>
            <w:vAlign w:val="center"/>
          </w:tcPr>
          <w:p>
            <w:pPr>
              <w:pStyle w:val="12"/>
            </w:pPr>
            <w:r>
              <w:t>园林绿化养护标准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全年养护维护成本</w:t>
            </w:r>
          </w:p>
        </w:tc>
        <w:tc>
          <w:tcPr>
            <w:tcW w:w="2835" w:type="dxa"/>
            <w:vAlign w:val="center"/>
          </w:tcPr>
          <w:p>
            <w:pPr>
              <w:pStyle w:val="12"/>
            </w:pPr>
            <w:r>
              <w:t>每年公园维护管理成本</w:t>
            </w:r>
          </w:p>
        </w:tc>
        <w:tc>
          <w:tcPr>
            <w:tcW w:w="2551" w:type="dxa"/>
            <w:vAlign w:val="center"/>
          </w:tcPr>
          <w:p>
            <w:pPr>
              <w:pStyle w:val="12"/>
            </w:pPr>
            <w:r>
              <w:t>≤60万元</w:t>
            </w:r>
          </w:p>
        </w:tc>
        <w:tc>
          <w:tcPr>
            <w:tcW w:w="2268" w:type="dxa"/>
            <w:vAlign w:val="center"/>
          </w:tcPr>
          <w:p>
            <w:pPr>
              <w:pStyle w:val="12"/>
            </w:pPr>
            <w:r>
              <w:t>园林绿化养护标准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吸引观众、游客数</w:t>
            </w:r>
          </w:p>
        </w:tc>
        <w:tc>
          <w:tcPr>
            <w:tcW w:w="2835" w:type="dxa"/>
            <w:vAlign w:val="center"/>
          </w:tcPr>
          <w:p>
            <w:pPr>
              <w:pStyle w:val="12"/>
            </w:pPr>
            <w:r>
              <w:t>吸引观众、游客数</w:t>
            </w:r>
          </w:p>
        </w:tc>
        <w:tc>
          <w:tcPr>
            <w:tcW w:w="2551" w:type="dxa"/>
            <w:vAlign w:val="center"/>
          </w:tcPr>
          <w:p>
            <w:pPr>
              <w:pStyle w:val="12"/>
            </w:pPr>
            <w:r>
              <w:t>≥200万人</w:t>
            </w:r>
          </w:p>
        </w:tc>
        <w:tc>
          <w:tcPr>
            <w:tcW w:w="2268" w:type="dxa"/>
            <w:vAlign w:val="center"/>
          </w:tcPr>
          <w:p>
            <w:pPr>
              <w:pStyle w:val="12"/>
            </w:pPr>
            <w:r>
              <w:t>园林绿化养护标准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生态环境质量改善</w:t>
            </w:r>
          </w:p>
        </w:tc>
        <w:tc>
          <w:tcPr>
            <w:tcW w:w="2835" w:type="dxa"/>
            <w:vAlign w:val="center"/>
          </w:tcPr>
          <w:p>
            <w:pPr>
              <w:pStyle w:val="12"/>
            </w:pPr>
            <w:r>
              <w:t>生态环境质量改善</w:t>
            </w:r>
          </w:p>
        </w:tc>
        <w:tc>
          <w:tcPr>
            <w:tcW w:w="2551" w:type="dxa"/>
            <w:vAlign w:val="center"/>
          </w:tcPr>
          <w:p>
            <w:pPr>
              <w:pStyle w:val="12"/>
            </w:pPr>
            <w:r>
              <w:t>≥95%</w:t>
            </w:r>
          </w:p>
        </w:tc>
        <w:tc>
          <w:tcPr>
            <w:tcW w:w="2268" w:type="dxa"/>
            <w:vAlign w:val="center"/>
          </w:tcPr>
          <w:p>
            <w:pPr>
              <w:pStyle w:val="12"/>
            </w:pPr>
            <w:r>
              <w:t>园林绿化养护标准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2835" w:type="dxa"/>
            <w:vAlign w:val="center"/>
          </w:tcPr>
          <w:p>
            <w:pPr>
              <w:pStyle w:val="12"/>
            </w:pPr>
            <w:r>
              <w:t>可持续性服务年限</w:t>
            </w:r>
          </w:p>
        </w:tc>
        <w:tc>
          <w:tcPr>
            <w:tcW w:w="2551" w:type="dxa"/>
            <w:vAlign w:val="center"/>
          </w:tcPr>
          <w:p>
            <w:pPr>
              <w:pStyle w:val="12"/>
            </w:pPr>
            <w:r>
              <w:t>≥20年</w:t>
            </w:r>
          </w:p>
        </w:tc>
        <w:tc>
          <w:tcPr>
            <w:tcW w:w="2268" w:type="dxa"/>
            <w:vAlign w:val="center"/>
          </w:tcPr>
          <w:p>
            <w:pPr>
              <w:pStyle w:val="12"/>
            </w:pPr>
            <w:r>
              <w:t>设计标准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游客满意度</w:t>
            </w:r>
          </w:p>
        </w:tc>
        <w:tc>
          <w:tcPr>
            <w:tcW w:w="2835" w:type="dxa"/>
            <w:vAlign w:val="center"/>
          </w:tcPr>
          <w:p>
            <w:pPr>
              <w:pStyle w:val="12"/>
            </w:pPr>
            <w:r>
              <w:t>满意游客占全部游客的比例</w:t>
            </w:r>
          </w:p>
        </w:tc>
        <w:tc>
          <w:tcPr>
            <w:tcW w:w="2551" w:type="dxa"/>
            <w:vAlign w:val="center"/>
          </w:tcPr>
          <w:p>
            <w:pPr>
              <w:pStyle w:val="12"/>
            </w:pPr>
            <w:r>
              <w:t>≥95%</w:t>
            </w:r>
          </w:p>
        </w:tc>
        <w:tc>
          <w:tcPr>
            <w:tcW w:w="2268" w:type="dxa"/>
            <w:vAlign w:val="center"/>
          </w:tcPr>
          <w:p>
            <w:pPr>
              <w:pStyle w:val="12"/>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10、2022年污水处理厂运行费用绩效目标表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1.收集城镇生活污水，日处理26000吨以上，处理后中水百分百达标排放。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日污水处理量（立方米）</w:t>
            </w:r>
          </w:p>
        </w:tc>
        <w:tc>
          <w:tcPr>
            <w:tcW w:w="2835" w:type="dxa"/>
            <w:vAlign w:val="center"/>
          </w:tcPr>
          <w:p>
            <w:pPr>
              <w:pStyle w:val="12"/>
            </w:pPr>
            <w:r>
              <w:t>日污水处理量（立方米）</w:t>
            </w:r>
          </w:p>
        </w:tc>
        <w:tc>
          <w:tcPr>
            <w:tcW w:w="2551" w:type="dxa"/>
            <w:vAlign w:val="center"/>
          </w:tcPr>
          <w:p>
            <w:pPr>
              <w:pStyle w:val="12"/>
            </w:pPr>
            <w:r>
              <w:t>≥2.6万吨</w:t>
            </w:r>
          </w:p>
        </w:tc>
        <w:tc>
          <w:tcPr>
            <w:tcW w:w="2268" w:type="dxa"/>
            <w:vAlign w:val="center"/>
          </w:tcPr>
          <w:p>
            <w:pPr>
              <w:pStyle w:val="12"/>
            </w:pPr>
            <w:r>
              <w:t>根据实际日处理量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污水的水质提升效率</w:t>
            </w:r>
          </w:p>
        </w:tc>
        <w:tc>
          <w:tcPr>
            <w:tcW w:w="2835" w:type="dxa"/>
            <w:vAlign w:val="center"/>
          </w:tcPr>
          <w:p>
            <w:pPr>
              <w:pStyle w:val="12"/>
            </w:pPr>
            <w:r>
              <w:t>污水的水质提升效率</w:t>
            </w:r>
          </w:p>
        </w:tc>
        <w:tc>
          <w:tcPr>
            <w:tcW w:w="2551" w:type="dxa"/>
            <w:vAlign w:val="center"/>
          </w:tcPr>
          <w:p>
            <w:pPr>
              <w:pStyle w:val="12"/>
            </w:pPr>
            <w:r>
              <w:t>≥0.02万吨</w:t>
            </w:r>
          </w:p>
        </w:tc>
        <w:tc>
          <w:tcPr>
            <w:tcW w:w="2268" w:type="dxa"/>
            <w:vAlign w:val="center"/>
          </w:tcPr>
          <w:p>
            <w:pPr>
              <w:pStyle w:val="12"/>
            </w:pPr>
            <w:r>
              <w:t>根据上级要求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污水处理时效</w:t>
            </w:r>
          </w:p>
        </w:tc>
        <w:tc>
          <w:tcPr>
            <w:tcW w:w="2835" w:type="dxa"/>
            <w:vAlign w:val="center"/>
          </w:tcPr>
          <w:p>
            <w:pPr>
              <w:pStyle w:val="12"/>
            </w:pPr>
            <w:r>
              <w:t>完成收集污水处理的时间周期</w:t>
            </w:r>
          </w:p>
        </w:tc>
        <w:tc>
          <w:tcPr>
            <w:tcW w:w="2551" w:type="dxa"/>
            <w:vAlign w:val="center"/>
          </w:tcPr>
          <w:p>
            <w:pPr>
              <w:pStyle w:val="12"/>
            </w:pPr>
            <w:r>
              <w:t>≤6小时</w:t>
            </w:r>
          </w:p>
        </w:tc>
        <w:tc>
          <w:tcPr>
            <w:tcW w:w="2268" w:type="dxa"/>
            <w:vAlign w:val="center"/>
          </w:tcPr>
          <w:p>
            <w:pPr>
              <w:pStyle w:val="12"/>
            </w:pPr>
            <w:r>
              <w:t>根据实际测算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成本报价标准</w:t>
            </w:r>
          </w:p>
        </w:tc>
        <w:tc>
          <w:tcPr>
            <w:tcW w:w="2835" w:type="dxa"/>
            <w:vAlign w:val="center"/>
          </w:tcPr>
          <w:p>
            <w:pPr>
              <w:pStyle w:val="12"/>
            </w:pPr>
            <w:r>
              <w:t>全年污水厂运行成本</w:t>
            </w:r>
          </w:p>
        </w:tc>
        <w:tc>
          <w:tcPr>
            <w:tcW w:w="2551" w:type="dxa"/>
            <w:vAlign w:val="center"/>
          </w:tcPr>
          <w:p>
            <w:pPr>
              <w:pStyle w:val="12"/>
            </w:pPr>
            <w:r>
              <w:t>≤200万元</w:t>
            </w:r>
          </w:p>
        </w:tc>
        <w:tc>
          <w:tcPr>
            <w:tcW w:w="2268" w:type="dxa"/>
            <w:vAlign w:val="center"/>
          </w:tcPr>
          <w:p>
            <w:pPr>
              <w:pStyle w:val="12"/>
            </w:pPr>
            <w:r>
              <w:t>污水处理行业标准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生态效益指标</w:t>
            </w:r>
          </w:p>
        </w:tc>
        <w:tc>
          <w:tcPr>
            <w:tcW w:w="2835" w:type="dxa"/>
            <w:vAlign w:val="center"/>
          </w:tcPr>
          <w:p>
            <w:pPr>
              <w:pStyle w:val="12"/>
            </w:pPr>
            <w:r>
              <w:t>改善生态环境质量</w:t>
            </w:r>
          </w:p>
        </w:tc>
        <w:tc>
          <w:tcPr>
            <w:tcW w:w="2551" w:type="dxa"/>
            <w:vAlign w:val="center"/>
          </w:tcPr>
          <w:p>
            <w:pPr>
              <w:pStyle w:val="12"/>
            </w:pPr>
            <w:r>
              <w:t>≥96百分比</w:t>
            </w:r>
          </w:p>
        </w:tc>
        <w:tc>
          <w:tcPr>
            <w:tcW w:w="2268" w:type="dxa"/>
            <w:vAlign w:val="center"/>
          </w:tcPr>
          <w:p>
            <w:pPr>
              <w:pStyle w:val="12"/>
            </w:pPr>
            <w:r>
              <w:t>提高中水回用率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生态效益指标</w:t>
            </w:r>
          </w:p>
        </w:tc>
        <w:tc>
          <w:tcPr>
            <w:tcW w:w="2835" w:type="dxa"/>
            <w:vAlign w:val="center"/>
          </w:tcPr>
          <w:p>
            <w:pPr>
              <w:pStyle w:val="12"/>
            </w:pPr>
            <w:r>
              <w:t>改善生态环境质量</w:t>
            </w:r>
          </w:p>
        </w:tc>
        <w:tc>
          <w:tcPr>
            <w:tcW w:w="2551" w:type="dxa"/>
            <w:vAlign w:val="center"/>
          </w:tcPr>
          <w:p>
            <w:pPr>
              <w:pStyle w:val="12"/>
            </w:pPr>
            <w:r>
              <w:t>≥96百分比</w:t>
            </w:r>
          </w:p>
        </w:tc>
        <w:tc>
          <w:tcPr>
            <w:tcW w:w="2268" w:type="dxa"/>
            <w:vAlign w:val="center"/>
          </w:tcPr>
          <w:p>
            <w:pPr>
              <w:pStyle w:val="12"/>
            </w:pPr>
            <w:r>
              <w:t>补充县城地下水源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2835" w:type="dxa"/>
            <w:vAlign w:val="center"/>
          </w:tcPr>
          <w:p>
            <w:pPr>
              <w:pStyle w:val="12"/>
            </w:pPr>
            <w:r>
              <w:t>改善生态环境质量</w:t>
            </w:r>
          </w:p>
        </w:tc>
        <w:tc>
          <w:tcPr>
            <w:tcW w:w="2551" w:type="dxa"/>
            <w:vAlign w:val="center"/>
          </w:tcPr>
          <w:p>
            <w:pPr>
              <w:pStyle w:val="12"/>
            </w:pPr>
            <w:r>
              <w:t>≥96百分比</w:t>
            </w:r>
          </w:p>
        </w:tc>
        <w:tc>
          <w:tcPr>
            <w:tcW w:w="2268" w:type="dxa"/>
            <w:vAlign w:val="center"/>
          </w:tcPr>
          <w:p>
            <w:pPr>
              <w:pStyle w:val="12"/>
            </w:pPr>
            <w:r>
              <w:t>汇水区域收集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生态效益</w:t>
            </w:r>
          </w:p>
        </w:tc>
        <w:tc>
          <w:tcPr>
            <w:tcW w:w="2835" w:type="dxa"/>
            <w:vAlign w:val="center"/>
          </w:tcPr>
          <w:p>
            <w:pPr>
              <w:pStyle w:val="12"/>
            </w:pPr>
            <w:r>
              <w:t>改善投资环境</w:t>
            </w:r>
          </w:p>
        </w:tc>
        <w:tc>
          <w:tcPr>
            <w:tcW w:w="2551" w:type="dxa"/>
            <w:vAlign w:val="center"/>
          </w:tcPr>
          <w:p>
            <w:pPr>
              <w:pStyle w:val="12"/>
            </w:pPr>
            <w:r>
              <w:t>≥96百分比</w:t>
            </w:r>
          </w:p>
        </w:tc>
        <w:tc>
          <w:tcPr>
            <w:tcW w:w="2268" w:type="dxa"/>
            <w:vAlign w:val="center"/>
          </w:tcPr>
          <w:p>
            <w:pPr>
              <w:pStyle w:val="12"/>
            </w:pPr>
            <w:r>
              <w:t>服务企业发展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根据上级考核指标</w:t>
            </w:r>
          </w:p>
        </w:tc>
        <w:tc>
          <w:tcPr>
            <w:tcW w:w="2835" w:type="dxa"/>
            <w:vAlign w:val="center"/>
          </w:tcPr>
          <w:p>
            <w:pPr>
              <w:pStyle w:val="12"/>
            </w:pPr>
            <w:r>
              <w:t>全年达标排放</w:t>
            </w:r>
          </w:p>
        </w:tc>
        <w:tc>
          <w:tcPr>
            <w:tcW w:w="2551" w:type="dxa"/>
            <w:vAlign w:val="center"/>
          </w:tcPr>
          <w:p>
            <w:pPr>
              <w:pStyle w:val="12"/>
            </w:pPr>
            <w:r>
              <w:t>≥95百分比</w:t>
            </w:r>
          </w:p>
        </w:tc>
        <w:tc>
          <w:tcPr>
            <w:tcW w:w="2268" w:type="dxa"/>
            <w:vAlign w:val="center"/>
          </w:tcPr>
          <w:p>
            <w:pPr>
              <w:pStyle w:val="12"/>
            </w:pPr>
            <w:r>
              <w:t>根据行业标准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11、2022年园区污水处理厂正常运行费用绩效目标表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1.收集城镇污水及园区污水，集中日处理1.3万吨以上，保证污水排放达标，改善我县水环境。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日污水处理量（立方米）</w:t>
            </w:r>
          </w:p>
        </w:tc>
        <w:tc>
          <w:tcPr>
            <w:tcW w:w="2835" w:type="dxa"/>
            <w:vAlign w:val="center"/>
          </w:tcPr>
          <w:p>
            <w:pPr>
              <w:pStyle w:val="12"/>
            </w:pPr>
            <w:r>
              <w:t>日污水处理量（立方米）</w:t>
            </w:r>
          </w:p>
        </w:tc>
        <w:tc>
          <w:tcPr>
            <w:tcW w:w="2551" w:type="dxa"/>
            <w:vAlign w:val="center"/>
          </w:tcPr>
          <w:p>
            <w:pPr>
              <w:pStyle w:val="12"/>
            </w:pPr>
            <w:r>
              <w:t>≥1.3万吨</w:t>
            </w:r>
          </w:p>
        </w:tc>
        <w:tc>
          <w:tcPr>
            <w:tcW w:w="2268" w:type="dxa"/>
            <w:vAlign w:val="center"/>
          </w:tcPr>
          <w:p>
            <w:pPr>
              <w:pStyle w:val="12"/>
            </w:pPr>
            <w:r>
              <w:t>根据实际日处理量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污水的水质提升效率</w:t>
            </w:r>
          </w:p>
        </w:tc>
        <w:tc>
          <w:tcPr>
            <w:tcW w:w="2835" w:type="dxa"/>
            <w:vAlign w:val="center"/>
          </w:tcPr>
          <w:p>
            <w:pPr>
              <w:pStyle w:val="12"/>
            </w:pPr>
            <w:r>
              <w:t>污水处理后水质达标率</w:t>
            </w:r>
          </w:p>
        </w:tc>
        <w:tc>
          <w:tcPr>
            <w:tcW w:w="2551" w:type="dxa"/>
            <w:vAlign w:val="center"/>
          </w:tcPr>
          <w:p>
            <w:pPr>
              <w:pStyle w:val="12"/>
            </w:pPr>
            <w:r>
              <w:t>≥50%</w:t>
            </w:r>
          </w:p>
        </w:tc>
        <w:tc>
          <w:tcPr>
            <w:tcW w:w="2268" w:type="dxa"/>
            <w:vAlign w:val="center"/>
          </w:tcPr>
          <w:p>
            <w:pPr>
              <w:pStyle w:val="12"/>
            </w:pPr>
            <w:r>
              <w:t>根据上级相关要求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安全事故报告时限</w:t>
            </w:r>
          </w:p>
        </w:tc>
        <w:tc>
          <w:tcPr>
            <w:tcW w:w="2835" w:type="dxa"/>
            <w:vAlign w:val="center"/>
          </w:tcPr>
          <w:p>
            <w:pPr>
              <w:pStyle w:val="12"/>
            </w:pPr>
            <w:r>
              <w:t>安全事故报告时限</w:t>
            </w:r>
          </w:p>
        </w:tc>
        <w:tc>
          <w:tcPr>
            <w:tcW w:w="2551" w:type="dxa"/>
            <w:vAlign w:val="center"/>
          </w:tcPr>
          <w:p>
            <w:pPr>
              <w:pStyle w:val="12"/>
            </w:pPr>
            <w:r>
              <w:t>≤0.5小时</w:t>
            </w:r>
          </w:p>
        </w:tc>
        <w:tc>
          <w:tcPr>
            <w:tcW w:w="2268" w:type="dxa"/>
            <w:vAlign w:val="center"/>
          </w:tcPr>
          <w:p>
            <w:pPr>
              <w:pStyle w:val="12"/>
            </w:pPr>
            <w:r>
              <w:t>根据实际测算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污水处理单位成本</w:t>
            </w:r>
          </w:p>
        </w:tc>
        <w:tc>
          <w:tcPr>
            <w:tcW w:w="2835" w:type="dxa"/>
            <w:vAlign w:val="center"/>
          </w:tcPr>
          <w:p>
            <w:pPr>
              <w:pStyle w:val="12"/>
            </w:pPr>
            <w:r>
              <w:t>污水处理每吨投资成本</w:t>
            </w:r>
          </w:p>
        </w:tc>
        <w:tc>
          <w:tcPr>
            <w:tcW w:w="2551" w:type="dxa"/>
            <w:vAlign w:val="center"/>
          </w:tcPr>
          <w:p>
            <w:pPr>
              <w:pStyle w:val="12"/>
            </w:pPr>
            <w:r>
              <w:t>≤1.5元</w:t>
            </w:r>
          </w:p>
        </w:tc>
        <w:tc>
          <w:tcPr>
            <w:tcW w:w="2268" w:type="dxa"/>
            <w:vAlign w:val="center"/>
          </w:tcPr>
          <w:p>
            <w:pPr>
              <w:pStyle w:val="12"/>
            </w:pPr>
            <w:r>
              <w:t>污水处理行业标准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生态效益指标</w:t>
            </w:r>
          </w:p>
        </w:tc>
        <w:tc>
          <w:tcPr>
            <w:tcW w:w="2835" w:type="dxa"/>
            <w:vAlign w:val="center"/>
          </w:tcPr>
          <w:p>
            <w:pPr>
              <w:pStyle w:val="12"/>
            </w:pPr>
            <w:r>
              <w:t>改善生态环境质量</w:t>
            </w:r>
          </w:p>
        </w:tc>
        <w:tc>
          <w:tcPr>
            <w:tcW w:w="2551" w:type="dxa"/>
            <w:vAlign w:val="center"/>
          </w:tcPr>
          <w:p>
            <w:pPr>
              <w:pStyle w:val="12"/>
            </w:pPr>
            <w:r>
              <w:t>≥99%</w:t>
            </w:r>
          </w:p>
        </w:tc>
        <w:tc>
          <w:tcPr>
            <w:tcW w:w="2268" w:type="dxa"/>
            <w:vAlign w:val="center"/>
          </w:tcPr>
          <w:p>
            <w:pPr>
              <w:pStyle w:val="12"/>
            </w:pPr>
            <w:r>
              <w:t>提高企业中水回用率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生态效益指标</w:t>
            </w:r>
          </w:p>
        </w:tc>
        <w:tc>
          <w:tcPr>
            <w:tcW w:w="2835" w:type="dxa"/>
            <w:vAlign w:val="center"/>
          </w:tcPr>
          <w:p>
            <w:pPr>
              <w:pStyle w:val="12"/>
            </w:pPr>
            <w:r>
              <w:t>改善生态环境质量</w:t>
            </w:r>
          </w:p>
        </w:tc>
        <w:tc>
          <w:tcPr>
            <w:tcW w:w="2551" w:type="dxa"/>
            <w:vAlign w:val="center"/>
          </w:tcPr>
          <w:p>
            <w:pPr>
              <w:pStyle w:val="12"/>
            </w:pPr>
            <w:r>
              <w:t>≥98%</w:t>
            </w:r>
          </w:p>
        </w:tc>
        <w:tc>
          <w:tcPr>
            <w:tcW w:w="2268" w:type="dxa"/>
            <w:vAlign w:val="center"/>
          </w:tcPr>
          <w:p>
            <w:pPr>
              <w:pStyle w:val="12"/>
            </w:pPr>
            <w:r>
              <w:t>补充县城地下水源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2835" w:type="dxa"/>
            <w:vAlign w:val="center"/>
          </w:tcPr>
          <w:p>
            <w:pPr>
              <w:pStyle w:val="12"/>
            </w:pPr>
            <w:r>
              <w:t>改善生态环境质量</w:t>
            </w:r>
          </w:p>
        </w:tc>
        <w:tc>
          <w:tcPr>
            <w:tcW w:w="2551" w:type="dxa"/>
            <w:vAlign w:val="center"/>
          </w:tcPr>
          <w:p>
            <w:pPr>
              <w:pStyle w:val="12"/>
            </w:pPr>
            <w:r>
              <w:t>≥95%</w:t>
            </w:r>
          </w:p>
        </w:tc>
        <w:tc>
          <w:tcPr>
            <w:tcW w:w="2268" w:type="dxa"/>
            <w:vAlign w:val="center"/>
          </w:tcPr>
          <w:p>
            <w:pPr>
              <w:pStyle w:val="12"/>
            </w:pPr>
            <w:r>
              <w:t>汇水区域收集量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生态效益</w:t>
            </w:r>
          </w:p>
        </w:tc>
        <w:tc>
          <w:tcPr>
            <w:tcW w:w="2835" w:type="dxa"/>
            <w:vAlign w:val="center"/>
          </w:tcPr>
          <w:p>
            <w:pPr>
              <w:pStyle w:val="12"/>
            </w:pPr>
            <w:r>
              <w:t>改善投资环境</w:t>
            </w:r>
          </w:p>
        </w:tc>
        <w:tc>
          <w:tcPr>
            <w:tcW w:w="2551" w:type="dxa"/>
            <w:vAlign w:val="center"/>
          </w:tcPr>
          <w:p>
            <w:pPr>
              <w:pStyle w:val="12"/>
            </w:pPr>
            <w:r>
              <w:t>≥15年</w:t>
            </w:r>
          </w:p>
        </w:tc>
        <w:tc>
          <w:tcPr>
            <w:tcW w:w="2268" w:type="dxa"/>
            <w:vAlign w:val="center"/>
          </w:tcPr>
          <w:p>
            <w:pPr>
              <w:pStyle w:val="12"/>
            </w:pPr>
            <w:r>
              <w:t>服务企业发展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周边满意群众占全部群众的比例</w:t>
            </w:r>
          </w:p>
        </w:tc>
        <w:tc>
          <w:tcPr>
            <w:tcW w:w="2551" w:type="dxa"/>
            <w:vAlign w:val="center"/>
          </w:tcPr>
          <w:p>
            <w:pPr>
              <w:pStyle w:val="12"/>
            </w:pPr>
            <w:r>
              <w:t>≥95%</w:t>
            </w:r>
          </w:p>
        </w:tc>
        <w:tc>
          <w:tcPr>
            <w:tcW w:w="2268" w:type="dxa"/>
            <w:vAlign w:val="center"/>
          </w:tcPr>
          <w:p>
            <w:pPr>
              <w:pStyle w:val="12"/>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12、2022年编制绿色建筑专项规划费绩效目标表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1.进一步明确魏县绿色建筑发展目标，完善相关规划技术指标，促进我县绿色建筑高质量发展。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城镇新建绿色建筑占新建建筑面积</w:t>
            </w:r>
          </w:p>
        </w:tc>
        <w:tc>
          <w:tcPr>
            <w:tcW w:w="2835" w:type="dxa"/>
            <w:vAlign w:val="center"/>
          </w:tcPr>
          <w:p>
            <w:pPr>
              <w:pStyle w:val="12"/>
            </w:pPr>
            <w:r>
              <w:t>城镇新建绿色建筑占新建建筑面积比例</w:t>
            </w:r>
          </w:p>
        </w:tc>
        <w:tc>
          <w:tcPr>
            <w:tcW w:w="2551" w:type="dxa"/>
            <w:vAlign w:val="center"/>
          </w:tcPr>
          <w:p>
            <w:pPr>
              <w:pStyle w:val="12"/>
            </w:pPr>
            <w:r>
              <w:t>≥92%</w:t>
            </w:r>
          </w:p>
        </w:tc>
        <w:tc>
          <w:tcPr>
            <w:tcW w:w="2268" w:type="dxa"/>
            <w:vAlign w:val="center"/>
          </w:tcPr>
          <w:p>
            <w:pPr>
              <w:pStyle w:val="12"/>
            </w:pPr>
            <w:r>
              <w:t>绿色建筑规划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城镇新建建筑中执行节能强制性标</w:t>
            </w:r>
          </w:p>
        </w:tc>
        <w:tc>
          <w:tcPr>
            <w:tcW w:w="2835" w:type="dxa"/>
            <w:vAlign w:val="center"/>
          </w:tcPr>
          <w:p>
            <w:pPr>
              <w:pStyle w:val="12"/>
            </w:pPr>
            <w:r>
              <w:t>城镇新建建筑中执行节能强制性标准比例</w:t>
            </w:r>
          </w:p>
        </w:tc>
        <w:tc>
          <w:tcPr>
            <w:tcW w:w="2551" w:type="dxa"/>
            <w:vAlign w:val="center"/>
          </w:tcPr>
          <w:p>
            <w:pPr>
              <w:pStyle w:val="12"/>
            </w:pPr>
            <w:r>
              <w:t>100%</w:t>
            </w:r>
          </w:p>
        </w:tc>
        <w:tc>
          <w:tcPr>
            <w:tcW w:w="2268" w:type="dxa"/>
            <w:vAlign w:val="center"/>
          </w:tcPr>
          <w:p>
            <w:pPr>
              <w:pStyle w:val="12"/>
            </w:pPr>
            <w:r>
              <w:t>绿色建筑规划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城镇绿色建筑执行率</w:t>
            </w:r>
          </w:p>
        </w:tc>
        <w:tc>
          <w:tcPr>
            <w:tcW w:w="2835" w:type="dxa"/>
            <w:vAlign w:val="center"/>
          </w:tcPr>
          <w:p>
            <w:pPr>
              <w:pStyle w:val="12"/>
            </w:pPr>
            <w:r>
              <w:t>城镇绿色建筑编制完成时间</w:t>
            </w:r>
          </w:p>
        </w:tc>
        <w:tc>
          <w:tcPr>
            <w:tcW w:w="2551" w:type="dxa"/>
            <w:vAlign w:val="center"/>
          </w:tcPr>
          <w:p>
            <w:pPr>
              <w:pStyle w:val="12"/>
            </w:pPr>
            <w:r>
              <w:t>≤30天</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2835" w:type="dxa"/>
            <w:vAlign w:val="center"/>
          </w:tcPr>
          <w:p>
            <w:pPr>
              <w:pStyle w:val="12"/>
            </w:pPr>
            <w:r>
              <w:t>编制成本控制额</w:t>
            </w:r>
          </w:p>
        </w:tc>
        <w:tc>
          <w:tcPr>
            <w:tcW w:w="2551" w:type="dxa"/>
            <w:vAlign w:val="center"/>
          </w:tcPr>
          <w:p>
            <w:pPr>
              <w:pStyle w:val="12"/>
            </w:pPr>
            <w:r>
              <w:t>≤25.6万元</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促进生态文明建设，推动绿色发展</w:t>
            </w:r>
          </w:p>
        </w:tc>
        <w:tc>
          <w:tcPr>
            <w:tcW w:w="2835" w:type="dxa"/>
            <w:vAlign w:val="center"/>
          </w:tcPr>
          <w:p>
            <w:pPr>
              <w:pStyle w:val="12"/>
            </w:pPr>
            <w:r>
              <w:t>促进生态文明建设，推动绿色发展和绿色生活方式</w:t>
            </w:r>
          </w:p>
        </w:tc>
        <w:tc>
          <w:tcPr>
            <w:tcW w:w="2551" w:type="dxa"/>
            <w:vAlign w:val="center"/>
          </w:tcPr>
          <w:p>
            <w:pPr>
              <w:pStyle w:val="12"/>
            </w:pPr>
            <w:r>
              <w:t>达到编制要求</w:t>
            </w:r>
          </w:p>
        </w:tc>
        <w:tc>
          <w:tcPr>
            <w:tcW w:w="2268" w:type="dxa"/>
            <w:vAlign w:val="center"/>
          </w:tcPr>
          <w:p>
            <w:pPr>
              <w:pStyle w:val="12"/>
            </w:pPr>
            <w:r>
              <w:t>绿色建筑规划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绿色品质提升情况</w:t>
            </w:r>
          </w:p>
        </w:tc>
        <w:tc>
          <w:tcPr>
            <w:tcW w:w="2835" w:type="dxa"/>
            <w:vAlign w:val="center"/>
          </w:tcPr>
          <w:p>
            <w:pPr>
              <w:pStyle w:val="12"/>
            </w:pPr>
            <w:r>
              <w:t>绿色品质提升，长期使用性</w:t>
            </w:r>
          </w:p>
        </w:tc>
        <w:tc>
          <w:tcPr>
            <w:tcW w:w="2551" w:type="dxa"/>
            <w:vAlign w:val="center"/>
          </w:tcPr>
          <w:p>
            <w:pPr>
              <w:pStyle w:val="12"/>
            </w:pPr>
            <w:r>
              <w:t>≥5年</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提高效率</w:t>
            </w:r>
          </w:p>
        </w:tc>
        <w:tc>
          <w:tcPr>
            <w:tcW w:w="2835" w:type="dxa"/>
            <w:vAlign w:val="center"/>
          </w:tcPr>
          <w:p>
            <w:pPr>
              <w:pStyle w:val="12"/>
            </w:pPr>
            <w:r>
              <w:t>绿色建筑实施后企业投入降低率</w:t>
            </w:r>
          </w:p>
        </w:tc>
        <w:tc>
          <w:tcPr>
            <w:tcW w:w="2551" w:type="dxa"/>
            <w:vAlign w:val="center"/>
          </w:tcPr>
          <w:p>
            <w:pPr>
              <w:pStyle w:val="12"/>
            </w:pPr>
            <w:r>
              <w:t>≥20%</w:t>
            </w:r>
          </w:p>
        </w:tc>
        <w:tc>
          <w:tcPr>
            <w:tcW w:w="2268" w:type="dxa"/>
            <w:vAlign w:val="center"/>
          </w:tcPr>
          <w:p>
            <w:pPr>
              <w:pStyle w:val="12"/>
            </w:pPr>
            <w:r>
              <w:t>绿色建筑规划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新技术应用率（%）</w:t>
            </w:r>
          </w:p>
        </w:tc>
        <w:tc>
          <w:tcPr>
            <w:tcW w:w="2835" w:type="dxa"/>
            <w:vAlign w:val="center"/>
          </w:tcPr>
          <w:p>
            <w:pPr>
              <w:pStyle w:val="12"/>
            </w:pPr>
            <w:r>
              <w:t>新技术应用率（%）</w:t>
            </w:r>
          </w:p>
        </w:tc>
        <w:tc>
          <w:tcPr>
            <w:tcW w:w="2551" w:type="dxa"/>
            <w:vAlign w:val="center"/>
          </w:tcPr>
          <w:p>
            <w:pPr>
              <w:pStyle w:val="12"/>
            </w:pPr>
            <w:r>
              <w:t>≥80%</w:t>
            </w:r>
          </w:p>
        </w:tc>
        <w:tc>
          <w:tcPr>
            <w:tcW w:w="2268" w:type="dxa"/>
            <w:vAlign w:val="center"/>
          </w:tcPr>
          <w:p>
            <w:pPr>
              <w:pStyle w:val="12"/>
            </w:pPr>
            <w:r>
              <w:t>绿色建筑规划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企业对资金拨付满意度</w:t>
            </w:r>
          </w:p>
        </w:tc>
        <w:tc>
          <w:tcPr>
            <w:tcW w:w="2551" w:type="dxa"/>
            <w:vAlign w:val="center"/>
          </w:tcPr>
          <w:p>
            <w:pPr>
              <w:pStyle w:val="12"/>
            </w:pPr>
            <w:r>
              <w:t>100%</w:t>
            </w:r>
          </w:p>
        </w:tc>
        <w:tc>
          <w:tcPr>
            <w:tcW w:w="2268" w:type="dxa"/>
            <w:vAlign w:val="center"/>
          </w:tcPr>
          <w:p>
            <w:pPr>
              <w:pStyle w:val="12"/>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13、2022年城市管理专项经费绩效目标表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1.县城城管综合业务服务覆盖面积7平方公里，服务人口约20万，市容环境、城市规划、悬挂广告牌匾、管理临时占道经营等。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城市社区综合服务设施覆盖率</w:t>
            </w:r>
          </w:p>
        </w:tc>
        <w:tc>
          <w:tcPr>
            <w:tcW w:w="2835" w:type="dxa"/>
            <w:vAlign w:val="center"/>
          </w:tcPr>
          <w:p>
            <w:pPr>
              <w:pStyle w:val="12"/>
            </w:pPr>
            <w:r>
              <w:t>县城城管综合业务服务覆盖面积</w:t>
            </w:r>
          </w:p>
        </w:tc>
        <w:tc>
          <w:tcPr>
            <w:tcW w:w="2551" w:type="dxa"/>
            <w:vAlign w:val="center"/>
          </w:tcPr>
          <w:p>
            <w:pPr>
              <w:pStyle w:val="12"/>
            </w:pPr>
            <w:r>
              <w:t>≥7平方公里</w:t>
            </w:r>
          </w:p>
        </w:tc>
        <w:tc>
          <w:tcPr>
            <w:tcW w:w="2268" w:type="dxa"/>
            <w:vAlign w:val="center"/>
          </w:tcPr>
          <w:p>
            <w:pPr>
              <w:pStyle w:val="12"/>
            </w:pPr>
            <w:r>
              <w:t>根据县城服务覆盖情况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综合事务管理工作完成率</w:t>
            </w:r>
          </w:p>
        </w:tc>
        <w:tc>
          <w:tcPr>
            <w:tcW w:w="2835" w:type="dxa"/>
            <w:vAlign w:val="center"/>
          </w:tcPr>
          <w:p>
            <w:pPr>
              <w:pStyle w:val="12"/>
            </w:pPr>
            <w:r>
              <w:t>综合事务管理工作完成率</w:t>
            </w:r>
          </w:p>
        </w:tc>
        <w:tc>
          <w:tcPr>
            <w:tcW w:w="2551" w:type="dxa"/>
            <w:vAlign w:val="center"/>
          </w:tcPr>
          <w:p>
            <w:pPr>
              <w:pStyle w:val="12"/>
            </w:pPr>
            <w:r>
              <w:t>≥95%</w:t>
            </w:r>
          </w:p>
        </w:tc>
        <w:tc>
          <w:tcPr>
            <w:tcW w:w="2268" w:type="dxa"/>
            <w:vAlign w:val="center"/>
          </w:tcPr>
          <w:p>
            <w:pPr>
              <w:pStyle w:val="12"/>
            </w:pPr>
            <w:r>
              <w:t>县城综合管理事务完成情况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执法监察完成时间</w:t>
            </w:r>
          </w:p>
        </w:tc>
        <w:tc>
          <w:tcPr>
            <w:tcW w:w="2835" w:type="dxa"/>
            <w:vAlign w:val="center"/>
          </w:tcPr>
          <w:p>
            <w:pPr>
              <w:pStyle w:val="12"/>
            </w:pPr>
            <w:r>
              <w:t>执法监察完成时间</w:t>
            </w:r>
          </w:p>
        </w:tc>
        <w:tc>
          <w:tcPr>
            <w:tcW w:w="2551" w:type="dxa"/>
            <w:vAlign w:val="center"/>
          </w:tcPr>
          <w:p>
            <w:pPr>
              <w:pStyle w:val="12"/>
            </w:pPr>
            <w:r>
              <w:t>每天按时完成执法任务</w:t>
            </w:r>
          </w:p>
        </w:tc>
        <w:tc>
          <w:tcPr>
            <w:tcW w:w="2268" w:type="dxa"/>
            <w:vAlign w:val="center"/>
          </w:tcPr>
          <w:p>
            <w:pPr>
              <w:pStyle w:val="12"/>
            </w:pPr>
            <w:r>
              <w:t>根据完成情况确定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管理经费资金数</w:t>
            </w:r>
          </w:p>
        </w:tc>
        <w:tc>
          <w:tcPr>
            <w:tcW w:w="2835" w:type="dxa"/>
            <w:vAlign w:val="center"/>
          </w:tcPr>
          <w:p>
            <w:pPr>
              <w:pStyle w:val="12"/>
            </w:pPr>
            <w:r>
              <w:t>管理经费资金数</w:t>
            </w:r>
          </w:p>
        </w:tc>
        <w:tc>
          <w:tcPr>
            <w:tcW w:w="2551" w:type="dxa"/>
            <w:vAlign w:val="center"/>
          </w:tcPr>
          <w:p>
            <w:pPr>
              <w:pStyle w:val="12"/>
            </w:pPr>
            <w:r>
              <w:t>≤200万元</w:t>
            </w:r>
          </w:p>
        </w:tc>
        <w:tc>
          <w:tcPr>
            <w:tcW w:w="2268" w:type="dxa"/>
            <w:vAlign w:val="center"/>
          </w:tcPr>
          <w:p>
            <w:pPr>
              <w:pStyle w:val="12"/>
            </w:pPr>
            <w:r>
              <w:t>根据实际事项确定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对单位规范管理工作推动效果</w:t>
            </w:r>
          </w:p>
        </w:tc>
        <w:tc>
          <w:tcPr>
            <w:tcW w:w="2835" w:type="dxa"/>
            <w:vAlign w:val="center"/>
          </w:tcPr>
          <w:p>
            <w:pPr>
              <w:pStyle w:val="12"/>
            </w:pPr>
            <w:r>
              <w:t>对单位规范管理工作推动效果</w:t>
            </w:r>
          </w:p>
        </w:tc>
        <w:tc>
          <w:tcPr>
            <w:tcW w:w="2551" w:type="dxa"/>
            <w:vAlign w:val="center"/>
          </w:tcPr>
          <w:p>
            <w:pPr>
              <w:pStyle w:val="12"/>
            </w:pPr>
            <w:r>
              <w:t>规范管理县城秩序</w:t>
            </w:r>
          </w:p>
        </w:tc>
        <w:tc>
          <w:tcPr>
            <w:tcW w:w="2268" w:type="dxa"/>
            <w:vAlign w:val="center"/>
          </w:tcPr>
          <w:p>
            <w:pPr>
              <w:pStyle w:val="12"/>
            </w:pPr>
            <w:r>
              <w:t>根据单位业务科室学习情况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完善道路交通管理秩序</w:t>
            </w:r>
          </w:p>
        </w:tc>
        <w:tc>
          <w:tcPr>
            <w:tcW w:w="2835" w:type="dxa"/>
            <w:vAlign w:val="center"/>
          </w:tcPr>
          <w:p>
            <w:pPr>
              <w:pStyle w:val="12"/>
            </w:pPr>
            <w:r>
              <w:t>完善道路交通管理秩序</w:t>
            </w:r>
          </w:p>
        </w:tc>
        <w:tc>
          <w:tcPr>
            <w:tcW w:w="2551" w:type="dxa"/>
            <w:vAlign w:val="center"/>
          </w:tcPr>
          <w:p>
            <w:pPr>
              <w:pStyle w:val="12"/>
            </w:pPr>
            <w:r>
              <w:t>县城道路通畅有序</w:t>
            </w:r>
          </w:p>
        </w:tc>
        <w:tc>
          <w:tcPr>
            <w:tcW w:w="2268" w:type="dxa"/>
            <w:vAlign w:val="center"/>
          </w:tcPr>
          <w:p>
            <w:pPr>
              <w:pStyle w:val="12"/>
            </w:pPr>
            <w:r>
              <w:t>根据道路通畅情况确定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交通秩序管理群众满意度</w:t>
            </w:r>
          </w:p>
        </w:tc>
        <w:tc>
          <w:tcPr>
            <w:tcW w:w="2835" w:type="dxa"/>
            <w:vAlign w:val="center"/>
          </w:tcPr>
          <w:p>
            <w:pPr>
              <w:pStyle w:val="12"/>
            </w:pPr>
            <w:r>
              <w:t>通过抽查问卷的方式，调查部分群众对交通秩序管理的满意度</w:t>
            </w:r>
          </w:p>
        </w:tc>
        <w:tc>
          <w:tcPr>
            <w:tcW w:w="2551" w:type="dxa"/>
            <w:vAlign w:val="center"/>
          </w:tcPr>
          <w:p>
            <w:pPr>
              <w:pStyle w:val="12"/>
            </w:pPr>
            <w:r>
              <w:t>≥96%</w:t>
            </w:r>
          </w:p>
        </w:tc>
        <w:tc>
          <w:tcPr>
            <w:tcW w:w="2268" w:type="dxa"/>
            <w:vAlign w:val="center"/>
          </w:tcPr>
          <w:p>
            <w:pPr>
              <w:pStyle w:val="12"/>
            </w:pPr>
            <w:r>
              <w:t>根据问卷调查结果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14、2022年公厕运行费绩效目标表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1.对县城内46座星级公厕进行专人维护管理，满足群众日常出行需求，提升县城整体品位。</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维护星级公厕数量</w:t>
            </w:r>
          </w:p>
        </w:tc>
        <w:tc>
          <w:tcPr>
            <w:tcW w:w="2835" w:type="dxa"/>
            <w:vAlign w:val="center"/>
          </w:tcPr>
          <w:p>
            <w:pPr>
              <w:pStyle w:val="12"/>
            </w:pPr>
            <w:r>
              <w:t>需要维护的星级公厕数量</w:t>
            </w:r>
          </w:p>
        </w:tc>
        <w:tc>
          <w:tcPr>
            <w:tcW w:w="2551" w:type="dxa"/>
            <w:vAlign w:val="center"/>
          </w:tcPr>
          <w:p>
            <w:pPr>
              <w:pStyle w:val="12"/>
            </w:pPr>
            <w:r>
              <w:t>46座</w:t>
            </w:r>
          </w:p>
        </w:tc>
        <w:tc>
          <w:tcPr>
            <w:tcW w:w="2268" w:type="dxa"/>
            <w:vAlign w:val="center"/>
          </w:tcPr>
          <w:p>
            <w:pPr>
              <w:pStyle w:val="12"/>
            </w:pPr>
            <w:r>
              <w:t>星级公厕评比标准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星级公厕优先评优率</w:t>
            </w:r>
          </w:p>
        </w:tc>
        <w:tc>
          <w:tcPr>
            <w:tcW w:w="2835" w:type="dxa"/>
            <w:vAlign w:val="center"/>
          </w:tcPr>
          <w:p>
            <w:pPr>
              <w:pStyle w:val="12"/>
            </w:pPr>
            <w:r>
              <w:t>星级公厕优先评优率</w:t>
            </w:r>
          </w:p>
        </w:tc>
        <w:tc>
          <w:tcPr>
            <w:tcW w:w="2551" w:type="dxa"/>
            <w:vAlign w:val="center"/>
          </w:tcPr>
          <w:p>
            <w:pPr>
              <w:pStyle w:val="12"/>
            </w:pPr>
            <w:r>
              <w:t>≥95%</w:t>
            </w:r>
          </w:p>
        </w:tc>
        <w:tc>
          <w:tcPr>
            <w:tcW w:w="2268" w:type="dxa"/>
            <w:vAlign w:val="center"/>
          </w:tcPr>
          <w:p>
            <w:pPr>
              <w:pStyle w:val="12"/>
            </w:pPr>
            <w:r>
              <w:t>星级公厕评比标准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公厕运行维护经费拨付时限</w:t>
            </w:r>
          </w:p>
        </w:tc>
        <w:tc>
          <w:tcPr>
            <w:tcW w:w="2835" w:type="dxa"/>
            <w:vAlign w:val="center"/>
          </w:tcPr>
          <w:p>
            <w:pPr>
              <w:pStyle w:val="12"/>
            </w:pPr>
            <w:r>
              <w:t>公厕运行维护经费拨付时限</w:t>
            </w:r>
          </w:p>
        </w:tc>
        <w:tc>
          <w:tcPr>
            <w:tcW w:w="2551" w:type="dxa"/>
            <w:vAlign w:val="center"/>
          </w:tcPr>
          <w:p>
            <w:pPr>
              <w:pStyle w:val="12"/>
            </w:pPr>
            <w:r>
              <w:t>12月底前</w:t>
            </w:r>
          </w:p>
        </w:tc>
        <w:tc>
          <w:tcPr>
            <w:tcW w:w="2268" w:type="dxa"/>
            <w:vAlign w:val="center"/>
          </w:tcPr>
          <w:p>
            <w:pPr>
              <w:pStyle w:val="12"/>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年维护运行总成本</w:t>
            </w:r>
          </w:p>
        </w:tc>
        <w:tc>
          <w:tcPr>
            <w:tcW w:w="2835" w:type="dxa"/>
            <w:vAlign w:val="center"/>
          </w:tcPr>
          <w:p>
            <w:pPr>
              <w:pStyle w:val="12"/>
            </w:pPr>
            <w:r>
              <w:t>成本控制率(%)</w:t>
            </w:r>
          </w:p>
        </w:tc>
        <w:tc>
          <w:tcPr>
            <w:tcW w:w="2551" w:type="dxa"/>
            <w:vAlign w:val="center"/>
          </w:tcPr>
          <w:p>
            <w:pPr>
              <w:pStyle w:val="12"/>
            </w:pPr>
            <w:r>
              <w:t>≤511万元</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新增就业人数</w:t>
            </w:r>
          </w:p>
        </w:tc>
        <w:tc>
          <w:tcPr>
            <w:tcW w:w="2835" w:type="dxa"/>
            <w:vAlign w:val="center"/>
          </w:tcPr>
          <w:p>
            <w:pPr>
              <w:pStyle w:val="12"/>
            </w:pPr>
            <w:r>
              <w:t>安置无业人员再就业，保障社会稳定</w:t>
            </w:r>
          </w:p>
        </w:tc>
        <w:tc>
          <w:tcPr>
            <w:tcW w:w="2551" w:type="dxa"/>
            <w:vAlign w:val="center"/>
          </w:tcPr>
          <w:p>
            <w:pPr>
              <w:pStyle w:val="12"/>
            </w:pPr>
            <w:r>
              <w:t>≥80人</w:t>
            </w:r>
          </w:p>
        </w:tc>
        <w:tc>
          <w:tcPr>
            <w:tcW w:w="2268" w:type="dxa"/>
            <w:vAlign w:val="center"/>
          </w:tcPr>
          <w:p>
            <w:pPr>
              <w:pStyle w:val="12"/>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促进生态文明建设，推动绿色发展</w:t>
            </w:r>
          </w:p>
        </w:tc>
        <w:tc>
          <w:tcPr>
            <w:tcW w:w="2835" w:type="dxa"/>
            <w:vAlign w:val="center"/>
          </w:tcPr>
          <w:p>
            <w:pPr>
              <w:pStyle w:val="12"/>
            </w:pPr>
            <w:r>
              <w:t>促进生态文明建设，推动绿色发展和绿色生活方式</w:t>
            </w:r>
          </w:p>
        </w:tc>
        <w:tc>
          <w:tcPr>
            <w:tcW w:w="2551" w:type="dxa"/>
            <w:vAlign w:val="center"/>
          </w:tcPr>
          <w:p>
            <w:pPr>
              <w:pStyle w:val="12"/>
            </w:pPr>
            <w:r>
              <w:t>提升居民整体素质</w:t>
            </w:r>
          </w:p>
        </w:tc>
        <w:tc>
          <w:tcPr>
            <w:tcW w:w="2268" w:type="dxa"/>
            <w:vAlign w:val="center"/>
          </w:tcPr>
          <w:p>
            <w:pPr>
              <w:pStyle w:val="12"/>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品牌效应持续性</w:t>
            </w:r>
          </w:p>
        </w:tc>
        <w:tc>
          <w:tcPr>
            <w:tcW w:w="2835" w:type="dxa"/>
            <w:vAlign w:val="center"/>
          </w:tcPr>
          <w:p>
            <w:pPr>
              <w:pStyle w:val="12"/>
            </w:pPr>
            <w:r>
              <w:t>魏县公厕品牌形象，提升社会影响度</w:t>
            </w:r>
          </w:p>
        </w:tc>
        <w:tc>
          <w:tcPr>
            <w:tcW w:w="2551" w:type="dxa"/>
            <w:vAlign w:val="center"/>
          </w:tcPr>
          <w:p>
            <w:pPr>
              <w:pStyle w:val="12"/>
            </w:pPr>
            <w:r>
              <w:t>调查满意人员占调查人员的比例</w:t>
            </w:r>
          </w:p>
        </w:tc>
        <w:tc>
          <w:tcPr>
            <w:tcW w:w="2268" w:type="dxa"/>
            <w:vAlign w:val="center"/>
          </w:tcPr>
          <w:p>
            <w:pPr>
              <w:pStyle w:val="12"/>
            </w:pPr>
            <w:r>
              <w:t>星级公厕评比标准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调查满意人员占调查人员的比例</w:t>
            </w:r>
          </w:p>
        </w:tc>
        <w:tc>
          <w:tcPr>
            <w:tcW w:w="2551" w:type="dxa"/>
            <w:vAlign w:val="center"/>
          </w:tcPr>
          <w:p>
            <w:pPr>
              <w:pStyle w:val="12"/>
            </w:pPr>
            <w:r>
              <w:t>≥95%</w:t>
            </w:r>
          </w:p>
        </w:tc>
        <w:tc>
          <w:tcPr>
            <w:tcW w:w="2268" w:type="dxa"/>
            <w:vAlign w:val="center"/>
          </w:tcPr>
          <w:p>
            <w:pPr>
              <w:pStyle w:val="12"/>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15、2022年公共租赁住房支出绩效目标表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1.维护县城公共租赁住房，维修廉租房等费用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公共租赁住房维修户数</w:t>
            </w:r>
          </w:p>
        </w:tc>
        <w:tc>
          <w:tcPr>
            <w:tcW w:w="2835" w:type="dxa"/>
            <w:vAlign w:val="center"/>
          </w:tcPr>
          <w:p>
            <w:pPr>
              <w:pStyle w:val="12"/>
            </w:pPr>
            <w:r>
              <w:t>公共租赁住房维修户数</w:t>
            </w:r>
          </w:p>
        </w:tc>
        <w:tc>
          <w:tcPr>
            <w:tcW w:w="2551" w:type="dxa"/>
            <w:vAlign w:val="center"/>
          </w:tcPr>
          <w:p>
            <w:pPr>
              <w:pStyle w:val="12"/>
            </w:pPr>
            <w:r>
              <w:t>≥25套</w:t>
            </w:r>
          </w:p>
        </w:tc>
        <w:tc>
          <w:tcPr>
            <w:tcW w:w="2268" w:type="dxa"/>
            <w:vAlign w:val="center"/>
          </w:tcPr>
          <w:p>
            <w:pPr>
              <w:pStyle w:val="12"/>
            </w:pPr>
            <w:r>
              <w:t>设计标准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竣工验收通过国家合格标准</w:t>
            </w:r>
          </w:p>
        </w:tc>
        <w:tc>
          <w:tcPr>
            <w:tcW w:w="2551" w:type="dxa"/>
            <w:vAlign w:val="center"/>
          </w:tcPr>
          <w:p>
            <w:pPr>
              <w:pStyle w:val="12"/>
            </w:pPr>
            <w:r>
              <w:t>≥95%</w:t>
            </w:r>
          </w:p>
        </w:tc>
        <w:tc>
          <w:tcPr>
            <w:tcW w:w="2268" w:type="dxa"/>
            <w:vAlign w:val="center"/>
          </w:tcPr>
          <w:p>
            <w:pPr>
              <w:pStyle w:val="12"/>
            </w:pPr>
            <w:r>
              <w:t>国家标准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资金拨付时效</w:t>
            </w:r>
          </w:p>
        </w:tc>
        <w:tc>
          <w:tcPr>
            <w:tcW w:w="2835" w:type="dxa"/>
            <w:vAlign w:val="center"/>
          </w:tcPr>
          <w:p>
            <w:pPr>
              <w:pStyle w:val="12"/>
            </w:pPr>
            <w:r>
              <w:t>收到财政拨款到拨付企业时间差</w:t>
            </w:r>
          </w:p>
        </w:tc>
        <w:tc>
          <w:tcPr>
            <w:tcW w:w="2551" w:type="dxa"/>
            <w:vAlign w:val="center"/>
          </w:tcPr>
          <w:p>
            <w:pPr>
              <w:pStyle w:val="12"/>
            </w:pPr>
            <w:r>
              <w:t>≤10工作日</w:t>
            </w:r>
          </w:p>
        </w:tc>
        <w:tc>
          <w:tcPr>
            <w:tcW w:w="2268" w:type="dxa"/>
            <w:vAlign w:val="center"/>
          </w:tcPr>
          <w:p>
            <w:pPr>
              <w:pStyle w:val="12"/>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实际投入成本</w:t>
            </w:r>
          </w:p>
        </w:tc>
        <w:tc>
          <w:tcPr>
            <w:tcW w:w="2835" w:type="dxa"/>
            <w:vAlign w:val="center"/>
          </w:tcPr>
          <w:p>
            <w:pPr>
              <w:pStyle w:val="12"/>
            </w:pPr>
            <w:r>
              <w:t>实际投入成本低于预算额的比例</w:t>
            </w:r>
          </w:p>
        </w:tc>
        <w:tc>
          <w:tcPr>
            <w:tcW w:w="2551" w:type="dxa"/>
            <w:vAlign w:val="center"/>
          </w:tcPr>
          <w:p>
            <w:pPr>
              <w:pStyle w:val="12"/>
            </w:pPr>
            <w:r>
              <w:t>≤15%</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节约政府资金投入率</w:t>
            </w:r>
          </w:p>
        </w:tc>
        <w:tc>
          <w:tcPr>
            <w:tcW w:w="2835" w:type="dxa"/>
            <w:vAlign w:val="center"/>
          </w:tcPr>
          <w:p>
            <w:pPr>
              <w:pStyle w:val="12"/>
            </w:pPr>
            <w:r>
              <w:t>集中建设节约财政投入比例</w:t>
            </w:r>
          </w:p>
        </w:tc>
        <w:tc>
          <w:tcPr>
            <w:tcW w:w="2551" w:type="dxa"/>
            <w:vAlign w:val="center"/>
          </w:tcPr>
          <w:p>
            <w:pPr>
              <w:pStyle w:val="12"/>
            </w:pPr>
            <w:r>
              <w:t>≥15%</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保障低收入居民入住率</w:t>
            </w:r>
          </w:p>
        </w:tc>
        <w:tc>
          <w:tcPr>
            <w:tcW w:w="2835" w:type="dxa"/>
            <w:vAlign w:val="center"/>
          </w:tcPr>
          <w:p>
            <w:pPr>
              <w:pStyle w:val="12"/>
            </w:pPr>
            <w:r>
              <w:t>保障我县符合居住人群入住率</w:t>
            </w:r>
          </w:p>
        </w:tc>
        <w:tc>
          <w:tcPr>
            <w:tcW w:w="2551" w:type="dxa"/>
            <w:vAlign w:val="center"/>
          </w:tcPr>
          <w:p>
            <w:pPr>
              <w:pStyle w:val="12"/>
            </w:pPr>
            <w:r>
              <w:t>≥70%</w:t>
            </w:r>
          </w:p>
        </w:tc>
        <w:tc>
          <w:tcPr>
            <w:tcW w:w="2268" w:type="dxa"/>
            <w:vAlign w:val="center"/>
          </w:tcPr>
          <w:p>
            <w:pPr>
              <w:pStyle w:val="12"/>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2835" w:type="dxa"/>
            <w:vAlign w:val="center"/>
          </w:tcPr>
          <w:p>
            <w:pPr>
              <w:pStyle w:val="12"/>
            </w:pPr>
            <w:r>
              <w:t>中标企业对资金拨付的满意度</w:t>
            </w:r>
          </w:p>
        </w:tc>
        <w:tc>
          <w:tcPr>
            <w:tcW w:w="2551" w:type="dxa"/>
            <w:vAlign w:val="center"/>
          </w:tcPr>
          <w:p>
            <w:pPr>
              <w:pStyle w:val="12"/>
            </w:pPr>
            <w:r>
              <w:t>≥95%</w:t>
            </w:r>
          </w:p>
        </w:tc>
        <w:tc>
          <w:tcPr>
            <w:tcW w:w="2268" w:type="dxa"/>
            <w:vAlign w:val="center"/>
          </w:tcPr>
          <w:p>
            <w:pPr>
              <w:pStyle w:val="12"/>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16、2022年路灯电费绩效目标表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1.保障县城3100余杆路灯正常运行，为县城居民夜间出行提供保障。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保障用电路灯数量</w:t>
            </w:r>
          </w:p>
        </w:tc>
        <w:tc>
          <w:tcPr>
            <w:tcW w:w="2835" w:type="dxa"/>
            <w:vAlign w:val="center"/>
          </w:tcPr>
          <w:p>
            <w:pPr>
              <w:pStyle w:val="12"/>
            </w:pPr>
            <w:r>
              <w:t>正常照明路灯数量</w:t>
            </w:r>
          </w:p>
        </w:tc>
        <w:tc>
          <w:tcPr>
            <w:tcW w:w="2551" w:type="dxa"/>
            <w:vAlign w:val="center"/>
          </w:tcPr>
          <w:p>
            <w:pPr>
              <w:pStyle w:val="12"/>
            </w:pPr>
            <w:r>
              <w:t>≥3100杆</w:t>
            </w:r>
          </w:p>
        </w:tc>
        <w:tc>
          <w:tcPr>
            <w:tcW w:w="2268" w:type="dxa"/>
            <w:vAlign w:val="center"/>
          </w:tcPr>
          <w:p>
            <w:pPr>
              <w:pStyle w:val="12"/>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设施正常使用率</w:t>
            </w:r>
          </w:p>
        </w:tc>
        <w:tc>
          <w:tcPr>
            <w:tcW w:w="2835" w:type="dxa"/>
            <w:vAlign w:val="center"/>
          </w:tcPr>
          <w:p>
            <w:pPr>
              <w:pStyle w:val="12"/>
            </w:pPr>
            <w:r>
              <w:t>设施维护保证正常使用率</w:t>
            </w:r>
          </w:p>
        </w:tc>
        <w:tc>
          <w:tcPr>
            <w:tcW w:w="2551" w:type="dxa"/>
            <w:vAlign w:val="center"/>
          </w:tcPr>
          <w:p>
            <w:pPr>
              <w:pStyle w:val="12"/>
            </w:pPr>
            <w:r>
              <w:t>≥95%</w:t>
            </w:r>
          </w:p>
        </w:tc>
        <w:tc>
          <w:tcPr>
            <w:tcW w:w="2268" w:type="dxa"/>
            <w:vAlign w:val="center"/>
          </w:tcPr>
          <w:p>
            <w:pPr>
              <w:pStyle w:val="12"/>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设备维修及时率</w:t>
            </w:r>
          </w:p>
        </w:tc>
        <w:tc>
          <w:tcPr>
            <w:tcW w:w="2835" w:type="dxa"/>
            <w:vAlign w:val="center"/>
          </w:tcPr>
          <w:p>
            <w:pPr>
              <w:pStyle w:val="12"/>
            </w:pPr>
            <w:r>
              <w:t>设备故障维修时效</w:t>
            </w:r>
          </w:p>
        </w:tc>
        <w:tc>
          <w:tcPr>
            <w:tcW w:w="2551" w:type="dxa"/>
            <w:vAlign w:val="center"/>
          </w:tcPr>
          <w:p>
            <w:pPr>
              <w:pStyle w:val="12"/>
            </w:pPr>
            <w:r>
              <w:t>≤24小时</w:t>
            </w:r>
          </w:p>
        </w:tc>
        <w:tc>
          <w:tcPr>
            <w:tcW w:w="2268" w:type="dxa"/>
            <w:vAlign w:val="center"/>
          </w:tcPr>
          <w:p>
            <w:pPr>
              <w:pStyle w:val="12"/>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路灯用电总成本</w:t>
            </w:r>
          </w:p>
        </w:tc>
        <w:tc>
          <w:tcPr>
            <w:tcW w:w="2835" w:type="dxa"/>
            <w:vAlign w:val="center"/>
          </w:tcPr>
          <w:p>
            <w:pPr>
              <w:pStyle w:val="12"/>
            </w:pPr>
            <w:r>
              <w:t>路灯用电总成本控制额</w:t>
            </w:r>
          </w:p>
        </w:tc>
        <w:tc>
          <w:tcPr>
            <w:tcW w:w="2551" w:type="dxa"/>
            <w:vAlign w:val="center"/>
          </w:tcPr>
          <w:p>
            <w:pPr>
              <w:pStyle w:val="12"/>
            </w:pPr>
            <w:r>
              <w:t>≤500万元</w:t>
            </w:r>
          </w:p>
        </w:tc>
        <w:tc>
          <w:tcPr>
            <w:tcW w:w="2268" w:type="dxa"/>
            <w:vAlign w:val="center"/>
          </w:tcPr>
          <w:p>
            <w:pPr>
              <w:pStyle w:val="12"/>
            </w:pPr>
            <w:r>
              <w:t>根据以往年度测算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拉动经济提升率</w:t>
            </w:r>
          </w:p>
        </w:tc>
        <w:tc>
          <w:tcPr>
            <w:tcW w:w="2835" w:type="dxa"/>
            <w:vAlign w:val="center"/>
          </w:tcPr>
          <w:p>
            <w:pPr>
              <w:pStyle w:val="12"/>
            </w:pPr>
            <w:r>
              <w:t>延长商户营业时间，提高经济指标额</w:t>
            </w:r>
          </w:p>
        </w:tc>
        <w:tc>
          <w:tcPr>
            <w:tcW w:w="2551" w:type="dxa"/>
            <w:vAlign w:val="center"/>
          </w:tcPr>
          <w:p>
            <w:pPr>
              <w:pStyle w:val="12"/>
            </w:pPr>
            <w:r>
              <w:t>≥20%</w:t>
            </w:r>
          </w:p>
        </w:tc>
        <w:tc>
          <w:tcPr>
            <w:tcW w:w="2268" w:type="dxa"/>
            <w:vAlign w:val="center"/>
          </w:tcPr>
          <w:p>
            <w:pPr>
              <w:pStyle w:val="12"/>
            </w:pPr>
            <w:r>
              <w:t>根据统计数据测算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交通事故下降率（%）</w:t>
            </w:r>
          </w:p>
        </w:tc>
        <w:tc>
          <w:tcPr>
            <w:tcW w:w="2835" w:type="dxa"/>
            <w:vAlign w:val="center"/>
          </w:tcPr>
          <w:p>
            <w:pPr>
              <w:pStyle w:val="12"/>
            </w:pPr>
            <w:r>
              <w:t>交通事故下降率（%）</w:t>
            </w:r>
          </w:p>
        </w:tc>
        <w:tc>
          <w:tcPr>
            <w:tcW w:w="2551" w:type="dxa"/>
            <w:vAlign w:val="center"/>
          </w:tcPr>
          <w:p>
            <w:pPr>
              <w:pStyle w:val="12"/>
            </w:pPr>
            <w:r>
              <w:t>≥30%</w:t>
            </w:r>
          </w:p>
        </w:tc>
        <w:tc>
          <w:tcPr>
            <w:tcW w:w="2268" w:type="dxa"/>
            <w:vAlign w:val="center"/>
          </w:tcPr>
          <w:p>
            <w:pPr>
              <w:pStyle w:val="12"/>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基础设施完好率（%）</w:t>
            </w:r>
          </w:p>
          <w:p>
            <w:pPr>
              <w:pStyle w:val="12"/>
            </w:pPr>
          </w:p>
          <w:p>
            <w:pPr>
              <w:pStyle w:val="12"/>
            </w:pPr>
          </w:p>
        </w:tc>
        <w:tc>
          <w:tcPr>
            <w:tcW w:w="2835" w:type="dxa"/>
            <w:vAlign w:val="center"/>
          </w:tcPr>
          <w:p>
            <w:pPr>
              <w:pStyle w:val="12"/>
            </w:pPr>
            <w:r>
              <w:t>设备完好数量市场价值总额占设备总数量市场价值总额的比率</w:t>
            </w:r>
          </w:p>
        </w:tc>
        <w:tc>
          <w:tcPr>
            <w:tcW w:w="2551" w:type="dxa"/>
            <w:vAlign w:val="center"/>
          </w:tcPr>
          <w:p>
            <w:pPr>
              <w:pStyle w:val="12"/>
            </w:pPr>
            <w:r>
              <w:t>≥95%</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满意群众占全部群众的比例</w:t>
            </w:r>
          </w:p>
        </w:tc>
        <w:tc>
          <w:tcPr>
            <w:tcW w:w="2551" w:type="dxa"/>
            <w:vAlign w:val="center"/>
          </w:tcPr>
          <w:p>
            <w:pPr>
              <w:pStyle w:val="12"/>
            </w:pPr>
            <w:r>
              <w:t>≥95%</w:t>
            </w:r>
          </w:p>
        </w:tc>
        <w:tc>
          <w:tcPr>
            <w:tcW w:w="2268" w:type="dxa"/>
            <w:vAlign w:val="center"/>
          </w:tcPr>
          <w:p>
            <w:pPr>
              <w:pStyle w:val="12"/>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17、2022年马庄棚户区改造项目贷款本金及利息绩效目标表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1.马庄棚户区改造项目贷款本金及利息</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归还贷款利息、贷款</w:t>
            </w:r>
          </w:p>
        </w:tc>
        <w:tc>
          <w:tcPr>
            <w:tcW w:w="2835" w:type="dxa"/>
            <w:vAlign w:val="center"/>
          </w:tcPr>
          <w:p>
            <w:pPr>
              <w:pStyle w:val="12"/>
            </w:pPr>
            <w:r>
              <w:t>归还贷款本金及利息</w:t>
            </w:r>
          </w:p>
        </w:tc>
        <w:tc>
          <w:tcPr>
            <w:tcW w:w="2551" w:type="dxa"/>
            <w:vAlign w:val="center"/>
          </w:tcPr>
          <w:p>
            <w:pPr>
              <w:pStyle w:val="12"/>
            </w:pPr>
            <w:r>
              <w:t>1360万元</w:t>
            </w:r>
          </w:p>
        </w:tc>
        <w:tc>
          <w:tcPr>
            <w:tcW w:w="2268" w:type="dxa"/>
            <w:vAlign w:val="center"/>
          </w:tcPr>
          <w:p>
            <w:pPr>
              <w:pStyle w:val="12"/>
            </w:pPr>
            <w:r>
              <w:t>农发行贷款协议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归还贷款利息、贷款完成率</w:t>
            </w:r>
          </w:p>
        </w:tc>
        <w:tc>
          <w:tcPr>
            <w:tcW w:w="2835" w:type="dxa"/>
            <w:vAlign w:val="center"/>
          </w:tcPr>
          <w:p>
            <w:pPr>
              <w:pStyle w:val="12"/>
            </w:pPr>
            <w:r>
              <w:t>归还贷款利息、贷款完成率</w:t>
            </w:r>
          </w:p>
        </w:tc>
        <w:tc>
          <w:tcPr>
            <w:tcW w:w="2551" w:type="dxa"/>
            <w:vAlign w:val="center"/>
          </w:tcPr>
          <w:p>
            <w:pPr>
              <w:pStyle w:val="12"/>
            </w:pPr>
            <w:r>
              <w:t>≥99%</w:t>
            </w:r>
          </w:p>
        </w:tc>
        <w:tc>
          <w:tcPr>
            <w:tcW w:w="2268" w:type="dxa"/>
            <w:vAlign w:val="center"/>
          </w:tcPr>
          <w:p>
            <w:pPr>
              <w:pStyle w:val="12"/>
            </w:pPr>
            <w:r>
              <w:t>及时还款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偿还贷款本息预算数</w:t>
            </w:r>
          </w:p>
        </w:tc>
        <w:tc>
          <w:tcPr>
            <w:tcW w:w="2835" w:type="dxa"/>
            <w:vAlign w:val="center"/>
          </w:tcPr>
          <w:p>
            <w:pPr>
              <w:pStyle w:val="12"/>
            </w:pPr>
            <w:r>
              <w:t>偿还贷款本息预算数</w:t>
            </w:r>
          </w:p>
        </w:tc>
        <w:tc>
          <w:tcPr>
            <w:tcW w:w="2551" w:type="dxa"/>
            <w:vAlign w:val="center"/>
          </w:tcPr>
          <w:p>
            <w:pPr>
              <w:pStyle w:val="12"/>
            </w:pPr>
            <w:r>
              <w:t>≤1360万元</w:t>
            </w:r>
          </w:p>
        </w:tc>
        <w:tc>
          <w:tcPr>
            <w:tcW w:w="2268" w:type="dxa"/>
            <w:vAlign w:val="center"/>
          </w:tcPr>
          <w:p>
            <w:pPr>
              <w:pStyle w:val="12"/>
            </w:pPr>
            <w:r>
              <w:t>及时还款不产生滞纳金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归还贷款利息、贷款及时率</w:t>
            </w:r>
          </w:p>
        </w:tc>
        <w:tc>
          <w:tcPr>
            <w:tcW w:w="2835" w:type="dxa"/>
            <w:vAlign w:val="center"/>
          </w:tcPr>
          <w:p>
            <w:pPr>
              <w:pStyle w:val="12"/>
            </w:pPr>
            <w:r>
              <w:t>归还贷款利息、贷款及时率</w:t>
            </w:r>
          </w:p>
        </w:tc>
        <w:tc>
          <w:tcPr>
            <w:tcW w:w="2551" w:type="dxa"/>
            <w:vAlign w:val="center"/>
          </w:tcPr>
          <w:p>
            <w:pPr>
              <w:pStyle w:val="12"/>
            </w:pPr>
            <w:r>
              <w:t>≥98%</w:t>
            </w:r>
          </w:p>
        </w:tc>
        <w:tc>
          <w:tcPr>
            <w:tcW w:w="2268" w:type="dxa"/>
            <w:vAlign w:val="center"/>
          </w:tcPr>
          <w:p>
            <w:pPr>
              <w:pStyle w:val="12"/>
            </w:pPr>
            <w:r>
              <w:t>根据还款协议及时还款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为企业节约经营成本金额</w:t>
            </w:r>
          </w:p>
        </w:tc>
        <w:tc>
          <w:tcPr>
            <w:tcW w:w="2835" w:type="dxa"/>
            <w:vAlign w:val="center"/>
          </w:tcPr>
          <w:p>
            <w:pPr>
              <w:pStyle w:val="12"/>
            </w:pPr>
            <w:r>
              <w:t>为企业节约经营成本金额</w:t>
            </w:r>
          </w:p>
        </w:tc>
        <w:tc>
          <w:tcPr>
            <w:tcW w:w="2551" w:type="dxa"/>
            <w:vAlign w:val="center"/>
          </w:tcPr>
          <w:p>
            <w:pPr>
              <w:pStyle w:val="12"/>
            </w:pPr>
            <w:r>
              <w:t>及时还款节约企业经营成本</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贷款违约率</w:t>
            </w:r>
          </w:p>
        </w:tc>
        <w:tc>
          <w:tcPr>
            <w:tcW w:w="2835" w:type="dxa"/>
            <w:vAlign w:val="center"/>
          </w:tcPr>
          <w:p>
            <w:pPr>
              <w:pStyle w:val="12"/>
            </w:pPr>
            <w:r>
              <w:t xml:space="preserve">到期偿还贷款情况，出现违约资金的比率 </w:t>
            </w:r>
          </w:p>
        </w:tc>
        <w:tc>
          <w:tcPr>
            <w:tcW w:w="2551" w:type="dxa"/>
            <w:vAlign w:val="center"/>
          </w:tcPr>
          <w:p>
            <w:pPr>
              <w:pStyle w:val="12"/>
            </w:pPr>
            <w:r>
              <w:t>≤10%</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满意群众占全部群众的比例</w:t>
            </w:r>
          </w:p>
        </w:tc>
        <w:tc>
          <w:tcPr>
            <w:tcW w:w="2551" w:type="dxa"/>
            <w:vAlign w:val="center"/>
          </w:tcPr>
          <w:p>
            <w:pPr>
              <w:pStyle w:val="12"/>
            </w:pPr>
            <w:r>
              <w:t>≥95%</w:t>
            </w:r>
          </w:p>
        </w:tc>
        <w:tc>
          <w:tcPr>
            <w:tcW w:w="2268" w:type="dxa"/>
            <w:vAlign w:val="center"/>
          </w:tcPr>
          <w:p>
            <w:pPr>
              <w:pStyle w:val="12"/>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18、2022年农民工工资应急资金绩效目标表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1.保证金账户不低于500万元应急金，在县城农民工工资形成拖欠时，应急发放农民工工资，保障农民工合法权益不受侵害。</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保证金账户结存额</w:t>
            </w:r>
          </w:p>
        </w:tc>
        <w:tc>
          <w:tcPr>
            <w:tcW w:w="2835" w:type="dxa"/>
            <w:vAlign w:val="center"/>
          </w:tcPr>
          <w:p>
            <w:pPr>
              <w:pStyle w:val="12"/>
            </w:pPr>
            <w:r>
              <w:t>保证金账户结存额</w:t>
            </w:r>
          </w:p>
        </w:tc>
        <w:tc>
          <w:tcPr>
            <w:tcW w:w="2551" w:type="dxa"/>
            <w:vAlign w:val="center"/>
          </w:tcPr>
          <w:p>
            <w:pPr>
              <w:pStyle w:val="12"/>
            </w:pPr>
            <w:r>
              <w:t>≥500万元</w:t>
            </w:r>
          </w:p>
        </w:tc>
        <w:tc>
          <w:tcPr>
            <w:tcW w:w="2268"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群体性事件成功处置率（%）</w:t>
            </w:r>
          </w:p>
        </w:tc>
        <w:tc>
          <w:tcPr>
            <w:tcW w:w="2835" w:type="dxa"/>
            <w:vAlign w:val="center"/>
          </w:tcPr>
          <w:p>
            <w:pPr>
              <w:pStyle w:val="12"/>
            </w:pPr>
            <w:r>
              <w:t>群体性事件成功处置率（%）</w:t>
            </w:r>
          </w:p>
        </w:tc>
        <w:tc>
          <w:tcPr>
            <w:tcW w:w="2551" w:type="dxa"/>
            <w:vAlign w:val="center"/>
          </w:tcPr>
          <w:p>
            <w:pPr>
              <w:pStyle w:val="12"/>
            </w:pPr>
            <w:r>
              <w:t>≥95%</w:t>
            </w:r>
          </w:p>
        </w:tc>
        <w:tc>
          <w:tcPr>
            <w:tcW w:w="2268" w:type="dxa"/>
            <w:vAlign w:val="center"/>
          </w:tcPr>
          <w:p>
            <w:pPr>
              <w:pStyle w:val="12"/>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欠薪事件处置时效</w:t>
            </w:r>
          </w:p>
        </w:tc>
        <w:tc>
          <w:tcPr>
            <w:tcW w:w="2835" w:type="dxa"/>
            <w:vAlign w:val="center"/>
          </w:tcPr>
          <w:p>
            <w:pPr>
              <w:pStyle w:val="12"/>
            </w:pPr>
            <w:r>
              <w:t>欠薪事件处置时长</w:t>
            </w:r>
          </w:p>
        </w:tc>
        <w:tc>
          <w:tcPr>
            <w:tcW w:w="2551" w:type="dxa"/>
            <w:vAlign w:val="center"/>
          </w:tcPr>
          <w:p>
            <w:pPr>
              <w:pStyle w:val="12"/>
            </w:pPr>
            <w:r>
              <w:t>≤15工作日</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应急周转金额控制</w:t>
            </w:r>
          </w:p>
        </w:tc>
        <w:tc>
          <w:tcPr>
            <w:tcW w:w="2835" w:type="dxa"/>
            <w:vAlign w:val="center"/>
          </w:tcPr>
          <w:p>
            <w:pPr>
              <w:pStyle w:val="12"/>
            </w:pPr>
            <w:r>
              <w:t>应急周转金额最低控制</w:t>
            </w:r>
          </w:p>
        </w:tc>
        <w:tc>
          <w:tcPr>
            <w:tcW w:w="2551" w:type="dxa"/>
            <w:vAlign w:val="center"/>
          </w:tcPr>
          <w:p>
            <w:pPr>
              <w:pStyle w:val="12"/>
            </w:pPr>
            <w:r>
              <w:t>500万元</w:t>
            </w:r>
          </w:p>
        </w:tc>
        <w:tc>
          <w:tcPr>
            <w:tcW w:w="2268"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资金发挥的效益</w:t>
            </w:r>
          </w:p>
        </w:tc>
        <w:tc>
          <w:tcPr>
            <w:tcW w:w="2835" w:type="dxa"/>
            <w:vAlign w:val="center"/>
          </w:tcPr>
          <w:p>
            <w:pPr>
              <w:pStyle w:val="12"/>
            </w:pPr>
            <w:r>
              <w:t>实际解决农民工工资，减少农民工经济损失</w:t>
            </w:r>
          </w:p>
        </w:tc>
        <w:tc>
          <w:tcPr>
            <w:tcW w:w="2551" w:type="dxa"/>
            <w:vAlign w:val="center"/>
          </w:tcPr>
          <w:p>
            <w:pPr>
              <w:pStyle w:val="12"/>
            </w:pPr>
            <w:r>
              <w:t>≥95%</w:t>
            </w:r>
          </w:p>
        </w:tc>
        <w:tc>
          <w:tcPr>
            <w:tcW w:w="2268"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群众投诉下降率（%）</w:t>
            </w:r>
          </w:p>
        </w:tc>
        <w:tc>
          <w:tcPr>
            <w:tcW w:w="2835" w:type="dxa"/>
            <w:vAlign w:val="center"/>
          </w:tcPr>
          <w:p>
            <w:pPr>
              <w:pStyle w:val="12"/>
            </w:pPr>
            <w:r>
              <w:t>群众投诉率下降，提升社会稳定</w:t>
            </w:r>
          </w:p>
        </w:tc>
        <w:tc>
          <w:tcPr>
            <w:tcW w:w="2551" w:type="dxa"/>
            <w:vAlign w:val="center"/>
          </w:tcPr>
          <w:p>
            <w:pPr>
              <w:pStyle w:val="12"/>
            </w:pPr>
            <w:r>
              <w:t>≥20%</w:t>
            </w:r>
          </w:p>
        </w:tc>
        <w:tc>
          <w:tcPr>
            <w:tcW w:w="2268" w:type="dxa"/>
            <w:vAlign w:val="center"/>
          </w:tcPr>
          <w:p>
            <w:pPr>
              <w:pStyle w:val="12"/>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农民工满意度</w:t>
            </w:r>
          </w:p>
        </w:tc>
        <w:tc>
          <w:tcPr>
            <w:tcW w:w="2835" w:type="dxa"/>
            <w:vAlign w:val="center"/>
          </w:tcPr>
          <w:p>
            <w:pPr>
              <w:pStyle w:val="12"/>
            </w:pPr>
            <w:r>
              <w:t>满意农民工占全部受理农名工的比例</w:t>
            </w:r>
          </w:p>
        </w:tc>
        <w:tc>
          <w:tcPr>
            <w:tcW w:w="2551" w:type="dxa"/>
            <w:vAlign w:val="center"/>
          </w:tcPr>
          <w:p>
            <w:pPr>
              <w:pStyle w:val="12"/>
            </w:pPr>
            <w:r>
              <w:t>≥95%</w:t>
            </w:r>
          </w:p>
        </w:tc>
        <w:tc>
          <w:tcPr>
            <w:tcW w:w="2268" w:type="dxa"/>
            <w:vAlign w:val="center"/>
          </w:tcPr>
          <w:p>
            <w:pPr>
              <w:pStyle w:val="12"/>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19、2022年生活垃圾焚烧发电费绩效目标表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1.年处理垃圾40000吨以上，合理环保处理生活垃圾，改善生活垃圾对环境的污染，对生活垃圾处理后资源再利用。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垃圾焚烧数量指标</w:t>
            </w:r>
          </w:p>
        </w:tc>
        <w:tc>
          <w:tcPr>
            <w:tcW w:w="2835" w:type="dxa"/>
            <w:vAlign w:val="center"/>
          </w:tcPr>
          <w:p>
            <w:pPr>
              <w:pStyle w:val="12"/>
            </w:pPr>
            <w:r>
              <w:t>垃圾焚烧实际处理量</w:t>
            </w:r>
          </w:p>
        </w:tc>
        <w:tc>
          <w:tcPr>
            <w:tcW w:w="2551" w:type="dxa"/>
            <w:vAlign w:val="center"/>
          </w:tcPr>
          <w:p>
            <w:pPr>
              <w:pStyle w:val="12"/>
            </w:pPr>
            <w:r>
              <w:t>≥40000吨</w:t>
            </w:r>
          </w:p>
        </w:tc>
        <w:tc>
          <w:tcPr>
            <w:tcW w:w="2268"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垃圾焚烧处理后达标率</w:t>
            </w:r>
          </w:p>
        </w:tc>
        <w:tc>
          <w:tcPr>
            <w:tcW w:w="2835" w:type="dxa"/>
            <w:vAlign w:val="center"/>
          </w:tcPr>
          <w:p>
            <w:pPr>
              <w:pStyle w:val="12"/>
            </w:pPr>
            <w:r>
              <w:t>垃圾焚烧处理后达标率</w:t>
            </w:r>
          </w:p>
        </w:tc>
        <w:tc>
          <w:tcPr>
            <w:tcW w:w="2551" w:type="dxa"/>
            <w:vAlign w:val="center"/>
          </w:tcPr>
          <w:p>
            <w:pPr>
              <w:pStyle w:val="12"/>
            </w:pPr>
            <w:r>
              <w:t>≥95%</w:t>
            </w:r>
          </w:p>
        </w:tc>
        <w:tc>
          <w:tcPr>
            <w:tcW w:w="2268" w:type="dxa"/>
            <w:vAlign w:val="center"/>
          </w:tcPr>
          <w:p>
            <w:pPr>
              <w:pStyle w:val="12"/>
            </w:pPr>
            <w:r>
              <w:t>国家标准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资金拨付时效</w:t>
            </w:r>
          </w:p>
        </w:tc>
        <w:tc>
          <w:tcPr>
            <w:tcW w:w="2835" w:type="dxa"/>
            <w:vAlign w:val="center"/>
          </w:tcPr>
          <w:p>
            <w:pPr>
              <w:pStyle w:val="12"/>
            </w:pPr>
            <w:r>
              <w:t>收到财政资金到拨付企业时差</w:t>
            </w:r>
          </w:p>
        </w:tc>
        <w:tc>
          <w:tcPr>
            <w:tcW w:w="2551" w:type="dxa"/>
            <w:vAlign w:val="center"/>
          </w:tcPr>
          <w:p>
            <w:pPr>
              <w:pStyle w:val="12"/>
            </w:pPr>
            <w:r>
              <w:t>≤10工作日</w:t>
            </w:r>
          </w:p>
        </w:tc>
        <w:tc>
          <w:tcPr>
            <w:tcW w:w="2268" w:type="dxa"/>
            <w:vAlign w:val="center"/>
          </w:tcPr>
          <w:p>
            <w:pPr>
              <w:pStyle w:val="12"/>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财政补贴成本差价指标</w:t>
            </w:r>
          </w:p>
        </w:tc>
        <w:tc>
          <w:tcPr>
            <w:tcW w:w="2835" w:type="dxa"/>
            <w:vAlign w:val="center"/>
          </w:tcPr>
          <w:p>
            <w:pPr>
              <w:pStyle w:val="12"/>
            </w:pPr>
            <w:r>
              <w:t>财政补贴比财政投入建设节约率</w:t>
            </w:r>
          </w:p>
        </w:tc>
        <w:tc>
          <w:tcPr>
            <w:tcW w:w="2551" w:type="dxa"/>
            <w:vAlign w:val="center"/>
          </w:tcPr>
          <w:p>
            <w:pPr>
              <w:pStyle w:val="12"/>
            </w:pPr>
            <w:r>
              <w:t>≥30%</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反映生活垃圾分类实施效果</w:t>
            </w:r>
          </w:p>
        </w:tc>
        <w:tc>
          <w:tcPr>
            <w:tcW w:w="2835" w:type="dxa"/>
            <w:vAlign w:val="center"/>
          </w:tcPr>
          <w:p>
            <w:pPr>
              <w:pStyle w:val="12"/>
            </w:pPr>
            <w:r>
              <w:t>反映生活垃圾分类实施效果成效提升率</w:t>
            </w:r>
          </w:p>
        </w:tc>
        <w:tc>
          <w:tcPr>
            <w:tcW w:w="2551" w:type="dxa"/>
            <w:vAlign w:val="center"/>
          </w:tcPr>
          <w:p>
            <w:pPr>
              <w:pStyle w:val="12"/>
            </w:pPr>
            <w:r>
              <w:t>≥20%</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城市生活垃圾处理</w:t>
            </w:r>
          </w:p>
        </w:tc>
        <w:tc>
          <w:tcPr>
            <w:tcW w:w="2835" w:type="dxa"/>
            <w:vAlign w:val="center"/>
          </w:tcPr>
          <w:p>
            <w:pPr>
              <w:pStyle w:val="12"/>
            </w:pPr>
            <w:r>
              <w:t>垃圾集中处理，提升社会形象度</w:t>
            </w:r>
          </w:p>
        </w:tc>
        <w:tc>
          <w:tcPr>
            <w:tcW w:w="2551" w:type="dxa"/>
            <w:vAlign w:val="center"/>
          </w:tcPr>
          <w:p>
            <w:pPr>
              <w:pStyle w:val="12"/>
            </w:pPr>
            <w:r>
              <w:t>≥10%</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生态环境质量改善</w:t>
            </w:r>
          </w:p>
        </w:tc>
        <w:tc>
          <w:tcPr>
            <w:tcW w:w="2835" w:type="dxa"/>
            <w:vAlign w:val="center"/>
          </w:tcPr>
          <w:p>
            <w:pPr>
              <w:pStyle w:val="12"/>
            </w:pPr>
            <w:r>
              <w:t>生态环境质量改善，居民幸福指数提高</w:t>
            </w:r>
          </w:p>
        </w:tc>
        <w:tc>
          <w:tcPr>
            <w:tcW w:w="2551" w:type="dxa"/>
            <w:vAlign w:val="center"/>
          </w:tcPr>
          <w:p>
            <w:pPr>
              <w:pStyle w:val="12"/>
            </w:pPr>
            <w:r>
              <w:t>≥15%</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项目持续发挥作用期限</w:t>
            </w:r>
          </w:p>
        </w:tc>
        <w:tc>
          <w:tcPr>
            <w:tcW w:w="2835" w:type="dxa"/>
            <w:vAlign w:val="center"/>
          </w:tcPr>
          <w:p>
            <w:pPr>
              <w:pStyle w:val="12"/>
            </w:pPr>
            <w:r>
              <w:t>项目持续发挥作用期限</w:t>
            </w:r>
          </w:p>
        </w:tc>
        <w:tc>
          <w:tcPr>
            <w:tcW w:w="2551" w:type="dxa"/>
            <w:vAlign w:val="center"/>
          </w:tcPr>
          <w:p>
            <w:pPr>
              <w:pStyle w:val="12"/>
            </w:pPr>
            <w:r>
              <w:t>≥15年</w:t>
            </w:r>
          </w:p>
        </w:tc>
        <w:tc>
          <w:tcPr>
            <w:tcW w:w="2268" w:type="dxa"/>
            <w:vAlign w:val="center"/>
          </w:tcPr>
          <w:p>
            <w:pPr>
              <w:pStyle w:val="12"/>
            </w:pPr>
            <w:r>
              <w:t>设计标准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2835" w:type="dxa"/>
            <w:vAlign w:val="center"/>
          </w:tcPr>
          <w:p>
            <w:pPr>
              <w:pStyle w:val="12"/>
            </w:pPr>
            <w:r>
              <w:t>企业对资金拨付满意度</w:t>
            </w:r>
          </w:p>
        </w:tc>
        <w:tc>
          <w:tcPr>
            <w:tcW w:w="2551" w:type="dxa"/>
            <w:vAlign w:val="center"/>
          </w:tcPr>
          <w:p>
            <w:pPr>
              <w:pStyle w:val="12"/>
            </w:pPr>
            <w:r>
              <w:t>≥95%</w:t>
            </w:r>
          </w:p>
        </w:tc>
        <w:tc>
          <w:tcPr>
            <w:tcW w:w="2268" w:type="dxa"/>
            <w:vAlign w:val="center"/>
          </w:tcPr>
          <w:p>
            <w:pPr>
              <w:pStyle w:val="12"/>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20、2022年污水处理厂城东污水设施配套管网绩效目标表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1.污水处理厂城东污水设施配套管网农发行本金利息还款307.9万元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归还贷款利息、贷款</w:t>
            </w:r>
          </w:p>
        </w:tc>
        <w:tc>
          <w:tcPr>
            <w:tcW w:w="2835" w:type="dxa"/>
            <w:vAlign w:val="center"/>
          </w:tcPr>
          <w:p>
            <w:pPr>
              <w:pStyle w:val="12"/>
            </w:pPr>
            <w:r>
              <w:t>归还贷款本金及利息</w:t>
            </w:r>
          </w:p>
        </w:tc>
        <w:tc>
          <w:tcPr>
            <w:tcW w:w="2551" w:type="dxa"/>
            <w:vAlign w:val="center"/>
          </w:tcPr>
          <w:p>
            <w:pPr>
              <w:pStyle w:val="12"/>
            </w:pPr>
            <w:r>
              <w:t>307.9万元</w:t>
            </w:r>
          </w:p>
        </w:tc>
        <w:tc>
          <w:tcPr>
            <w:tcW w:w="2268" w:type="dxa"/>
            <w:vAlign w:val="center"/>
          </w:tcPr>
          <w:p>
            <w:pPr>
              <w:pStyle w:val="12"/>
            </w:pPr>
            <w:r>
              <w:t>农发行贷款协议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归还贷款利息、贷款完成率</w:t>
            </w:r>
          </w:p>
        </w:tc>
        <w:tc>
          <w:tcPr>
            <w:tcW w:w="2835" w:type="dxa"/>
            <w:vAlign w:val="center"/>
          </w:tcPr>
          <w:p>
            <w:pPr>
              <w:pStyle w:val="12"/>
            </w:pPr>
            <w:r>
              <w:t>归还贷款利息、贷款完成率</w:t>
            </w:r>
          </w:p>
        </w:tc>
        <w:tc>
          <w:tcPr>
            <w:tcW w:w="2551" w:type="dxa"/>
            <w:vAlign w:val="center"/>
          </w:tcPr>
          <w:p>
            <w:pPr>
              <w:pStyle w:val="12"/>
            </w:pPr>
            <w:r>
              <w:t>≥99%</w:t>
            </w:r>
          </w:p>
        </w:tc>
        <w:tc>
          <w:tcPr>
            <w:tcW w:w="2268" w:type="dxa"/>
            <w:vAlign w:val="center"/>
          </w:tcPr>
          <w:p>
            <w:pPr>
              <w:pStyle w:val="12"/>
            </w:pPr>
            <w:r>
              <w:t>及时还款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偿还贷款本息预算数</w:t>
            </w:r>
          </w:p>
        </w:tc>
        <w:tc>
          <w:tcPr>
            <w:tcW w:w="2835" w:type="dxa"/>
            <w:vAlign w:val="center"/>
          </w:tcPr>
          <w:p>
            <w:pPr>
              <w:pStyle w:val="12"/>
            </w:pPr>
            <w:r>
              <w:t>偿还贷款本息预算数</w:t>
            </w:r>
          </w:p>
        </w:tc>
        <w:tc>
          <w:tcPr>
            <w:tcW w:w="2551" w:type="dxa"/>
            <w:vAlign w:val="center"/>
          </w:tcPr>
          <w:p>
            <w:pPr>
              <w:pStyle w:val="12"/>
            </w:pPr>
            <w:r>
              <w:t>≤307.9万元</w:t>
            </w:r>
          </w:p>
        </w:tc>
        <w:tc>
          <w:tcPr>
            <w:tcW w:w="2268" w:type="dxa"/>
            <w:vAlign w:val="center"/>
          </w:tcPr>
          <w:p>
            <w:pPr>
              <w:pStyle w:val="12"/>
            </w:pPr>
            <w:r>
              <w:t>及时还款不产生滞纳金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归还贷款利息、贷款及时率</w:t>
            </w:r>
          </w:p>
        </w:tc>
        <w:tc>
          <w:tcPr>
            <w:tcW w:w="2835" w:type="dxa"/>
            <w:vAlign w:val="center"/>
          </w:tcPr>
          <w:p>
            <w:pPr>
              <w:pStyle w:val="12"/>
            </w:pPr>
            <w:r>
              <w:t>归还贷款利息、贷款及时率</w:t>
            </w:r>
          </w:p>
        </w:tc>
        <w:tc>
          <w:tcPr>
            <w:tcW w:w="2551" w:type="dxa"/>
            <w:vAlign w:val="center"/>
          </w:tcPr>
          <w:p>
            <w:pPr>
              <w:pStyle w:val="12"/>
            </w:pPr>
            <w:r>
              <w:t>≥98%</w:t>
            </w:r>
          </w:p>
        </w:tc>
        <w:tc>
          <w:tcPr>
            <w:tcW w:w="2268" w:type="dxa"/>
            <w:vAlign w:val="center"/>
          </w:tcPr>
          <w:p>
            <w:pPr>
              <w:pStyle w:val="12"/>
            </w:pPr>
            <w:r>
              <w:t>根据还款协议及时还款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为企业节约经营成本金额</w:t>
            </w:r>
          </w:p>
        </w:tc>
        <w:tc>
          <w:tcPr>
            <w:tcW w:w="2835" w:type="dxa"/>
            <w:vAlign w:val="center"/>
          </w:tcPr>
          <w:p>
            <w:pPr>
              <w:pStyle w:val="12"/>
            </w:pPr>
            <w:r>
              <w:t>为企业节约经营成本金额</w:t>
            </w:r>
          </w:p>
        </w:tc>
        <w:tc>
          <w:tcPr>
            <w:tcW w:w="2551" w:type="dxa"/>
            <w:vAlign w:val="center"/>
          </w:tcPr>
          <w:p>
            <w:pPr>
              <w:pStyle w:val="12"/>
            </w:pPr>
            <w:r>
              <w:t>及时还款节约企业经营成本</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贷款违约率</w:t>
            </w:r>
          </w:p>
        </w:tc>
        <w:tc>
          <w:tcPr>
            <w:tcW w:w="2835" w:type="dxa"/>
            <w:vAlign w:val="center"/>
          </w:tcPr>
          <w:p>
            <w:pPr>
              <w:pStyle w:val="12"/>
            </w:pPr>
            <w:r>
              <w:t>到期偿还贷款情况，出现违约资金的比率</w:t>
            </w:r>
          </w:p>
        </w:tc>
        <w:tc>
          <w:tcPr>
            <w:tcW w:w="2551" w:type="dxa"/>
            <w:vAlign w:val="center"/>
          </w:tcPr>
          <w:p>
            <w:pPr>
              <w:pStyle w:val="12"/>
            </w:pPr>
            <w:r>
              <w:t>≤10%</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满意群众占全部群众的比例</w:t>
            </w:r>
          </w:p>
        </w:tc>
        <w:tc>
          <w:tcPr>
            <w:tcW w:w="2551" w:type="dxa"/>
            <w:vAlign w:val="center"/>
          </w:tcPr>
          <w:p>
            <w:pPr>
              <w:pStyle w:val="12"/>
            </w:pPr>
            <w:r>
              <w:t>≥95%</w:t>
            </w:r>
          </w:p>
        </w:tc>
        <w:tc>
          <w:tcPr>
            <w:tcW w:w="2268" w:type="dxa"/>
            <w:vAlign w:val="center"/>
          </w:tcPr>
          <w:p>
            <w:pPr>
              <w:pStyle w:val="12"/>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21、2022年张二庄、回隆、双井污水处理厂运行费绩效目标表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1.保证乡镇污水日收集处理1.1万吨以上，改善乡镇生态环境及水质量标准。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日污水处理量（立方米）</w:t>
            </w:r>
          </w:p>
        </w:tc>
        <w:tc>
          <w:tcPr>
            <w:tcW w:w="2835" w:type="dxa"/>
            <w:vAlign w:val="center"/>
          </w:tcPr>
          <w:p>
            <w:pPr>
              <w:pStyle w:val="12"/>
            </w:pPr>
            <w:r>
              <w:t>日污水处理量（立方米）</w:t>
            </w:r>
          </w:p>
        </w:tc>
        <w:tc>
          <w:tcPr>
            <w:tcW w:w="2551" w:type="dxa"/>
            <w:vAlign w:val="center"/>
          </w:tcPr>
          <w:p>
            <w:pPr>
              <w:pStyle w:val="12"/>
            </w:pPr>
            <w:r>
              <w:t>≥1.1万吨</w:t>
            </w:r>
          </w:p>
        </w:tc>
        <w:tc>
          <w:tcPr>
            <w:tcW w:w="2268" w:type="dxa"/>
            <w:vAlign w:val="center"/>
          </w:tcPr>
          <w:p>
            <w:pPr>
              <w:pStyle w:val="12"/>
            </w:pPr>
            <w:r>
              <w:t>设计标准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污水的水质提升效率</w:t>
            </w:r>
          </w:p>
        </w:tc>
        <w:tc>
          <w:tcPr>
            <w:tcW w:w="2835" w:type="dxa"/>
            <w:vAlign w:val="center"/>
          </w:tcPr>
          <w:p>
            <w:pPr>
              <w:pStyle w:val="12"/>
            </w:pPr>
            <w:r>
              <w:t>污水处理后水质达标率</w:t>
            </w:r>
          </w:p>
        </w:tc>
        <w:tc>
          <w:tcPr>
            <w:tcW w:w="2551" w:type="dxa"/>
            <w:vAlign w:val="center"/>
          </w:tcPr>
          <w:p>
            <w:pPr>
              <w:pStyle w:val="12"/>
            </w:pPr>
            <w:r>
              <w:t>≥50%</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安全事故报告时限</w:t>
            </w:r>
          </w:p>
        </w:tc>
        <w:tc>
          <w:tcPr>
            <w:tcW w:w="2835" w:type="dxa"/>
            <w:vAlign w:val="center"/>
          </w:tcPr>
          <w:p>
            <w:pPr>
              <w:pStyle w:val="12"/>
            </w:pPr>
            <w:r>
              <w:t>安全事故报告时限</w:t>
            </w:r>
          </w:p>
        </w:tc>
        <w:tc>
          <w:tcPr>
            <w:tcW w:w="2551" w:type="dxa"/>
            <w:vAlign w:val="center"/>
          </w:tcPr>
          <w:p>
            <w:pPr>
              <w:pStyle w:val="12"/>
            </w:pPr>
            <w:r>
              <w:t>≤0.5小时</w:t>
            </w:r>
          </w:p>
        </w:tc>
        <w:tc>
          <w:tcPr>
            <w:tcW w:w="2268" w:type="dxa"/>
            <w:vAlign w:val="center"/>
          </w:tcPr>
          <w:p>
            <w:pPr>
              <w:pStyle w:val="12"/>
            </w:pPr>
            <w:r>
              <w:t>根据实际测算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污水处理单位成本</w:t>
            </w:r>
          </w:p>
        </w:tc>
        <w:tc>
          <w:tcPr>
            <w:tcW w:w="2835" w:type="dxa"/>
            <w:vAlign w:val="center"/>
          </w:tcPr>
          <w:p>
            <w:pPr>
              <w:pStyle w:val="12"/>
            </w:pPr>
            <w:r>
              <w:t>污水处理每吨投资成本</w:t>
            </w:r>
          </w:p>
        </w:tc>
        <w:tc>
          <w:tcPr>
            <w:tcW w:w="2551" w:type="dxa"/>
            <w:vAlign w:val="center"/>
          </w:tcPr>
          <w:p>
            <w:pPr>
              <w:pStyle w:val="12"/>
            </w:pPr>
            <w:r>
              <w:t>≤1.5元</w:t>
            </w:r>
          </w:p>
        </w:tc>
        <w:tc>
          <w:tcPr>
            <w:tcW w:w="2268" w:type="dxa"/>
            <w:vAlign w:val="center"/>
          </w:tcPr>
          <w:p>
            <w:pPr>
              <w:pStyle w:val="12"/>
            </w:pPr>
            <w:r>
              <w:t>污水处理行业标准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2835" w:type="dxa"/>
            <w:vAlign w:val="center"/>
          </w:tcPr>
          <w:p>
            <w:pPr>
              <w:pStyle w:val="12"/>
            </w:pPr>
            <w:r>
              <w:t>经济效益指标</w:t>
            </w:r>
          </w:p>
        </w:tc>
        <w:tc>
          <w:tcPr>
            <w:tcW w:w="2551" w:type="dxa"/>
            <w:vAlign w:val="center"/>
          </w:tcPr>
          <w:p>
            <w:pPr>
              <w:pStyle w:val="12"/>
            </w:pPr>
            <w:r>
              <w:t>≥99%</w:t>
            </w:r>
          </w:p>
        </w:tc>
        <w:tc>
          <w:tcPr>
            <w:tcW w:w="2268" w:type="dxa"/>
            <w:vAlign w:val="center"/>
          </w:tcPr>
          <w:p>
            <w:pPr>
              <w:pStyle w:val="12"/>
            </w:pPr>
            <w:r>
              <w:t>提高企业中水回用率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社会效益指标</w:t>
            </w:r>
          </w:p>
        </w:tc>
        <w:tc>
          <w:tcPr>
            <w:tcW w:w="2835" w:type="dxa"/>
            <w:vAlign w:val="center"/>
          </w:tcPr>
          <w:p>
            <w:pPr>
              <w:pStyle w:val="12"/>
            </w:pPr>
            <w:r>
              <w:t>社会效益指标</w:t>
            </w:r>
          </w:p>
        </w:tc>
        <w:tc>
          <w:tcPr>
            <w:tcW w:w="2551" w:type="dxa"/>
            <w:vAlign w:val="center"/>
          </w:tcPr>
          <w:p>
            <w:pPr>
              <w:pStyle w:val="12"/>
            </w:pPr>
            <w:r>
              <w:t>≥98%</w:t>
            </w:r>
          </w:p>
        </w:tc>
        <w:tc>
          <w:tcPr>
            <w:tcW w:w="2268" w:type="dxa"/>
            <w:vAlign w:val="center"/>
          </w:tcPr>
          <w:p>
            <w:pPr>
              <w:pStyle w:val="12"/>
            </w:pPr>
            <w:r>
              <w:t>补充乡镇地下水源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2835" w:type="dxa"/>
            <w:vAlign w:val="center"/>
          </w:tcPr>
          <w:p>
            <w:pPr>
              <w:pStyle w:val="12"/>
            </w:pPr>
            <w:r>
              <w:t>改善生态环境质量</w:t>
            </w:r>
          </w:p>
        </w:tc>
        <w:tc>
          <w:tcPr>
            <w:tcW w:w="2551" w:type="dxa"/>
            <w:vAlign w:val="center"/>
          </w:tcPr>
          <w:p>
            <w:pPr>
              <w:pStyle w:val="12"/>
            </w:pPr>
            <w:r>
              <w:t>≥95%</w:t>
            </w:r>
          </w:p>
        </w:tc>
        <w:tc>
          <w:tcPr>
            <w:tcW w:w="2268" w:type="dxa"/>
            <w:vAlign w:val="center"/>
          </w:tcPr>
          <w:p>
            <w:pPr>
              <w:pStyle w:val="12"/>
            </w:pPr>
            <w:r>
              <w:t>汇水区或收集量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污水处理持续性</w:t>
            </w:r>
          </w:p>
        </w:tc>
        <w:tc>
          <w:tcPr>
            <w:tcW w:w="2835" w:type="dxa"/>
            <w:vAlign w:val="center"/>
          </w:tcPr>
          <w:p>
            <w:pPr>
              <w:pStyle w:val="12"/>
            </w:pPr>
            <w:r>
              <w:t>污水处理运行持续使用性</w:t>
            </w:r>
          </w:p>
        </w:tc>
        <w:tc>
          <w:tcPr>
            <w:tcW w:w="2551" w:type="dxa"/>
            <w:vAlign w:val="center"/>
          </w:tcPr>
          <w:p>
            <w:pPr>
              <w:pStyle w:val="12"/>
            </w:pPr>
            <w:r>
              <w:t>≥15年</w:t>
            </w:r>
          </w:p>
        </w:tc>
        <w:tc>
          <w:tcPr>
            <w:tcW w:w="2268" w:type="dxa"/>
            <w:vAlign w:val="center"/>
          </w:tcPr>
          <w:p>
            <w:pPr>
              <w:pStyle w:val="12"/>
            </w:pPr>
            <w:r>
              <w:t>服务企业发展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周边满意群众占全部群众的比例</w:t>
            </w:r>
          </w:p>
        </w:tc>
        <w:tc>
          <w:tcPr>
            <w:tcW w:w="2551" w:type="dxa"/>
            <w:vAlign w:val="center"/>
          </w:tcPr>
          <w:p>
            <w:pPr>
              <w:pStyle w:val="12"/>
            </w:pPr>
            <w:r>
              <w:t>≥95%</w:t>
            </w:r>
          </w:p>
        </w:tc>
        <w:tc>
          <w:tcPr>
            <w:tcW w:w="2268" w:type="dxa"/>
            <w:vAlign w:val="center"/>
          </w:tcPr>
          <w:p>
            <w:pPr>
              <w:pStyle w:val="12"/>
            </w:pPr>
            <w:r>
              <w:t>政府工作要求</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2022年，魏县住房和城乡建设局安排政府采购预算156.94万元。具体内容见下表。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333魏县住房和城乡建设局</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156.94</w:t>
            </w:r>
          </w:p>
        </w:tc>
        <w:tc>
          <w:tcPr>
            <w:tcW w:w="964" w:type="dxa"/>
            <w:vAlign w:val="center"/>
          </w:tcPr>
          <w:p>
            <w:pPr>
              <w:pStyle w:val="15"/>
            </w:pPr>
            <w:r>
              <w:t>156.94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魏县住房和城乡建设局本级小计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128.24</w:t>
            </w:r>
          </w:p>
        </w:tc>
        <w:tc>
          <w:tcPr>
            <w:tcW w:w="964" w:type="dxa"/>
            <w:vAlign w:val="center"/>
          </w:tcPr>
          <w:p>
            <w:pPr>
              <w:pStyle w:val="15"/>
            </w:pPr>
            <w:r>
              <w:t>128.24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2022年公用类项目</w:t>
            </w:r>
          </w:p>
        </w:tc>
        <w:tc>
          <w:tcPr>
            <w:tcW w:w="964" w:type="dxa"/>
            <w:vAlign w:val="center"/>
          </w:tcPr>
          <w:p>
            <w:pPr>
              <w:pStyle w:val="11"/>
            </w:pPr>
            <w:r>
              <w:t>67.64</w:t>
            </w:r>
          </w:p>
        </w:tc>
        <w:tc>
          <w:tcPr>
            <w:tcW w:w="1134" w:type="dxa"/>
            <w:vAlign w:val="center"/>
          </w:tcPr>
          <w:p>
            <w:pPr>
              <w:pStyle w:val="12"/>
            </w:pPr>
            <w:r>
              <w:t>多功能一体机</w:t>
            </w:r>
          </w:p>
        </w:tc>
        <w:tc>
          <w:tcPr>
            <w:tcW w:w="1134" w:type="dxa"/>
            <w:vAlign w:val="center"/>
          </w:tcPr>
          <w:p>
            <w:pPr>
              <w:pStyle w:val="12"/>
            </w:pPr>
            <w:r>
              <w:t>A020204</w:t>
            </w:r>
          </w:p>
        </w:tc>
        <w:tc>
          <w:tcPr>
            <w:tcW w:w="709" w:type="dxa"/>
            <w:vAlign w:val="center"/>
          </w:tcPr>
          <w:p>
            <w:pPr>
              <w:pStyle w:val="13"/>
            </w:pPr>
            <w:r>
              <w:t>万元</w:t>
            </w:r>
          </w:p>
        </w:tc>
        <w:tc>
          <w:tcPr>
            <w:tcW w:w="850" w:type="dxa"/>
            <w:vAlign w:val="center"/>
          </w:tcPr>
          <w:p>
            <w:pPr>
              <w:pStyle w:val="11"/>
            </w:pPr>
            <w:r>
              <w:t>20.64</w:t>
            </w:r>
          </w:p>
        </w:tc>
        <w:tc>
          <w:tcPr>
            <w:tcW w:w="850" w:type="dxa"/>
            <w:vAlign w:val="center"/>
          </w:tcPr>
          <w:p>
            <w:pPr>
              <w:pStyle w:val="11"/>
            </w:pPr>
            <w:r>
              <w:t>1.00</w:t>
            </w:r>
          </w:p>
        </w:tc>
        <w:tc>
          <w:tcPr>
            <w:tcW w:w="964" w:type="dxa"/>
            <w:vAlign w:val="center"/>
          </w:tcPr>
          <w:p>
            <w:pPr>
              <w:pStyle w:val="11"/>
            </w:pPr>
            <w:r>
              <w:t>20.64</w:t>
            </w:r>
          </w:p>
        </w:tc>
        <w:tc>
          <w:tcPr>
            <w:tcW w:w="964" w:type="dxa"/>
            <w:vAlign w:val="center"/>
          </w:tcPr>
          <w:p>
            <w:pPr>
              <w:pStyle w:val="11"/>
            </w:pPr>
            <w:r>
              <w:t>20.64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2022年公用类项目</w:t>
            </w:r>
          </w:p>
        </w:tc>
        <w:tc>
          <w:tcPr>
            <w:tcW w:w="964" w:type="dxa"/>
            <w:vAlign w:val="center"/>
          </w:tcPr>
          <w:p>
            <w:pPr>
              <w:pStyle w:val="11"/>
            </w:pPr>
            <w:r>
              <w:t>67.64</w:t>
            </w:r>
          </w:p>
        </w:tc>
        <w:tc>
          <w:tcPr>
            <w:tcW w:w="1134" w:type="dxa"/>
            <w:vAlign w:val="center"/>
          </w:tcPr>
          <w:p>
            <w:pPr>
              <w:pStyle w:val="12"/>
            </w:pPr>
            <w:r>
              <w:t>其他文教用品</w:t>
            </w:r>
          </w:p>
        </w:tc>
        <w:tc>
          <w:tcPr>
            <w:tcW w:w="1134" w:type="dxa"/>
            <w:vAlign w:val="center"/>
          </w:tcPr>
          <w:p>
            <w:pPr>
              <w:pStyle w:val="12"/>
            </w:pPr>
            <w:r>
              <w:t>A090499</w:t>
            </w:r>
          </w:p>
        </w:tc>
        <w:tc>
          <w:tcPr>
            <w:tcW w:w="709" w:type="dxa"/>
            <w:vAlign w:val="center"/>
          </w:tcPr>
          <w:p>
            <w:pPr>
              <w:pStyle w:val="13"/>
            </w:pPr>
            <w:r>
              <w:t>万元</w:t>
            </w:r>
          </w:p>
        </w:tc>
        <w:tc>
          <w:tcPr>
            <w:tcW w:w="850" w:type="dxa"/>
            <w:vAlign w:val="center"/>
          </w:tcPr>
          <w:p>
            <w:pPr>
              <w:pStyle w:val="11"/>
            </w:pPr>
            <w:r>
              <w:t>47</w:t>
            </w:r>
          </w:p>
        </w:tc>
        <w:tc>
          <w:tcPr>
            <w:tcW w:w="850" w:type="dxa"/>
            <w:vAlign w:val="center"/>
          </w:tcPr>
          <w:p>
            <w:pPr>
              <w:pStyle w:val="11"/>
            </w:pPr>
            <w:r>
              <w:t>1.00</w:t>
            </w:r>
          </w:p>
        </w:tc>
        <w:tc>
          <w:tcPr>
            <w:tcW w:w="964" w:type="dxa"/>
            <w:vAlign w:val="center"/>
          </w:tcPr>
          <w:p>
            <w:pPr>
              <w:pStyle w:val="11"/>
            </w:pPr>
            <w:r>
              <w:t>47.00</w:t>
            </w:r>
          </w:p>
        </w:tc>
        <w:tc>
          <w:tcPr>
            <w:tcW w:w="964" w:type="dxa"/>
            <w:vAlign w:val="center"/>
          </w:tcPr>
          <w:p>
            <w:pPr>
              <w:pStyle w:val="11"/>
            </w:pPr>
            <w:r>
              <w:t>47.00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2022年数字化城管平台运行及光纤费</w:t>
            </w:r>
          </w:p>
        </w:tc>
        <w:tc>
          <w:tcPr>
            <w:tcW w:w="964" w:type="dxa"/>
            <w:vAlign w:val="center"/>
          </w:tcPr>
          <w:p>
            <w:pPr>
              <w:pStyle w:val="11"/>
            </w:pPr>
            <w:r>
              <w:t>92.00</w:t>
            </w:r>
          </w:p>
        </w:tc>
        <w:tc>
          <w:tcPr>
            <w:tcW w:w="1134" w:type="dxa"/>
            <w:vAlign w:val="center"/>
          </w:tcPr>
          <w:p>
            <w:pPr>
              <w:pStyle w:val="12"/>
            </w:pPr>
            <w:r>
              <w:t>软件运维服务</w:t>
            </w:r>
          </w:p>
        </w:tc>
        <w:tc>
          <w:tcPr>
            <w:tcW w:w="1134" w:type="dxa"/>
            <w:vAlign w:val="center"/>
          </w:tcPr>
          <w:p>
            <w:pPr>
              <w:pStyle w:val="12"/>
            </w:pPr>
            <w:r>
              <w:t>C020603</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35.00</w:t>
            </w:r>
          </w:p>
        </w:tc>
        <w:tc>
          <w:tcPr>
            <w:tcW w:w="964" w:type="dxa"/>
            <w:vAlign w:val="center"/>
          </w:tcPr>
          <w:p>
            <w:pPr>
              <w:pStyle w:val="11"/>
            </w:pPr>
            <w:r>
              <w:t>35.00</w:t>
            </w:r>
          </w:p>
        </w:tc>
        <w:tc>
          <w:tcPr>
            <w:tcW w:w="964" w:type="dxa"/>
            <w:vAlign w:val="center"/>
          </w:tcPr>
          <w:p>
            <w:pPr>
              <w:pStyle w:val="11"/>
            </w:pPr>
            <w:r>
              <w:t>35.00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2022年编制绿色建筑专项规划费</w:t>
            </w:r>
          </w:p>
        </w:tc>
        <w:tc>
          <w:tcPr>
            <w:tcW w:w="964" w:type="dxa"/>
            <w:vAlign w:val="center"/>
          </w:tcPr>
          <w:p>
            <w:pPr>
              <w:pStyle w:val="11"/>
            </w:pPr>
            <w:r>
              <w:t>25.60</w:t>
            </w:r>
          </w:p>
        </w:tc>
        <w:tc>
          <w:tcPr>
            <w:tcW w:w="1134" w:type="dxa"/>
            <w:vAlign w:val="center"/>
          </w:tcPr>
          <w:p>
            <w:pPr>
              <w:pStyle w:val="12"/>
            </w:pPr>
            <w:r>
              <w:t>设计前咨询服务</w:t>
            </w:r>
          </w:p>
        </w:tc>
        <w:tc>
          <w:tcPr>
            <w:tcW w:w="1134" w:type="dxa"/>
            <w:vAlign w:val="center"/>
          </w:tcPr>
          <w:p>
            <w:pPr>
              <w:pStyle w:val="12"/>
            </w:pPr>
            <w:r>
              <w:t>C1001</w:t>
            </w:r>
          </w:p>
        </w:tc>
        <w:tc>
          <w:tcPr>
            <w:tcW w:w="709" w:type="dxa"/>
            <w:vAlign w:val="center"/>
          </w:tcPr>
          <w:p>
            <w:pPr>
              <w:pStyle w:val="13"/>
            </w:pPr>
            <w:r>
              <w:t>本</w:t>
            </w:r>
          </w:p>
        </w:tc>
        <w:tc>
          <w:tcPr>
            <w:tcW w:w="850" w:type="dxa"/>
            <w:vAlign w:val="center"/>
          </w:tcPr>
          <w:p>
            <w:pPr>
              <w:pStyle w:val="11"/>
            </w:pPr>
            <w:r>
              <w:t>1</w:t>
            </w:r>
          </w:p>
        </w:tc>
        <w:tc>
          <w:tcPr>
            <w:tcW w:w="850" w:type="dxa"/>
            <w:vAlign w:val="center"/>
          </w:tcPr>
          <w:p>
            <w:pPr>
              <w:pStyle w:val="11"/>
            </w:pPr>
            <w:r>
              <w:t>25.60</w:t>
            </w:r>
          </w:p>
        </w:tc>
        <w:tc>
          <w:tcPr>
            <w:tcW w:w="964" w:type="dxa"/>
            <w:vAlign w:val="center"/>
          </w:tcPr>
          <w:p>
            <w:pPr>
              <w:pStyle w:val="11"/>
            </w:pPr>
            <w:r>
              <w:t>25.60</w:t>
            </w:r>
          </w:p>
        </w:tc>
        <w:tc>
          <w:tcPr>
            <w:tcW w:w="964" w:type="dxa"/>
            <w:vAlign w:val="center"/>
          </w:tcPr>
          <w:p>
            <w:pPr>
              <w:pStyle w:val="11"/>
            </w:pPr>
            <w:r>
              <w:t>25.60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魏县住房和城乡建设局（差额）小计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28.70</w:t>
            </w:r>
          </w:p>
        </w:tc>
        <w:tc>
          <w:tcPr>
            <w:tcW w:w="964" w:type="dxa"/>
            <w:vAlign w:val="center"/>
          </w:tcPr>
          <w:p>
            <w:pPr>
              <w:pStyle w:val="15"/>
            </w:pPr>
            <w:r>
              <w:t>28.70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2022年公用类项目</w:t>
            </w:r>
          </w:p>
        </w:tc>
        <w:tc>
          <w:tcPr>
            <w:tcW w:w="964" w:type="dxa"/>
            <w:vAlign w:val="center"/>
          </w:tcPr>
          <w:p>
            <w:pPr>
              <w:pStyle w:val="11"/>
            </w:pPr>
            <w:r>
              <w:t>28.70</w:t>
            </w:r>
          </w:p>
        </w:tc>
        <w:tc>
          <w:tcPr>
            <w:tcW w:w="1134" w:type="dxa"/>
            <w:vAlign w:val="center"/>
          </w:tcPr>
          <w:p>
            <w:pPr>
              <w:pStyle w:val="12"/>
            </w:pPr>
            <w:r>
              <w:t>台式计算机</w:t>
            </w:r>
          </w:p>
        </w:tc>
        <w:tc>
          <w:tcPr>
            <w:tcW w:w="1134" w:type="dxa"/>
            <w:vAlign w:val="center"/>
          </w:tcPr>
          <w:p>
            <w:pPr>
              <w:pStyle w:val="12"/>
            </w:pPr>
            <w:r>
              <w:t>A02010104</w:t>
            </w:r>
          </w:p>
        </w:tc>
        <w:tc>
          <w:tcPr>
            <w:tcW w:w="709" w:type="dxa"/>
            <w:vAlign w:val="center"/>
          </w:tcPr>
          <w:p>
            <w:pPr>
              <w:pStyle w:val="13"/>
            </w:pPr>
            <w:r>
              <w:t>台</w:t>
            </w:r>
          </w:p>
        </w:tc>
        <w:tc>
          <w:tcPr>
            <w:tcW w:w="850" w:type="dxa"/>
            <w:vAlign w:val="center"/>
          </w:tcPr>
          <w:p>
            <w:pPr>
              <w:pStyle w:val="11"/>
            </w:pPr>
            <w:r>
              <w:t>82</w:t>
            </w:r>
          </w:p>
        </w:tc>
        <w:tc>
          <w:tcPr>
            <w:tcW w:w="850" w:type="dxa"/>
            <w:vAlign w:val="center"/>
          </w:tcPr>
          <w:p>
            <w:pPr>
              <w:pStyle w:val="11"/>
            </w:pPr>
            <w:r>
              <w:t>0.35</w:t>
            </w:r>
          </w:p>
        </w:tc>
        <w:tc>
          <w:tcPr>
            <w:tcW w:w="964" w:type="dxa"/>
            <w:vAlign w:val="center"/>
          </w:tcPr>
          <w:p>
            <w:pPr>
              <w:pStyle w:val="11"/>
            </w:pPr>
            <w:r>
              <w:t>28.70</w:t>
            </w:r>
          </w:p>
        </w:tc>
        <w:tc>
          <w:tcPr>
            <w:tcW w:w="964" w:type="dxa"/>
            <w:vAlign w:val="center"/>
          </w:tcPr>
          <w:p>
            <w:pPr>
              <w:pStyle w:val="11"/>
            </w:pPr>
            <w:r>
              <w:t>28.70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魏县住房和城乡建设局（含所属单位）上年末固定资产金额为0.00万元（详见下表）。本年度拟购置固定资产总额为0.00万元，已按要求列入政府采购预算，详见政府采购预算表。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333魏县住房和城乡建设局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7846.70</w:t>
            </w: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2800</w:t>
            </w: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一、魏县住房和城乡建设局本级收支预算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333001魏县住房和城乡建设局本级</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12022.77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1360.00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r>
              <w:t>125.00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1176.00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11216.61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r>
              <w:t>303.00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13382.77</w:t>
            </w:r>
          </w:p>
        </w:tc>
        <w:tc>
          <w:tcPr>
            <w:tcW w:w="4535" w:type="dxa"/>
            <w:vAlign w:val="center"/>
          </w:tcPr>
          <w:p>
            <w:pPr>
              <w:pStyle w:val="14"/>
            </w:pPr>
            <w:r>
              <w:t>本年支出合计</w:t>
            </w:r>
          </w:p>
        </w:tc>
        <w:tc>
          <w:tcPr>
            <w:tcW w:w="2126" w:type="dxa"/>
            <w:vAlign w:val="center"/>
          </w:tcPr>
          <w:p>
            <w:pPr>
              <w:pStyle w:val="15"/>
            </w:pPr>
            <w:r>
              <w:t>13382.77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13382.77</w:t>
            </w:r>
          </w:p>
        </w:tc>
        <w:tc>
          <w:tcPr>
            <w:tcW w:w="4535" w:type="dxa"/>
            <w:vAlign w:val="center"/>
          </w:tcPr>
          <w:p>
            <w:pPr>
              <w:pStyle w:val="14"/>
            </w:pPr>
            <w:r>
              <w:t>支出总计</w:t>
            </w:r>
          </w:p>
        </w:tc>
        <w:tc>
          <w:tcPr>
            <w:tcW w:w="2126" w:type="dxa"/>
            <w:vAlign w:val="center"/>
          </w:tcPr>
          <w:p>
            <w:pPr>
              <w:pStyle w:val="15"/>
            </w:pPr>
            <w:r>
              <w:t>13382.77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333001魏县住房和城乡建设局本级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13382.77</w:t>
            </w:r>
          </w:p>
        </w:tc>
        <w:tc>
          <w:tcPr>
            <w:tcW w:w="1134" w:type="dxa"/>
            <w:vAlign w:val="center"/>
          </w:tcPr>
          <w:p>
            <w:pPr>
              <w:pStyle w:val="15"/>
            </w:pPr>
            <w:r>
              <w:t>13382.77</w:t>
            </w:r>
          </w:p>
        </w:tc>
        <w:tc>
          <w:tcPr>
            <w:tcW w:w="1134" w:type="dxa"/>
            <w:vAlign w:val="center"/>
          </w:tcPr>
          <w:p>
            <w:pPr>
              <w:pStyle w:val="15"/>
            </w:pPr>
            <w:r>
              <w:t>13382.77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203</w:t>
            </w:r>
          </w:p>
        </w:tc>
        <w:tc>
          <w:tcPr>
            <w:tcW w:w="1559" w:type="dxa"/>
            <w:vAlign w:val="center"/>
          </w:tcPr>
          <w:p>
            <w:pPr>
              <w:pStyle w:val="12"/>
            </w:pPr>
            <w:r>
              <w:t>国防支出</w:t>
            </w:r>
          </w:p>
        </w:tc>
        <w:tc>
          <w:tcPr>
            <w:tcW w:w="1134" w:type="dxa"/>
            <w:vAlign w:val="center"/>
          </w:tcPr>
          <w:p>
            <w:pPr>
              <w:pStyle w:val="11"/>
            </w:pPr>
            <w:r>
              <w:t>125.00</w:t>
            </w:r>
          </w:p>
        </w:tc>
        <w:tc>
          <w:tcPr>
            <w:tcW w:w="1134" w:type="dxa"/>
            <w:vAlign w:val="center"/>
          </w:tcPr>
          <w:p>
            <w:pPr>
              <w:pStyle w:val="11"/>
            </w:pPr>
            <w:r>
              <w:t>125.00</w:t>
            </w:r>
          </w:p>
        </w:tc>
        <w:tc>
          <w:tcPr>
            <w:tcW w:w="1134" w:type="dxa"/>
            <w:vAlign w:val="center"/>
          </w:tcPr>
          <w:p>
            <w:pPr>
              <w:pStyle w:val="11"/>
            </w:pPr>
            <w:r>
              <w:t>125.00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20306</w:t>
            </w:r>
          </w:p>
        </w:tc>
        <w:tc>
          <w:tcPr>
            <w:tcW w:w="1559" w:type="dxa"/>
            <w:vAlign w:val="center"/>
          </w:tcPr>
          <w:p>
            <w:pPr>
              <w:pStyle w:val="12"/>
            </w:pPr>
            <w:r>
              <w:t>国防动员</w:t>
            </w:r>
          </w:p>
        </w:tc>
        <w:tc>
          <w:tcPr>
            <w:tcW w:w="1134" w:type="dxa"/>
            <w:vAlign w:val="center"/>
          </w:tcPr>
          <w:p>
            <w:pPr>
              <w:pStyle w:val="11"/>
            </w:pPr>
            <w:r>
              <w:t>125.00</w:t>
            </w:r>
          </w:p>
        </w:tc>
        <w:tc>
          <w:tcPr>
            <w:tcW w:w="1134" w:type="dxa"/>
            <w:vAlign w:val="center"/>
          </w:tcPr>
          <w:p>
            <w:pPr>
              <w:pStyle w:val="11"/>
            </w:pPr>
            <w:r>
              <w:t>125.00</w:t>
            </w:r>
          </w:p>
        </w:tc>
        <w:tc>
          <w:tcPr>
            <w:tcW w:w="1134" w:type="dxa"/>
            <w:vAlign w:val="center"/>
          </w:tcPr>
          <w:p>
            <w:pPr>
              <w:pStyle w:val="11"/>
            </w:pPr>
            <w:r>
              <w:t>125.00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2030603</w:t>
            </w:r>
          </w:p>
        </w:tc>
        <w:tc>
          <w:tcPr>
            <w:tcW w:w="1559" w:type="dxa"/>
            <w:vAlign w:val="center"/>
          </w:tcPr>
          <w:p>
            <w:pPr>
              <w:pStyle w:val="12"/>
            </w:pPr>
            <w:r>
              <w:t>人民防空</w:t>
            </w:r>
          </w:p>
        </w:tc>
        <w:tc>
          <w:tcPr>
            <w:tcW w:w="1134" w:type="dxa"/>
            <w:vAlign w:val="center"/>
          </w:tcPr>
          <w:p>
            <w:pPr>
              <w:pStyle w:val="11"/>
            </w:pPr>
            <w:r>
              <w:t>125.00</w:t>
            </w:r>
          </w:p>
        </w:tc>
        <w:tc>
          <w:tcPr>
            <w:tcW w:w="1134" w:type="dxa"/>
            <w:vAlign w:val="center"/>
          </w:tcPr>
          <w:p>
            <w:pPr>
              <w:pStyle w:val="11"/>
            </w:pPr>
            <w:r>
              <w:t>125.00</w:t>
            </w:r>
          </w:p>
        </w:tc>
        <w:tc>
          <w:tcPr>
            <w:tcW w:w="1134" w:type="dxa"/>
            <w:vAlign w:val="center"/>
          </w:tcPr>
          <w:p>
            <w:pPr>
              <w:pStyle w:val="11"/>
            </w:pPr>
            <w:r>
              <w:t>125.00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500.00</w:t>
            </w:r>
          </w:p>
        </w:tc>
        <w:tc>
          <w:tcPr>
            <w:tcW w:w="1134" w:type="dxa"/>
            <w:vAlign w:val="center"/>
          </w:tcPr>
          <w:p>
            <w:pPr>
              <w:pStyle w:val="11"/>
            </w:pPr>
            <w:r>
              <w:t>500.00</w:t>
            </w:r>
          </w:p>
        </w:tc>
        <w:tc>
          <w:tcPr>
            <w:tcW w:w="1134" w:type="dxa"/>
            <w:vAlign w:val="center"/>
          </w:tcPr>
          <w:p>
            <w:pPr>
              <w:pStyle w:val="11"/>
            </w:pPr>
            <w:r>
              <w:t>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20899</w:t>
            </w:r>
          </w:p>
        </w:tc>
        <w:tc>
          <w:tcPr>
            <w:tcW w:w="1559" w:type="dxa"/>
            <w:vAlign w:val="center"/>
          </w:tcPr>
          <w:p>
            <w:pPr>
              <w:pStyle w:val="12"/>
            </w:pPr>
            <w:r>
              <w:t>其他社会保障和就业支出</w:t>
            </w:r>
          </w:p>
        </w:tc>
        <w:tc>
          <w:tcPr>
            <w:tcW w:w="1134" w:type="dxa"/>
            <w:vAlign w:val="center"/>
          </w:tcPr>
          <w:p>
            <w:pPr>
              <w:pStyle w:val="11"/>
            </w:pPr>
            <w:r>
              <w:t>500.00</w:t>
            </w:r>
          </w:p>
        </w:tc>
        <w:tc>
          <w:tcPr>
            <w:tcW w:w="1134" w:type="dxa"/>
            <w:vAlign w:val="center"/>
          </w:tcPr>
          <w:p>
            <w:pPr>
              <w:pStyle w:val="11"/>
            </w:pPr>
            <w:r>
              <w:t>500.00</w:t>
            </w:r>
          </w:p>
        </w:tc>
        <w:tc>
          <w:tcPr>
            <w:tcW w:w="1134" w:type="dxa"/>
            <w:vAlign w:val="center"/>
          </w:tcPr>
          <w:p>
            <w:pPr>
              <w:pStyle w:val="11"/>
            </w:pPr>
            <w:r>
              <w:t>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2089999</w:t>
            </w:r>
          </w:p>
        </w:tc>
        <w:tc>
          <w:tcPr>
            <w:tcW w:w="1559" w:type="dxa"/>
            <w:vAlign w:val="center"/>
          </w:tcPr>
          <w:p>
            <w:pPr>
              <w:pStyle w:val="12"/>
            </w:pPr>
            <w:r>
              <w:t>其他社会保障和就业支出</w:t>
            </w:r>
          </w:p>
        </w:tc>
        <w:tc>
          <w:tcPr>
            <w:tcW w:w="1134" w:type="dxa"/>
            <w:vAlign w:val="center"/>
          </w:tcPr>
          <w:p>
            <w:pPr>
              <w:pStyle w:val="11"/>
            </w:pPr>
            <w:r>
              <w:t>500.00</w:t>
            </w:r>
          </w:p>
        </w:tc>
        <w:tc>
          <w:tcPr>
            <w:tcW w:w="1134" w:type="dxa"/>
            <w:vAlign w:val="center"/>
          </w:tcPr>
          <w:p>
            <w:pPr>
              <w:pStyle w:val="11"/>
            </w:pPr>
            <w:r>
              <w:t>500.00</w:t>
            </w:r>
          </w:p>
        </w:tc>
        <w:tc>
          <w:tcPr>
            <w:tcW w:w="1134" w:type="dxa"/>
            <w:vAlign w:val="center"/>
          </w:tcPr>
          <w:p>
            <w:pPr>
              <w:pStyle w:val="11"/>
            </w:pPr>
            <w:r>
              <w:t>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24.16</w:t>
            </w:r>
          </w:p>
        </w:tc>
        <w:tc>
          <w:tcPr>
            <w:tcW w:w="1134" w:type="dxa"/>
            <w:vAlign w:val="center"/>
          </w:tcPr>
          <w:p>
            <w:pPr>
              <w:pStyle w:val="11"/>
            </w:pPr>
            <w:r>
              <w:t>24.16</w:t>
            </w:r>
          </w:p>
        </w:tc>
        <w:tc>
          <w:tcPr>
            <w:tcW w:w="1134" w:type="dxa"/>
            <w:vAlign w:val="center"/>
          </w:tcPr>
          <w:p>
            <w:pPr>
              <w:pStyle w:val="11"/>
            </w:pPr>
            <w:r>
              <w:t>24.16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24.16</w:t>
            </w:r>
          </w:p>
        </w:tc>
        <w:tc>
          <w:tcPr>
            <w:tcW w:w="1134" w:type="dxa"/>
            <w:vAlign w:val="center"/>
          </w:tcPr>
          <w:p>
            <w:pPr>
              <w:pStyle w:val="11"/>
            </w:pPr>
            <w:r>
              <w:t>24.16</w:t>
            </w:r>
          </w:p>
        </w:tc>
        <w:tc>
          <w:tcPr>
            <w:tcW w:w="1134" w:type="dxa"/>
            <w:vAlign w:val="center"/>
          </w:tcPr>
          <w:p>
            <w:pPr>
              <w:pStyle w:val="11"/>
            </w:pPr>
            <w:r>
              <w:t>24.16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24.16</w:t>
            </w:r>
          </w:p>
        </w:tc>
        <w:tc>
          <w:tcPr>
            <w:tcW w:w="1134" w:type="dxa"/>
            <w:vAlign w:val="center"/>
          </w:tcPr>
          <w:p>
            <w:pPr>
              <w:pStyle w:val="11"/>
            </w:pPr>
            <w:r>
              <w:t>24.16</w:t>
            </w:r>
          </w:p>
        </w:tc>
        <w:tc>
          <w:tcPr>
            <w:tcW w:w="1134" w:type="dxa"/>
            <w:vAlign w:val="center"/>
          </w:tcPr>
          <w:p>
            <w:pPr>
              <w:pStyle w:val="11"/>
            </w:pPr>
            <w:r>
              <w:t>24.16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1176.00</w:t>
            </w:r>
          </w:p>
        </w:tc>
        <w:tc>
          <w:tcPr>
            <w:tcW w:w="1134" w:type="dxa"/>
            <w:vAlign w:val="center"/>
          </w:tcPr>
          <w:p>
            <w:pPr>
              <w:pStyle w:val="11"/>
            </w:pPr>
            <w:r>
              <w:t>1176.00</w:t>
            </w:r>
          </w:p>
        </w:tc>
        <w:tc>
          <w:tcPr>
            <w:tcW w:w="1134" w:type="dxa"/>
            <w:vAlign w:val="center"/>
          </w:tcPr>
          <w:p>
            <w:pPr>
              <w:pStyle w:val="11"/>
            </w:pPr>
            <w:r>
              <w:t>1176.00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1176.00</w:t>
            </w:r>
          </w:p>
        </w:tc>
        <w:tc>
          <w:tcPr>
            <w:tcW w:w="1134" w:type="dxa"/>
            <w:vAlign w:val="center"/>
          </w:tcPr>
          <w:p>
            <w:pPr>
              <w:pStyle w:val="11"/>
            </w:pPr>
            <w:r>
              <w:t>1176.00</w:t>
            </w:r>
          </w:p>
        </w:tc>
        <w:tc>
          <w:tcPr>
            <w:tcW w:w="1134" w:type="dxa"/>
            <w:vAlign w:val="center"/>
          </w:tcPr>
          <w:p>
            <w:pPr>
              <w:pStyle w:val="11"/>
            </w:pPr>
            <w:r>
              <w:t>1176.00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2110302</w:t>
            </w:r>
          </w:p>
        </w:tc>
        <w:tc>
          <w:tcPr>
            <w:tcW w:w="1559" w:type="dxa"/>
            <w:vAlign w:val="center"/>
          </w:tcPr>
          <w:p>
            <w:pPr>
              <w:pStyle w:val="12"/>
            </w:pPr>
            <w:r>
              <w:t>水体</w:t>
            </w:r>
          </w:p>
        </w:tc>
        <w:tc>
          <w:tcPr>
            <w:tcW w:w="1134" w:type="dxa"/>
            <w:vAlign w:val="center"/>
          </w:tcPr>
          <w:p>
            <w:pPr>
              <w:pStyle w:val="11"/>
            </w:pPr>
            <w:r>
              <w:t>856.00</w:t>
            </w:r>
          </w:p>
        </w:tc>
        <w:tc>
          <w:tcPr>
            <w:tcW w:w="1134" w:type="dxa"/>
            <w:vAlign w:val="center"/>
          </w:tcPr>
          <w:p>
            <w:pPr>
              <w:pStyle w:val="11"/>
            </w:pPr>
            <w:r>
              <w:t>856.00</w:t>
            </w:r>
          </w:p>
        </w:tc>
        <w:tc>
          <w:tcPr>
            <w:tcW w:w="1134" w:type="dxa"/>
            <w:vAlign w:val="center"/>
          </w:tcPr>
          <w:p>
            <w:pPr>
              <w:pStyle w:val="11"/>
            </w:pPr>
            <w:r>
              <w:t>856.00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2110304</w:t>
            </w:r>
          </w:p>
        </w:tc>
        <w:tc>
          <w:tcPr>
            <w:tcW w:w="1559" w:type="dxa"/>
            <w:vAlign w:val="center"/>
          </w:tcPr>
          <w:p>
            <w:pPr>
              <w:pStyle w:val="12"/>
            </w:pPr>
            <w:r>
              <w:t>固体废弃物与化学品</w:t>
            </w:r>
          </w:p>
        </w:tc>
        <w:tc>
          <w:tcPr>
            <w:tcW w:w="1134" w:type="dxa"/>
            <w:vAlign w:val="center"/>
          </w:tcPr>
          <w:p>
            <w:pPr>
              <w:pStyle w:val="11"/>
            </w:pPr>
            <w:r>
              <w:t>320.00</w:t>
            </w:r>
          </w:p>
        </w:tc>
        <w:tc>
          <w:tcPr>
            <w:tcW w:w="1134" w:type="dxa"/>
            <w:vAlign w:val="center"/>
          </w:tcPr>
          <w:p>
            <w:pPr>
              <w:pStyle w:val="11"/>
            </w:pPr>
            <w:r>
              <w:t>320.00</w:t>
            </w:r>
          </w:p>
        </w:tc>
        <w:tc>
          <w:tcPr>
            <w:tcW w:w="1134" w:type="dxa"/>
            <w:vAlign w:val="center"/>
          </w:tcPr>
          <w:p>
            <w:pPr>
              <w:pStyle w:val="11"/>
            </w:pPr>
            <w:r>
              <w:t>320.00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11216.61</w:t>
            </w:r>
          </w:p>
        </w:tc>
        <w:tc>
          <w:tcPr>
            <w:tcW w:w="1134" w:type="dxa"/>
            <w:vAlign w:val="center"/>
          </w:tcPr>
          <w:p>
            <w:pPr>
              <w:pStyle w:val="11"/>
            </w:pPr>
            <w:r>
              <w:t>11216.61</w:t>
            </w:r>
          </w:p>
        </w:tc>
        <w:tc>
          <w:tcPr>
            <w:tcW w:w="1134" w:type="dxa"/>
            <w:vAlign w:val="center"/>
          </w:tcPr>
          <w:p>
            <w:pPr>
              <w:pStyle w:val="11"/>
            </w:pPr>
            <w:r>
              <w:t>11216.61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21201</w:t>
            </w:r>
          </w:p>
        </w:tc>
        <w:tc>
          <w:tcPr>
            <w:tcW w:w="1559" w:type="dxa"/>
            <w:vAlign w:val="center"/>
          </w:tcPr>
          <w:p>
            <w:pPr>
              <w:pStyle w:val="12"/>
            </w:pPr>
            <w:r>
              <w:t>城乡社区管理事务</w:t>
            </w:r>
          </w:p>
        </w:tc>
        <w:tc>
          <w:tcPr>
            <w:tcW w:w="1134" w:type="dxa"/>
            <w:vAlign w:val="center"/>
          </w:tcPr>
          <w:p>
            <w:pPr>
              <w:pStyle w:val="11"/>
            </w:pPr>
            <w:r>
              <w:t>4521.61</w:t>
            </w:r>
          </w:p>
        </w:tc>
        <w:tc>
          <w:tcPr>
            <w:tcW w:w="1134" w:type="dxa"/>
            <w:vAlign w:val="center"/>
          </w:tcPr>
          <w:p>
            <w:pPr>
              <w:pStyle w:val="11"/>
            </w:pPr>
            <w:r>
              <w:t>4521.61</w:t>
            </w:r>
          </w:p>
        </w:tc>
        <w:tc>
          <w:tcPr>
            <w:tcW w:w="1134" w:type="dxa"/>
            <w:vAlign w:val="center"/>
          </w:tcPr>
          <w:p>
            <w:pPr>
              <w:pStyle w:val="11"/>
            </w:pPr>
            <w:r>
              <w:t>4521.61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2120101</w:t>
            </w:r>
          </w:p>
        </w:tc>
        <w:tc>
          <w:tcPr>
            <w:tcW w:w="1559" w:type="dxa"/>
            <w:vAlign w:val="center"/>
          </w:tcPr>
          <w:p>
            <w:pPr>
              <w:pStyle w:val="12"/>
            </w:pPr>
            <w:r>
              <w:t>行政运行</w:t>
            </w:r>
          </w:p>
        </w:tc>
        <w:tc>
          <w:tcPr>
            <w:tcW w:w="1134" w:type="dxa"/>
            <w:vAlign w:val="center"/>
          </w:tcPr>
          <w:p>
            <w:pPr>
              <w:pStyle w:val="11"/>
            </w:pPr>
            <w:r>
              <w:t>3693.01</w:t>
            </w:r>
          </w:p>
        </w:tc>
        <w:tc>
          <w:tcPr>
            <w:tcW w:w="1134" w:type="dxa"/>
            <w:vAlign w:val="center"/>
          </w:tcPr>
          <w:p>
            <w:pPr>
              <w:pStyle w:val="11"/>
            </w:pPr>
            <w:r>
              <w:t>3693.01</w:t>
            </w:r>
          </w:p>
        </w:tc>
        <w:tc>
          <w:tcPr>
            <w:tcW w:w="1134" w:type="dxa"/>
            <w:vAlign w:val="center"/>
          </w:tcPr>
          <w:p>
            <w:pPr>
              <w:pStyle w:val="11"/>
            </w:pPr>
            <w:r>
              <w:t>3693.01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2120104</w:t>
            </w:r>
          </w:p>
        </w:tc>
        <w:tc>
          <w:tcPr>
            <w:tcW w:w="1559" w:type="dxa"/>
            <w:vAlign w:val="center"/>
          </w:tcPr>
          <w:p>
            <w:pPr>
              <w:pStyle w:val="12"/>
            </w:pPr>
            <w:r>
              <w:t>城管执法</w:t>
            </w:r>
          </w:p>
        </w:tc>
        <w:tc>
          <w:tcPr>
            <w:tcW w:w="1134" w:type="dxa"/>
            <w:vAlign w:val="center"/>
          </w:tcPr>
          <w:p>
            <w:pPr>
              <w:pStyle w:val="11"/>
            </w:pPr>
            <w:r>
              <w:t>803.00</w:t>
            </w:r>
          </w:p>
        </w:tc>
        <w:tc>
          <w:tcPr>
            <w:tcW w:w="1134" w:type="dxa"/>
            <w:vAlign w:val="center"/>
          </w:tcPr>
          <w:p>
            <w:pPr>
              <w:pStyle w:val="11"/>
            </w:pPr>
            <w:r>
              <w:t>803.00</w:t>
            </w:r>
          </w:p>
        </w:tc>
        <w:tc>
          <w:tcPr>
            <w:tcW w:w="1134" w:type="dxa"/>
            <w:vAlign w:val="center"/>
          </w:tcPr>
          <w:p>
            <w:pPr>
              <w:pStyle w:val="11"/>
            </w:pPr>
            <w:r>
              <w:t>803.00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2120199</w:t>
            </w:r>
          </w:p>
        </w:tc>
        <w:tc>
          <w:tcPr>
            <w:tcW w:w="1559" w:type="dxa"/>
            <w:vAlign w:val="center"/>
          </w:tcPr>
          <w:p>
            <w:pPr>
              <w:pStyle w:val="12"/>
            </w:pPr>
            <w:r>
              <w:t>其他城乡社区管理事务支出</w:t>
            </w:r>
          </w:p>
        </w:tc>
        <w:tc>
          <w:tcPr>
            <w:tcW w:w="1134" w:type="dxa"/>
            <w:vAlign w:val="center"/>
          </w:tcPr>
          <w:p>
            <w:pPr>
              <w:pStyle w:val="11"/>
            </w:pPr>
            <w:r>
              <w:t>25.60</w:t>
            </w:r>
          </w:p>
        </w:tc>
        <w:tc>
          <w:tcPr>
            <w:tcW w:w="1134" w:type="dxa"/>
            <w:vAlign w:val="center"/>
          </w:tcPr>
          <w:p>
            <w:pPr>
              <w:pStyle w:val="11"/>
            </w:pPr>
            <w:r>
              <w:t>25.60</w:t>
            </w:r>
          </w:p>
        </w:tc>
        <w:tc>
          <w:tcPr>
            <w:tcW w:w="1134" w:type="dxa"/>
            <w:vAlign w:val="center"/>
          </w:tcPr>
          <w:p>
            <w:pPr>
              <w:pStyle w:val="11"/>
            </w:pPr>
            <w:r>
              <w:t>25.60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21203</w:t>
            </w:r>
          </w:p>
        </w:tc>
        <w:tc>
          <w:tcPr>
            <w:tcW w:w="1559" w:type="dxa"/>
            <w:vAlign w:val="center"/>
          </w:tcPr>
          <w:p>
            <w:pPr>
              <w:pStyle w:val="12"/>
            </w:pPr>
            <w:r>
              <w:t>城乡社区公共设施</w:t>
            </w:r>
          </w:p>
        </w:tc>
        <w:tc>
          <w:tcPr>
            <w:tcW w:w="1134" w:type="dxa"/>
            <w:vAlign w:val="center"/>
          </w:tcPr>
          <w:p>
            <w:pPr>
              <w:pStyle w:val="11"/>
            </w:pPr>
            <w:r>
              <w:t>3435.00</w:t>
            </w:r>
          </w:p>
        </w:tc>
        <w:tc>
          <w:tcPr>
            <w:tcW w:w="1134" w:type="dxa"/>
            <w:vAlign w:val="center"/>
          </w:tcPr>
          <w:p>
            <w:pPr>
              <w:pStyle w:val="11"/>
            </w:pPr>
            <w:r>
              <w:t>3435.00</w:t>
            </w:r>
          </w:p>
        </w:tc>
        <w:tc>
          <w:tcPr>
            <w:tcW w:w="1134" w:type="dxa"/>
            <w:vAlign w:val="center"/>
          </w:tcPr>
          <w:p>
            <w:pPr>
              <w:pStyle w:val="11"/>
            </w:pPr>
            <w:r>
              <w:t>3435.00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2120399</w:t>
            </w:r>
          </w:p>
        </w:tc>
        <w:tc>
          <w:tcPr>
            <w:tcW w:w="1559" w:type="dxa"/>
            <w:vAlign w:val="center"/>
          </w:tcPr>
          <w:p>
            <w:pPr>
              <w:pStyle w:val="12"/>
            </w:pPr>
            <w:r>
              <w:t>其他城乡社区公共设施支出</w:t>
            </w:r>
          </w:p>
        </w:tc>
        <w:tc>
          <w:tcPr>
            <w:tcW w:w="1134" w:type="dxa"/>
            <w:vAlign w:val="center"/>
          </w:tcPr>
          <w:p>
            <w:pPr>
              <w:pStyle w:val="11"/>
            </w:pPr>
            <w:r>
              <w:t>3435.00</w:t>
            </w:r>
          </w:p>
        </w:tc>
        <w:tc>
          <w:tcPr>
            <w:tcW w:w="1134" w:type="dxa"/>
            <w:vAlign w:val="center"/>
          </w:tcPr>
          <w:p>
            <w:pPr>
              <w:pStyle w:val="11"/>
            </w:pPr>
            <w:r>
              <w:t>3435.00</w:t>
            </w:r>
          </w:p>
        </w:tc>
        <w:tc>
          <w:tcPr>
            <w:tcW w:w="1134" w:type="dxa"/>
            <w:vAlign w:val="center"/>
          </w:tcPr>
          <w:p>
            <w:pPr>
              <w:pStyle w:val="11"/>
            </w:pPr>
            <w:r>
              <w:t>3435.00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21205</w:t>
            </w:r>
          </w:p>
        </w:tc>
        <w:tc>
          <w:tcPr>
            <w:tcW w:w="1559" w:type="dxa"/>
            <w:vAlign w:val="center"/>
          </w:tcPr>
          <w:p>
            <w:pPr>
              <w:pStyle w:val="12"/>
            </w:pPr>
            <w:r>
              <w:t>城乡社区环境卫生</w:t>
            </w:r>
          </w:p>
        </w:tc>
        <w:tc>
          <w:tcPr>
            <w:tcW w:w="1134" w:type="dxa"/>
            <w:vAlign w:val="center"/>
          </w:tcPr>
          <w:p>
            <w:pPr>
              <w:pStyle w:val="11"/>
            </w:pPr>
            <w:r>
              <w:t>1900.00</w:t>
            </w:r>
          </w:p>
        </w:tc>
        <w:tc>
          <w:tcPr>
            <w:tcW w:w="1134" w:type="dxa"/>
            <w:vAlign w:val="center"/>
          </w:tcPr>
          <w:p>
            <w:pPr>
              <w:pStyle w:val="11"/>
            </w:pPr>
            <w:r>
              <w:t>1900.00</w:t>
            </w:r>
          </w:p>
        </w:tc>
        <w:tc>
          <w:tcPr>
            <w:tcW w:w="1134" w:type="dxa"/>
            <w:vAlign w:val="center"/>
          </w:tcPr>
          <w:p>
            <w:pPr>
              <w:pStyle w:val="11"/>
            </w:pPr>
            <w:r>
              <w:t>1900.00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2120501</w:t>
            </w:r>
          </w:p>
        </w:tc>
        <w:tc>
          <w:tcPr>
            <w:tcW w:w="1559" w:type="dxa"/>
            <w:vAlign w:val="center"/>
          </w:tcPr>
          <w:p>
            <w:pPr>
              <w:pStyle w:val="12"/>
            </w:pPr>
            <w:r>
              <w:t>城乡社区环境卫生</w:t>
            </w:r>
          </w:p>
        </w:tc>
        <w:tc>
          <w:tcPr>
            <w:tcW w:w="1134" w:type="dxa"/>
            <w:vAlign w:val="center"/>
          </w:tcPr>
          <w:p>
            <w:pPr>
              <w:pStyle w:val="11"/>
            </w:pPr>
            <w:r>
              <w:t>1900.00</w:t>
            </w:r>
          </w:p>
        </w:tc>
        <w:tc>
          <w:tcPr>
            <w:tcW w:w="1134" w:type="dxa"/>
            <w:vAlign w:val="center"/>
          </w:tcPr>
          <w:p>
            <w:pPr>
              <w:pStyle w:val="11"/>
            </w:pPr>
            <w:r>
              <w:t>1900.00</w:t>
            </w:r>
          </w:p>
        </w:tc>
        <w:tc>
          <w:tcPr>
            <w:tcW w:w="1134" w:type="dxa"/>
            <w:vAlign w:val="center"/>
          </w:tcPr>
          <w:p>
            <w:pPr>
              <w:pStyle w:val="11"/>
            </w:pPr>
            <w:r>
              <w:t>1900.00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1360.00</w:t>
            </w:r>
          </w:p>
        </w:tc>
        <w:tc>
          <w:tcPr>
            <w:tcW w:w="1134" w:type="dxa"/>
            <w:vAlign w:val="center"/>
          </w:tcPr>
          <w:p>
            <w:pPr>
              <w:pStyle w:val="11"/>
            </w:pPr>
            <w:r>
              <w:t>1360.00</w:t>
            </w:r>
          </w:p>
        </w:tc>
        <w:tc>
          <w:tcPr>
            <w:tcW w:w="1134" w:type="dxa"/>
            <w:vAlign w:val="center"/>
          </w:tcPr>
          <w:p>
            <w:pPr>
              <w:pStyle w:val="11"/>
            </w:pPr>
            <w:r>
              <w:t>1360.00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2120810</w:t>
            </w:r>
          </w:p>
        </w:tc>
        <w:tc>
          <w:tcPr>
            <w:tcW w:w="1559" w:type="dxa"/>
            <w:vAlign w:val="center"/>
          </w:tcPr>
          <w:p>
            <w:pPr>
              <w:pStyle w:val="12"/>
            </w:pPr>
            <w:r>
              <w:t>棚户区改造支出</w:t>
            </w:r>
          </w:p>
        </w:tc>
        <w:tc>
          <w:tcPr>
            <w:tcW w:w="1134" w:type="dxa"/>
            <w:vAlign w:val="center"/>
          </w:tcPr>
          <w:p>
            <w:pPr>
              <w:pStyle w:val="11"/>
            </w:pPr>
            <w:r>
              <w:t>1360.00</w:t>
            </w:r>
          </w:p>
        </w:tc>
        <w:tc>
          <w:tcPr>
            <w:tcW w:w="1134" w:type="dxa"/>
            <w:vAlign w:val="center"/>
          </w:tcPr>
          <w:p>
            <w:pPr>
              <w:pStyle w:val="11"/>
            </w:pPr>
            <w:r>
              <w:t>1360.00</w:t>
            </w:r>
          </w:p>
        </w:tc>
        <w:tc>
          <w:tcPr>
            <w:tcW w:w="1134" w:type="dxa"/>
            <w:vAlign w:val="center"/>
          </w:tcPr>
          <w:p>
            <w:pPr>
              <w:pStyle w:val="11"/>
            </w:pPr>
            <w:r>
              <w:t>1360.00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22101</w:t>
            </w:r>
          </w:p>
        </w:tc>
        <w:tc>
          <w:tcPr>
            <w:tcW w:w="1559" w:type="dxa"/>
            <w:vAlign w:val="center"/>
          </w:tcPr>
          <w:p>
            <w:pPr>
              <w:pStyle w:val="12"/>
            </w:pPr>
            <w:r>
              <w:t>保障性安居工程支出</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2210106</w:t>
            </w:r>
          </w:p>
        </w:tc>
        <w:tc>
          <w:tcPr>
            <w:tcW w:w="1559" w:type="dxa"/>
            <w:vAlign w:val="center"/>
          </w:tcPr>
          <w:p>
            <w:pPr>
              <w:pStyle w:val="12"/>
            </w:pPr>
            <w:r>
              <w:t>公共租赁住房</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231</w:t>
            </w:r>
          </w:p>
        </w:tc>
        <w:tc>
          <w:tcPr>
            <w:tcW w:w="1559" w:type="dxa"/>
            <w:vAlign w:val="center"/>
          </w:tcPr>
          <w:p>
            <w:pPr>
              <w:pStyle w:val="12"/>
            </w:pPr>
            <w:r>
              <w:t>债务还本支出</w:t>
            </w:r>
          </w:p>
        </w:tc>
        <w:tc>
          <w:tcPr>
            <w:tcW w:w="1134" w:type="dxa"/>
            <w:vAlign w:val="center"/>
          </w:tcPr>
          <w:p>
            <w:pPr>
              <w:pStyle w:val="11"/>
            </w:pPr>
            <w:r>
              <w:t>303.00</w:t>
            </w:r>
          </w:p>
        </w:tc>
        <w:tc>
          <w:tcPr>
            <w:tcW w:w="1134" w:type="dxa"/>
            <w:vAlign w:val="center"/>
          </w:tcPr>
          <w:p>
            <w:pPr>
              <w:pStyle w:val="11"/>
            </w:pPr>
            <w:r>
              <w:t>303.00</w:t>
            </w:r>
          </w:p>
        </w:tc>
        <w:tc>
          <w:tcPr>
            <w:tcW w:w="1134" w:type="dxa"/>
            <w:vAlign w:val="center"/>
          </w:tcPr>
          <w:p>
            <w:pPr>
              <w:pStyle w:val="11"/>
            </w:pPr>
            <w:r>
              <w:t>303.00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23103</w:t>
            </w:r>
          </w:p>
        </w:tc>
        <w:tc>
          <w:tcPr>
            <w:tcW w:w="1559" w:type="dxa"/>
            <w:vAlign w:val="center"/>
          </w:tcPr>
          <w:p>
            <w:pPr>
              <w:pStyle w:val="12"/>
            </w:pPr>
            <w:r>
              <w:t>地方政府一般债务还本支出</w:t>
            </w:r>
          </w:p>
        </w:tc>
        <w:tc>
          <w:tcPr>
            <w:tcW w:w="1134" w:type="dxa"/>
            <w:vAlign w:val="center"/>
          </w:tcPr>
          <w:p>
            <w:pPr>
              <w:pStyle w:val="11"/>
            </w:pPr>
            <w:r>
              <w:t>303.00</w:t>
            </w:r>
          </w:p>
        </w:tc>
        <w:tc>
          <w:tcPr>
            <w:tcW w:w="1134" w:type="dxa"/>
            <w:vAlign w:val="center"/>
          </w:tcPr>
          <w:p>
            <w:pPr>
              <w:pStyle w:val="11"/>
            </w:pPr>
            <w:r>
              <w:t>303.00</w:t>
            </w:r>
          </w:p>
        </w:tc>
        <w:tc>
          <w:tcPr>
            <w:tcW w:w="1134" w:type="dxa"/>
            <w:vAlign w:val="center"/>
          </w:tcPr>
          <w:p>
            <w:pPr>
              <w:pStyle w:val="11"/>
            </w:pPr>
            <w:r>
              <w:t>303.00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2310399</w:t>
            </w:r>
          </w:p>
        </w:tc>
        <w:tc>
          <w:tcPr>
            <w:tcW w:w="1559" w:type="dxa"/>
            <w:vAlign w:val="center"/>
          </w:tcPr>
          <w:p>
            <w:pPr>
              <w:pStyle w:val="12"/>
            </w:pPr>
            <w:r>
              <w:t>地方政府其他一般债务还本支出</w:t>
            </w:r>
          </w:p>
        </w:tc>
        <w:tc>
          <w:tcPr>
            <w:tcW w:w="1134" w:type="dxa"/>
            <w:vAlign w:val="center"/>
          </w:tcPr>
          <w:p>
            <w:pPr>
              <w:pStyle w:val="11"/>
            </w:pPr>
            <w:r>
              <w:t>303.00</w:t>
            </w:r>
          </w:p>
        </w:tc>
        <w:tc>
          <w:tcPr>
            <w:tcW w:w="1134" w:type="dxa"/>
            <w:vAlign w:val="center"/>
          </w:tcPr>
          <w:p>
            <w:pPr>
              <w:pStyle w:val="11"/>
            </w:pPr>
            <w:r>
              <w:t>303.00</w:t>
            </w:r>
          </w:p>
        </w:tc>
        <w:tc>
          <w:tcPr>
            <w:tcW w:w="1134" w:type="dxa"/>
            <w:vAlign w:val="center"/>
          </w:tcPr>
          <w:p>
            <w:pPr>
              <w:pStyle w:val="11"/>
            </w:pPr>
            <w:r>
              <w:t>303.00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333001魏县住房和城乡建设局本级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13382.77</w:t>
            </w:r>
          </w:p>
        </w:tc>
        <w:tc>
          <w:tcPr>
            <w:tcW w:w="1361" w:type="dxa"/>
            <w:vAlign w:val="center"/>
          </w:tcPr>
          <w:p>
            <w:pPr>
              <w:pStyle w:val="15"/>
            </w:pPr>
            <w:r>
              <w:t>3717.17</w:t>
            </w:r>
          </w:p>
        </w:tc>
        <w:tc>
          <w:tcPr>
            <w:tcW w:w="1361" w:type="dxa"/>
            <w:vAlign w:val="center"/>
          </w:tcPr>
          <w:p>
            <w:pPr>
              <w:pStyle w:val="15"/>
            </w:pPr>
            <w:r>
              <w:t>9665.60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203</w:t>
            </w:r>
          </w:p>
        </w:tc>
        <w:tc>
          <w:tcPr>
            <w:tcW w:w="4535" w:type="dxa"/>
            <w:vAlign w:val="center"/>
          </w:tcPr>
          <w:p>
            <w:pPr>
              <w:pStyle w:val="12"/>
            </w:pPr>
            <w:r>
              <w:t>国防支出</w:t>
            </w:r>
          </w:p>
        </w:tc>
        <w:tc>
          <w:tcPr>
            <w:tcW w:w="1361" w:type="dxa"/>
            <w:vAlign w:val="center"/>
          </w:tcPr>
          <w:p>
            <w:pPr>
              <w:pStyle w:val="11"/>
            </w:pPr>
            <w:r>
              <w:t>125.00</w:t>
            </w:r>
          </w:p>
        </w:tc>
        <w:tc>
          <w:tcPr>
            <w:tcW w:w="1361" w:type="dxa"/>
            <w:vAlign w:val="center"/>
          </w:tcPr>
          <w:p>
            <w:pPr>
              <w:pStyle w:val="11"/>
            </w:pPr>
          </w:p>
        </w:tc>
        <w:tc>
          <w:tcPr>
            <w:tcW w:w="1361" w:type="dxa"/>
            <w:vAlign w:val="center"/>
          </w:tcPr>
          <w:p>
            <w:pPr>
              <w:pStyle w:val="11"/>
            </w:pPr>
            <w:r>
              <w:t>125.00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20306</w:t>
            </w:r>
          </w:p>
        </w:tc>
        <w:tc>
          <w:tcPr>
            <w:tcW w:w="4535" w:type="dxa"/>
            <w:vAlign w:val="center"/>
          </w:tcPr>
          <w:p>
            <w:pPr>
              <w:pStyle w:val="12"/>
            </w:pPr>
            <w:r>
              <w:t>国防动员</w:t>
            </w:r>
          </w:p>
        </w:tc>
        <w:tc>
          <w:tcPr>
            <w:tcW w:w="1361" w:type="dxa"/>
            <w:vAlign w:val="center"/>
          </w:tcPr>
          <w:p>
            <w:pPr>
              <w:pStyle w:val="11"/>
            </w:pPr>
            <w:r>
              <w:t>125.00</w:t>
            </w:r>
          </w:p>
        </w:tc>
        <w:tc>
          <w:tcPr>
            <w:tcW w:w="1361" w:type="dxa"/>
            <w:vAlign w:val="center"/>
          </w:tcPr>
          <w:p>
            <w:pPr>
              <w:pStyle w:val="11"/>
            </w:pPr>
          </w:p>
        </w:tc>
        <w:tc>
          <w:tcPr>
            <w:tcW w:w="1361" w:type="dxa"/>
            <w:vAlign w:val="center"/>
          </w:tcPr>
          <w:p>
            <w:pPr>
              <w:pStyle w:val="11"/>
            </w:pPr>
            <w:r>
              <w:t>125.00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2030603</w:t>
            </w:r>
          </w:p>
        </w:tc>
        <w:tc>
          <w:tcPr>
            <w:tcW w:w="4535" w:type="dxa"/>
            <w:vAlign w:val="center"/>
          </w:tcPr>
          <w:p>
            <w:pPr>
              <w:pStyle w:val="12"/>
            </w:pPr>
            <w:r>
              <w:t>人民防空</w:t>
            </w:r>
          </w:p>
        </w:tc>
        <w:tc>
          <w:tcPr>
            <w:tcW w:w="1361" w:type="dxa"/>
            <w:vAlign w:val="center"/>
          </w:tcPr>
          <w:p>
            <w:pPr>
              <w:pStyle w:val="11"/>
            </w:pPr>
            <w:r>
              <w:t>125.00</w:t>
            </w:r>
          </w:p>
        </w:tc>
        <w:tc>
          <w:tcPr>
            <w:tcW w:w="1361" w:type="dxa"/>
            <w:vAlign w:val="center"/>
          </w:tcPr>
          <w:p>
            <w:pPr>
              <w:pStyle w:val="11"/>
            </w:pPr>
          </w:p>
        </w:tc>
        <w:tc>
          <w:tcPr>
            <w:tcW w:w="1361" w:type="dxa"/>
            <w:vAlign w:val="center"/>
          </w:tcPr>
          <w:p>
            <w:pPr>
              <w:pStyle w:val="11"/>
            </w:pPr>
            <w:r>
              <w:t>125.00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20899</w:t>
            </w:r>
          </w:p>
        </w:tc>
        <w:tc>
          <w:tcPr>
            <w:tcW w:w="4535" w:type="dxa"/>
            <w:vAlign w:val="center"/>
          </w:tcPr>
          <w:p>
            <w:pPr>
              <w:pStyle w:val="12"/>
            </w:pPr>
            <w:r>
              <w:t>其他社会保障和就业支出</w:t>
            </w: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2089999</w:t>
            </w:r>
          </w:p>
        </w:tc>
        <w:tc>
          <w:tcPr>
            <w:tcW w:w="4535" w:type="dxa"/>
            <w:vAlign w:val="center"/>
          </w:tcPr>
          <w:p>
            <w:pPr>
              <w:pStyle w:val="12"/>
            </w:pPr>
            <w:r>
              <w:t>其他社会保障和就业支出</w:t>
            </w: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24.16</w:t>
            </w:r>
          </w:p>
        </w:tc>
        <w:tc>
          <w:tcPr>
            <w:tcW w:w="1361" w:type="dxa"/>
            <w:vAlign w:val="center"/>
          </w:tcPr>
          <w:p>
            <w:pPr>
              <w:pStyle w:val="11"/>
            </w:pPr>
            <w:r>
              <w:t>24.16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24.16</w:t>
            </w:r>
          </w:p>
        </w:tc>
        <w:tc>
          <w:tcPr>
            <w:tcW w:w="1361" w:type="dxa"/>
            <w:vAlign w:val="center"/>
          </w:tcPr>
          <w:p>
            <w:pPr>
              <w:pStyle w:val="11"/>
            </w:pPr>
            <w:r>
              <w:t>24.16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24.16</w:t>
            </w:r>
          </w:p>
        </w:tc>
        <w:tc>
          <w:tcPr>
            <w:tcW w:w="1361" w:type="dxa"/>
            <w:vAlign w:val="center"/>
          </w:tcPr>
          <w:p>
            <w:pPr>
              <w:pStyle w:val="11"/>
            </w:pPr>
            <w:r>
              <w:t>24.16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1176.00</w:t>
            </w:r>
          </w:p>
        </w:tc>
        <w:tc>
          <w:tcPr>
            <w:tcW w:w="1361" w:type="dxa"/>
            <w:vAlign w:val="center"/>
          </w:tcPr>
          <w:p>
            <w:pPr>
              <w:pStyle w:val="11"/>
            </w:pPr>
          </w:p>
        </w:tc>
        <w:tc>
          <w:tcPr>
            <w:tcW w:w="1361" w:type="dxa"/>
            <w:vAlign w:val="center"/>
          </w:tcPr>
          <w:p>
            <w:pPr>
              <w:pStyle w:val="11"/>
            </w:pPr>
            <w:r>
              <w:t>1176.00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1176.00</w:t>
            </w:r>
          </w:p>
        </w:tc>
        <w:tc>
          <w:tcPr>
            <w:tcW w:w="1361" w:type="dxa"/>
            <w:vAlign w:val="center"/>
          </w:tcPr>
          <w:p>
            <w:pPr>
              <w:pStyle w:val="11"/>
            </w:pPr>
          </w:p>
        </w:tc>
        <w:tc>
          <w:tcPr>
            <w:tcW w:w="1361" w:type="dxa"/>
            <w:vAlign w:val="center"/>
          </w:tcPr>
          <w:p>
            <w:pPr>
              <w:pStyle w:val="11"/>
            </w:pPr>
            <w:r>
              <w:t>1176.00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2110302</w:t>
            </w:r>
          </w:p>
        </w:tc>
        <w:tc>
          <w:tcPr>
            <w:tcW w:w="4535" w:type="dxa"/>
            <w:vAlign w:val="center"/>
          </w:tcPr>
          <w:p>
            <w:pPr>
              <w:pStyle w:val="12"/>
            </w:pPr>
            <w:r>
              <w:t>水体</w:t>
            </w:r>
          </w:p>
        </w:tc>
        <w:tc>
          <w:tcPr>
            <w:tcW w:w="1361" w:type="dxa"/>
            <w:vAlign w:val="center"/>
          </w:tcPr>
          <w:p>
            <w:pPr>
              <w:pStyle w:val="11"/>
            </w:pPr>
            <w:r>
              <w:t>856.00</w:t>
            </w:r>
          </w:p>
        </w:tc>
        <w:tc>
          <w:tcPr>
            <w:tcW w:w="1361" w:type="dxa"/>
            <w:vAlign w:val="center"/>
          </w:tcPr>
          <w:p>
            <w:pPr>
              <w:pStyle w:val="11"/>
            </w:pPr>
          </w:p>
        </w:tc>
        <w:tc>
          <w:tcPr>
            <w:tcW w:w="1361" w:type="dxa"/>
            <w:vAlign w:val="center"/>
          </w:tcPr>
          <w:p>
            <w:pPr>
              <w:pStyle w:val="11"/>
            </w:pPr>
            <w:r>
              <w:t>856.00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2110304</w:t>
            </w:r>
          </w:p>
        </w:tc>
        <w:tc>
          <w:tcPr>
            <w:tcW w:w="4535" w:type="dxa"/>
            <w:vAlign w:val="center"/>
          </w:tcPr>
          <w:p>
            <w:pPr>
              <w:pStyle w:val="12"/>
            </w:pPr>
            <w:r>
              <w:t>固体废弃物与化学品</w:t>
            </w:r>
          </w:p>
        </w:tc>
        <w:tc>
          <w:tcPr>
            <w:tcW w:w="1361" w:type="dxa"/>
            <w:vAlign w:val="center"/>
          </w:tcPr>
          <w:p>
            <w:pPr>
              <w:pStyle w:val="11"/>
            </w:pPr>
            <w:r>
              <w:t>320.00</w:t>
            </w:r>
          </w:p>
        </w:tc>
        <w:tc>
          <w:tcPr>
            <w:tcW w:w="1361" w:type="dxa"/>
            <w:vAlign w:val="center"/>
          </w:tcPr>
          <w:p>
            <w:pPr>
              <w:pStyle w:val="11"/>
            </w:pPr>
          </w:p>
        </w:tc>
        <w:tc>
          <w:tcPr>
            <w:tcW w:w="1361" w:type="dxa"/>
            <w:vAlign w:val="center"/>
          </w:tcPr>
          <w:p>
            <w:pPr>
              <w:pStyle w:val="11"/>
            </w:pPr>
            <w:r>
              <w:t>320.00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11216.61</w:t>
            </w:r>
          </w:p>
        </w:tc>
        <w:tc>
          <w:tcPr>
            <w:tcW w:w="1361" w:type="dxa"/>
            <w:vAlign w:val="center"/>
          </w:tcPr>
          <w:p>
            <w:pPr>
              <w:pStyle w:val="11"/>
            </w:pPr>
            <w:r>
              <w:t>3693.01</w:t>
            </w:r>
          </w:p>
        </w:tc>
        <w:tc>
          <w:tcPr>
            <w:tcW w:w="1361" w:type="dxa"/>
            <w:vAlign w:val="center"/>
          </w:tcPr>
          <w:p>
            <w:pPr>
              <w:pStyle w:val="11"/>
            </w:pPr>
            <w:r>
              <w:t>7523.60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21201</w:t>
            </w:r>
          </w:p>
        </w:tc>
        <w:tc>
          <w:tcPr>
            <w:tcW w:w="4535" w:type="dxa"/>
            <w:vAlign w:val="center"/>
          </w:tcPr>
          <w:p>
            <w:pPr>
              <w:pStyle w:val="12"/>
            </w:pPr>
            <w:r>
              <w:t>城乡社区管理事务</w:t>
            </w:r>
          </w:p>
        </w:tc>
        <w:tc>
          <w:tcPr>
            <w:tcW w:w="1361" w:type="dxa"/>
            <w:vAlign w:val="center"/>
          </w:tcPr>
          <w:p>
            <w:pPr>
              <w:pStyle w:val="11"/>
            </w:pPr>
            <w:r>
              <w:t>4521.61</w:t>
            </w:r>
          </w:p>
        </w:tc>
        <w:tc>
          <w:tcPr>
            <w:tcW w:w="1361" w:type="dxa"/>
            <w:vAlign w:val="center"/>
          </w:tcPr>
          <w:p>
            <w:pPr>
              <w:pStyle w:val="11"/>
            </w:pPr>
            <w:r>
              <w:t>3693.01</w:t>
            </w:r>
          </w:p>
        </w:tc>
        <w:tc>
          <w:tcPr>
            <w:tcW w:w="1361" w:type="dxa"/>
            <w:vAlign w:val="center"/>
          </w:tcPr>
          <w:p>
            <w:pPr>
              <w:pStyle w:val="11"/>
            </w:pPr>
            <w:r>
              <w:t>828.60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2120101</w:t>
            </w:r>
          </w:p>
        </w:tc>
        <w:tc>
          <w:tcPr>
            <w:tcW w:w="4535" w:type="dxa"/>
            <w:vAlign w:val="center"/>
          </w:tcPr>
          <w:p>
            <w:pPr>
              <w:pStyle w:val="12"/>
            </w:pPr>
            <w:r>
              <w:t>行政运行</w:t>
            </w:r>
          </w:p>
        </w:tc>
        <w:tc>
          <w:tcPr>
            <w:tcW w:w="1361" w:type="dxa"/>
            <w:vAlign w:val="center"/>
          </w:tcPr>
          <w:p>
            <w:pPr>
              <w:pStyle w:val="11"/>
            </w:pPr>
            <w:r>
              <w:t>3693.01</w:t>
            </w:r>
          </w:p>
        </w:tc>
        <w:tc>
          <w:tcPr>
            <w:tcW w:w="1361" w:type="dxa"/>
            <w:vAlign w:val="center"/>
          </w:tcPr>
          <w:p>
            <w:pPr>
              <w:pStyle w:val="11"/>
            </w:pPr>
            <w:r>
              <w:t>3693.01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2120104</w:t>
            </w:r>
          </w:p>
        </w:tc>
        <w:tc>
          <w:tcPr>
            <w:tcW w:w="4535" w:type="dxa"/>
            <w:vAlign w:val="center"/>
          </w:tcPr>
          <w:p>
            <w:pPr>
              <w:pStyle w:val="12"/>
            </w:pPr>
            <w:r>
              <w:t>城管执法</w:t>
            </w:r>
          </w:p>
        </w:tc>
        <w:tc>
          <w:tcPr>
            <w:tcW w:w="1361" w:type="dxa"/>
            <w:vAlign w:val="center"/>
          </w:tcPr>
          <w:p>
            <w:pPr>
              <w:pStyle w:val="11"/>
            </w:pPr>
            <w:r>
              <w:t>803.00</w:t>
            </w:r>
          </w:p>
        </w:tc>
        <w:tc>
          <w:tcPr>
            <w:tcW w:w="1361" w:type="dxa"/>
            <w:vAlign w:val="center"/>
          </w:tcPr>
          <w:p>
            <w:pPr>
              <w:pStyle w:val="11"/>
            </w:pPr>
          </w:p>
        </w:tc>
        <w:tc>
          <w:tcPr>
            <w:tcW w:w="1361" w:type="dxa"/>
            <w:vAlign w:val="center"/>
          </w:tcPr>
          <w:p>
            <w:pPr>
              <w:pStyle w:val="11"/>
            </w:pPr>
            <w:r>
              <w:t>803.00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2120199</w:t>
            </w:r>
          </w:p>
        </w:tc>
        <w:tc>
          <w:tcPr>
            <w:tcW w:w="4535" w:type="dxa"/>
            <w:vAlign w:val="center"/>
          </w:tcPr>
          <w:p>
            <w:pPr>
              <w:pStyle w:val="12"/>
            </w:pPr>
            <w:r>
              <w:t>其他城乡社区管理事务支出</w:t>
            </w:r>
          </w:p>
        </w:tc>
        <w:tc>
          <w:tcPr>
            <w:tcW w:w="1361" w:type="dxa"/>
            <w:vAlign w:val="center"/>
          </w:tcPr>
          <w:p>
            <w:pPr>
              <w:pStyle w:val="11"/>
            </w:pPr>
            <w:r>
              <w:t>25.60</w:t>
            </w:r>
          </w:p>
        </w:tc>
        <w:tc>
          <w:tcPr>
            <w:tcW w:w="1361" w:type="dxa"/>
            <w:vAlign w:val="center"/>
          </w:tcPr>
          <w:p>
            <w:pPr>
              <w:pStyle w:val="11"/>
            </w:pPr>
          </w:p>
        </w:tc>
        <w:tc>
          <w:tcPr>
            <w:tcW w:w="1361" w:type="dxa"/>
            <w:vAlign w:val="center"/>
          </w:tcPr>
          <w:p>
            <w:pPr>
              <w:pStyle w:val="11"/>
            </w:pPr>
            <w:r>
              <w:t>25.60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21203</w:t>
            </w:r>
          </w:p>
        </w:tc>
        <w:tc>
          <w:tcPr>
            <w:tcW w:w="4535" w:type="dxa"/>
            <w:vAlign w:val="center"/>
          </w:tcPr>
          <w:p>
            <w:pPr>
              <w:pStyle w:val="12"/>
            </w:pPr>
            <w:r>
              <w:t>城乡社区公共设施</w:t>
            </w:r>
          </w:p>
        </w:tc>
        <w:tc>
          <w:tcPr>
            <w:tcW w:w="1361" w:type="dxa"/>
            <w:vAlign w:val="center"/>
          </w:tcPr>
          <w:p>
            <w:pPr>
              <w:pStyle w:val="11"/>
            </w:pPr>
            <w:r>
              <w:t>3435.00</w:t>
            </w:r>
          </w:p>
        </w:tc>
        <w:tc>
          <w:tcPr>
            <w:tcW w:w="1361" w:type="dxa"/>
            <w:vAlign w:val="center"/>
          </w:tcPr>
          <w:p>
            <w:pPr>
              <w:pStyle w:val="11"/>
            </w:pPr>
          </w:p>
        </w:tc>
        <w:tc>
          <w:tcPr>
            <w:tcW w:w="1361" w:type="dxa"/>
            <w:vAlign w:val="center"/>
          </w:tcPr>
          <w:p>
            <w:pPr>
              <w:pStyle w:val="11"/>
            </w:pPr>
            <w:r>
              <w:t>3435.00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2120399</w:t>
            </w:r>
          </w:p>
        </w:tc>
        <w:tc>
          <w:tcPr>
            <w:tcW w:w="4535" w:type="dxa"/>
            <w:vAlign w:val="center"/>
          </w:tcPr>
          <w:p>
            <w:pPr>
              <w:pStyle w:val="12"/>
            </w:pPr>
            <w:r>
              <w:t>其他城乡社区公共设施支出</w:t>
            </w:r>
          </w:p>
        </w:tc>
        <w:tc>
          <w:tcPr>
            <w:tcW w:w="1361" w:type="dxa"/>
            <w:vAlign w:val="center"/>
          </w:tcPr>
          <w:p>
            <w:pPr>
              <w:pStyle w:val="11"/>
            </w:pPr>
            <w:r>
              <w:t>3435.00</w:t>
            </w:r>
          </w:p>
        </w:tc>
        <w:tc>
          <w:tcPr>
            <w:tcW w:w="1361" w:type="dxa"/>
            <w:vAlign w:val="center"/>
          </w:tcPr>
          <w:p>
            <w:pPr>
              <w:pStyle w:val="11"/>
            </w:pPr>
          </w:p>
        </w:tc>
        <w:tc>
          <w:tcPr>
            <w:tcW w:w="1361" w:type="dxa"/>
            <w:vAlign w:val="center"/>
          </w:tcPr>
          <w:p>
            <w:pPr>
              <w:pStyle w:val="11"/>
            </w:pPr>
            <w:r>
              <w:t>3435.00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21205</w:t>
            </w:r>
          </w:p>
        </w:tc>
        <w:tc>
          <w:tcPr>
            <w:tcW w:w="4535" w:type="dxa"/>
            <w:vAlign w:val="center"/>
          </w:tcPr>
          <w:p>
            <w:pPr>
              <w:pStyle w:val="12"/>
            </w:pPr>
            <w:r>
              <w:t>城乡社区环境卫生</w:t>
            </w:r>
          </w:p>
        </w:tc>
        <w:tc>
          <w:tcPr>
            <w:tcW w:w="1361" w:type="dxa"/>
            <w:vAlign w:val="center"/>
          </w:tcPr>
          <w:p>
            <w:pPr>
              <w:pStyle w:val="11"/>
            </w:pPr>
            <w:r>
              <w:t>1900.00</w:t>
            </w:r>
          </w:p>
        </w:tc>
        <w:tc>
          <w:tcPr>
            <w:tcW w:w="1361" w:type="dxa"/>
            <w:vAlign w:val="center"/>
          </w:tcPr>
          <w:p>
            <w:pPr>
              <w:pStyle w:val="11"/>
            </w:pPr>
          </w:p>
        </w:tc>
        <w:tc>
          <w:tcPr>
            <w:tcW w:w="1361" w:type="dxa"/>
            <w:vAlign w:val="center"/>
          </w:tcPr>
          <w:p>
            <w:pPr>
              <w:pStyle w:val="11"/>
            </w:pPr>
            <w:r>
              <w:t>1900.00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2120501</w:t>
            </w:r>
          </w:p>
        </w:tc>
        <w:tc>
          <w:tcPr>
            <w:tcW w:w="4535" w:type="dxa"/>
            <w:vAlign w:val="center"/>
          </w:tcPr>
          <w:p>
            <w:pPr>
              <w:pStyle w:val="12"/>
            </w:pPr>
            <w:r>
              <w:t>城乡社区环境卫生</w:t>
            </w:r>
          </w:p>
        </w:tc>
        <w:tc>
          <w:tcPr>
            <w:tcW w:w="1361" w:type="dxa"/>
            <w:vAlign w:val="center"/>
          </w:tcPr>
          <w:p>
            <w:pPr>
              <w:pStyle w:val="11"/>
            </w:pPr>
            <w:r>
              <w:t>1900.00</w:t>
            </w:r>
          </w:p>
        </w:tc>
        <w:tc>
          <w:tcPr>
            <w:tcW w:w="1361" w:type="dxa"/>
            <w:vAlign w:val="center"/>
          </w:tcPr>
          <w:p>
            <w:pPr>
              <w:pStyle w:val="11"/>
            </w:pPr>
          </w:p>
        </w:tc>
        <w:tc>
          <w:tcPr>
            <w:tcW w:w="1361" w:type="dxa"/>
            <w:vAlign w:val="center"/>
          </w:tcPr>
          <w:p>
            <w:pPr>
              <w:pStyle w:val="11"/>
            </w:pPr>
            <w:r>
              <w:t>1900.00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1360.00</w:t>
            </w:r>
          </w:p>
        </w:tc>
        <w:tc>
          <w:tcPr>
            <w:tcW w:w="1361" w:type="dxa"/>
            <w:vAlign w:val="center"/>
          </w:tcPr>
          <w:p>
            <w:pPr>
              <w:pStyle w:val="11"/>
            </w:pPr>
          </w:p>
        </w:tc>
        <w:tc>
          <w:tcPr>
            <w:tcW w:w="1361" w:type="dxa"/>
            <w:vAlign w:val="center"/>
          </w:tcPr>
          <w:p>
            <w:pPr>
              <w:pStyle w:val="11"/>
            </w:pPr>
            <w:r>
              <w:t>1360.00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2120810</w:t>
            </w:r>
          </w:p>
        </w:tc>
        <w:tc>
          <w:tcPr>
            <w:tcW w:w="4535" w:type="dxa"/>
            <w:vAlign w:val="center"/>
          </w:tcPr>
          <w:p>
            <w:pPr>
              <w:pStyle w:val="12"/>
            </w:pPr>
            <w:r>
              <w:t>棚户区改造支出</w:t>
            </w:r>
          </w:p>
        </w:tc>
        <w:tc>
          <w:tcPr>
            <w:tcW w:w="1361" w:type="dxa"/>
            <w:vAlign w:val="center"/>
          </w:tcPr>
          <w:p>
            <w:pPr>
              <w:pStyle w:val="11"/>
            </w:pPr>
            <w:r>
              <w:t>1360.00</w:t>
            </w:r>
          </w:p>
        </w:tc>
        <w:tc>
          <w:tcPr>
            <w:tcW w:w="1361" w:type="dxa"/>
            <w:vAlign w:val="center"/>
          </w:tcPr>
          <w:p>
            <w:pPr>
              <w:pStyle w:val="11"/>
            </w:pPr>
          </w:p>
        </w:tc>
        <w:tc>
          <w:tcPr>
            <w:tcW w:w="1361" w:type="dxa"/>
            <w:vAlign w:val="center"/>
          </w:tcPr>
          <w:p>
            <w:pPr>
              <w:pStyle w:val="11"/>
            </w:pPr>
            <w:r>
              <w:t>1360.00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22101</w:t>
            </w:r>
          </w:p>
        </w:tc>
        <w:tc>
          <w:tcPr>
            <w:tcW w:w="4535" w:type="dxa"/>
            <w:vAlign w:val="center"/>
          </w:tcPr>
          <w:p>
            <w:pPr>
              <w:pStyle w:val="12"/>
            </w:pPr>
            <w:r>
              <w:t>保障性安居工程支出</w:t>
            </w: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2210106</w:t>
            </w:r>
          </w:p>
        </w:tc>
        <w:tc>
          <w:tcPr>
            <w:tcW w:w="4535" w:type="dxa"/>
            <w:vAlign w:val="center"/>
          </w:tcPr>
          <w:p>
            <w:pPr>
              <w:pStyle w:val="12"/>
            </w:pPr>
            <w:r>
              <w:t>公共租赁住房</w:t>
            </w: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231</w:t>
            </w:r>
          </w:p>
        </w:tc>
        <w:tc>
          <w:tcPr>
            <w:tcW w:w="4535" w:type="dxa"/>
            <w:vAlign w:val="center"/>
          </w:tcPr>
          <w:p>
            <w:pPr>
              <w:pStyle w:val="12"/>
            </w:pPr>
            <w:r>
              <w:t>债务还本支出</w:t>
            </w:r>
          </w:p>
        </w:tc>
        <w:tc>
          <w:tcPr>
            <w:tcW w:w="1361" w:type="dxa"/>
            <w:vAlign w:val="center"/>
          </w:tcPr>
          <w:p>
            <w:pPr>
              <w:pStyle w:val="11"/>
            </w:pPr>
            <w:r>
              <w:t>303.00</w:t>
            </w:r>
          </w:p>
        </w:tc>
        <w:tc>
          <w:tcPr>
            <w:tcW w:w="1361" w:type="dxa"/>
            <w:vAlign w:val="center"/>
          </w:tcPr>
          <w:p>
            <w:pPr>
              <w:pStyle w:val="11"/>
            </w:pPr>
          </w:p>
        </w:tc>
        <w:tc>
          <w:tcPr>
            <w:tcW w:w="1361" w:type="dxa"/>
            <w:vAlign w:val="center"/>
          </w:tcPr>
          <w:p>
            <w:pPr>
              <w:pStyle w:val="11"/>
            </w:pPr>
            <w:r>
              <w:t>303.00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23103</w:t>
            </w:r>
          </w:p>
        </w:tc>
        <w:tc>
          <w:tcPr>
            <w:tcW w:w="4535" w:type="dxa"/>
            <w:vAlign w:val="center"/>
          </w:tcPr>
          <w:p>
            <w:pPr>
              <w:pStyle w:val="12"/>
            </w:pPr>
            <w:r>
              <w:t>地方政府一般债务还本支出</w:t>
            </w:r>
          </w:p>
        </w:tc>
        <w:tc>
          <w:tcPr>
            <w:tcW w:w="1361" w:type="dxa"/>
            <w:vAlign w:val="center"/>
          </w:tcPr>
          <w:p>
            <w:pPr>
              <w:pStyle w:val="11"/>
            </w:pPr>
            <w:r>
              <w:t>303.00</w:t>
            </w:r>
          </w:p>
        </w:tc>
        <w:tc>
          <w:tcPr>
            <w:tcW w:w="1361" w:type="dxa"/>
            <w:vAlign w:val="center"/>
          </w:tcPr>
          <w:p>
            <w:pPr>
              <w:pStyle w:val="11"/>
            </w:pPr>
          </w:p>
        </w:tc>
        <w:tc>
          <w:tcPr>
            <w:tcW w:w="1361" w:type="dxa"/>
            <w:vAlign w:val="center"/>
          </w:tcPr>
          <w:p>
            <w:pPr>
              <w:pStyle w:val="11"/>
            </w:pPr>
            <w:r>
              <w:t>303.00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2310399</w:t>
            </w:r>
          </w:p>
        </w:tc>
        <w:tc>
          <w:tcPr>
            <w:tcW w:w="4535" w:type="dxa"/>
            <w:vAlign w:val="center"/>
          </w:tcPr>
          <w:p>
            <w:pPr>
              <w:pStyle w:val="12"/>
            </w:pPr>
            <w:r>
              <w:t>地方政府其他一般债务还本支出</w:t>
            </w:r>
          </w:p>
        </w:tc>
        <w:tc>
          <w:tcPr>
            <w:tcW w:w="1361" w:type="dxa"/>
            <w:vAlign w:val="center"/>
          </w:tcPr>
          <w:p>
            <w:pPr>
              <w:pStyle w:val="11"/>
            </w:pPr>
            <w:r>
              <w:t>303.00</w:t>
            </w:r>
          </w:p>
        </w:tc>
        <w:tc>
          <w:tcPr>
            <w:tcW w:w="1361" w:type="dxa"/>
            <w:vAlign w:val="center"/>
          </w:tcPr>
          <w:p>
            <w:pPr>
              <w:pStyle w:val="11"/>
            </w:pPr>
          </w:p>
        </w:tc>
        <w:tc>
          <w:tcPr>
            <w:tcW w:w="1361" w:type="dxa"/>
            <w:vAlign w:val="center"/>
          </w:tcPr>
          <w:p>
            <w:pPr>
              <w:pStyle w:val="11"/>
            </w:pPr>
            <w:r>
              <w:t>303.00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333001魏县住房和城乡建设局本级</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12022.77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1360.00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r>
              <w:t>125.00</w:t>
            </w:r>
          </w:p>
        </w:tc>
        <w:tc>
          <w:tcPr>
            <w:tcW w:w="1474" w:type="dxa"/>
            <w:vAlign w:val="center"/>
          </w:tcPr>
          <w:p>
            <w:pPr>
              <w:pStyle w:val="11"/>
            </w:pPr>
            <w:r>
              <w:t>125.00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500.00</w:t>
            </w:r>
          </w:p>
        </w:tc>
        <w:tc>
          <w:tcPr>
            <w:tcW w:w="1474" w:type="dxa"/>
            <w:vAlign w:val="center"/>
          </w:tcPr>
          <w:p>
            <w:pPr>
              <w:pStyle w:val="11"/>
            </w:pPr>
            <w:r>
              <w:t>500.00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24.16</w:t>
            </w:r>
          </w:p>
        </w:tc>
        <w:tc>
          <w:tcPr>
            <w:tcW w:w="1474" w:type="dxa"/>
            <w:vAlign w:val="center"/>
          </w:tcPr>
          <w:p>
            <w:pPr>
              <w:pStyle w:val="11"/>
            </w:pPr>
            <w:r>
              <w:t>24.16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1176.00</w:t>
            </w:r>
          </w:p>
        </w:tc>
        <w:tc>
          <w:tcPr>
            <w:tcW w:w="1474" w:type="dxa"/>
            <w:vAlign w:val="center"/>
          </w:tcPr>
          <w:p>
            <w:pPr>
              <w:pStyle w:val="11"/>
            </w:pPr>
            <w:r>
              <w:t>1176.00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11216.61</w:t>
            </w:r>
          </w:p>
        </w:tc>
        <w:tc>
          <w:tcPr>
            <w:tcW w:w="1474" w:type="dxa"/>
            <w:vAlign w:val="center"/>
          </w:tcPr>
          <w:p>
            <w:pPr>
              <w:pStyle w:val="11"/>
            </w:pPr>
            <w:r>
              <w:t>9856.61</w:t>
            </w:r>
          </w:p>
        </w:tc>
        <w:tc>
          <w:tcPr>
            <w:tcW w:w="1474" w:type="dxa"/>
            <w:vAlign w:val="center"/>
          </w:tcPr>
          <w:p>
            <w:pPr>
              <w:pStyle w:val="11"/>
            </w:pPr>
            <w:r>
              <w:t>1360.00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38.00</w:t>
            </w:r>
          </w:p>
        </w:tc>
        <w:tc>
          <w:tcPr>
            <w:tcW w:w="1474" w:type="dxa"/>
            <w:vAlign w:val="center"/>
          </w:tcPr>
          <w:p>
            <w:pPr>
              <w:pStyle w:val="11"/>
            </w:pPr>
            <w:r>
              <w:t>38.00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r>
              <w:t>303.00</w:t>
            </w:r>
          </w:p>
        </w:tc>
        <w:tc>
          <w:tcPr>
            <w:tcW w:w="1474" w:type="dxa"/>
            <w:vAlign w:val="center"/>
          </w:tcPr>
          <w:p>
            <w:pPr>
              <w:pStyle w:val="11"/>
            </w:pPr>
            <w:r>
              <w:t>303.00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13382.77</w:t>
            </w:r>
          </w:p>
        </w:tc>
        <w:tc>
          <w:tcPr>
            <w:tcW w:w="3402" w:type="dxa"/>
            <w:vAlign w:val="center"/>
          </w:tcPr>
          <w:p>
            <w:pPr>
              <w:pStyle w:val="14"/>
            </w:pPr>
            <w:r>
              <w:t>本年支出合计</w:t>
            </w:r>
          </w:p>
        </w:tc>
        <w:tc>
          <w:tcPr>
            <w:tcW w:w="1474" w:type="dxa"/>
            <w:vAlign w:val="center"/>
          </w:tcPr>
          <w:p>
            <w:pPr>
              <w:pStyle w:val="15"/>
            </w:pPr>
            <w:r>
              <w:t>13382.77</w:t>
            </w:r>
          </w:p>
        </w:tc>
        <w:tc>
          <w:tcPr>
            <w:tcW w:w="1474" w:type="dxa"/>
            <w:vAlign w:val="center"/>
          </w:tcPr>
          <w:p>
            <w:pPr>
              <w:pStyle w:val="15"/>
            </w:pPr>
            <w:r>
              <w:t>12022.77</w:t>
            </w:r>
          </w:p>
        </w:tc>
        <w:tc>
          <w:tcPr>
            <w:tcW w:w="1474" w:type="dxa"/>
            <w:vAlign w:val="center"/>
          </w:tcPr>
          <w:p>
            <w:pPr>
              <w:pStyle w:val="15"/>
            </w:pPr>
            <w:r>
              <w:t>1360.00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13382.77</w:t>
            </w:r>
          </w:p>
        </w:tc>
        <w:tc>
          <w:tcPr>
            <w:tcW w:w="3402" w:type="dxa"/>
            <w:vAlign w:val="center"/>
          </w:tcPr>
          <w:p>
            <w:pPr>
              <w:pStyle w:val="14"/>
            </w:pPr>
            <w:r>
              <w:t>支出总计</w:t>
            </w:r>
          </w:p>
        </w:tc>
        <w:tc>
          <w:tcPr>
            <w:tcW w:w="1474" w:type="dxa"/>
            <w:vAlign w:val="center"/>
          </w:tcPr>
          <w:p>
            <w:pPr>
              <w:pStyle w:val="15"/>
            </w:pPr>
            <w:r>
              <w:t>13382.77</w:t>
            </w:r>
          </w:p>
        </w:tc>
        <w:tc>
          <w:tcPr>
            <w:tcW w:w="1474" w:type="dxa"/>
            <w:vAlign w:val="center"/>
          </w:tcPr>
          <w:p>
            <w:pPr>
              <w:pStyle w:val="15"/>
            </w:pPr>
            <w:r>
              <w:t>12022.77</w:t>
            </w:r>
          </w:p>
        </w:tc>
        <w:tc>
          <w:tcPr>
            <w:tcW w:w="1474" w:type="dxa"/>
            <w:vAlign w:val="center"/>
          </w:tcPr>
          <w:p>
            <w:pPr>
              <w:pStyle w:val="15"/>
            </w:pPr>
            <w:r>
              <w:t>1360.00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333001魏县住房和城乡建设局本级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12022.77</w:t>
            </w:r>
          </w:p>
        </w:tc>
        <w:tc>
          <w:tcPr>
            <w:tcW w:w="2551" w:type="dxa"/>
            <w:vAlign w:val="center"/>
          </w:tcPr>
          <w:p>
            <w:pPr>
              <w:pStyle w:val="15"/>
            </w:pPr>
            <w:r>
              <w:t>3717.17</w:t>
            </w:r>
          </w:p>
        </w:tc>
        <w:tc>
          <w:tcPr>
            <w:tcW w:w="2551" w:type="dxa"/>
            <w:vAlign w:val="center"/>
          </w:tcPr>
          <w:p>
            <w:pPr>
              <w:pStyle w:val="15"/>
            </w:pPr>
            <w:r>
              <w:t>8305.60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203</w:t>
            </w:r>
          </w:p>
        </w:tc>
        <w:tc>
          <w:tcPr>
            <w:tcW w:w="4535" w:type="dxa"/>
            <w:vAlign w:val="center"/>
          </w:tcPr>
          <w:p>
            <w:pPr>
              <w:pStyle w:val="12"/>
            </w:pPr>
            <w:r>
              <w:t>国防支出</w:t>
            </w:r>
          </w:p>
        </w:tc>
        <w:tc>
          <w:tcPr>
            <w:tcW w:w="2551" w:type="dxa"/>
            <w:vAlign w:val="center"/>
          </w:tcPr>
          <w:p>
            <w:pPr>
              <w:pStyle w:val="11"/>
            </w:pPr>
            <w:r>
              <w:t>125.00</w:t>
            </w:r>
          </w:p>
        </w:tc>
        <w:tc>
          <w:tcPr>
            <w:tcW w:w="2551" w:type="dxa"/>
            <w:vAlign w:val="center"/>
          </w:tcPr>
          <w:p>
            <w:pPr>
              <w:pStyle w:val="11"/>
            </w:pPr>
          </w:p>
        </w:tc>
        <w:tc>
          <w:tcPr>
            <w:tcW w:w="2551" w:type="dxa"/>
            <w:vAlign w:val="center"/>
          </w:tcPr>
          <w:p>
            <w:pPr>
              <w:pStyle w:val="11"/>
            </w:pPr>
            <w:r>
              <w:t>125.00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20306</w:t>
            </w:r>
          </w:p>
        </w:tc>
        <w:tc>
          <w:tcPr>
            <w:tcW w:w="4535" w:type="dxa"/>
            <w:vAlign w:val="center"/>
          </w:tcPr>
          <w:p>
            <w:pPr>
              <w:pStyle w:val="12"/>
            </w:pPr>
            <w:r>
              <w:t>国防动员</w:t>
            </w:r>
          </w:p>
        </w:tc>
        <w:tc>
          <w:tcPr>
            <w:tcW w:w="2551" w:type="dxa"/>
            <w:vAlign w:val="center"/>
          </w:tcPr>
          <w:p>
            <w:pPr>
              <w:pStyle w:val="11"/>
            </w:pPr>
            <w:r>
              <w:t>125.00</w:t>
            </w:r>
          </w:p>
        </w:tc>
        <w:tc>
          <w:tcPr>
            <w:tcW w:w="2551" w:type="dxa"/>
            <w:vAlign w:val="center"/>
          </w:tcPr>
          <w:p>
            <w:pPr>
              <w:pStyle w:val="11"/>
            </w:pPr>
          </w:p>
        </w:tc>
        <w:tc>
          <w:tcPr>
            <w:tcW w:w="2551" w:type="dxa"/>
            <w:vAlign w:val="center"/>
          </w:tcPr>
          <w:p>
            <w:pPr>
              <w:pStyle w:val="11"/>
            </w:pPr>
            <w:r>
              <w:t>125.00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2030603</w:t>
            </w:r>
          </w:p>
        </w:tc>
        <w:tc>
          <w:tcPr>
            <w:tcW w:w="4535" w:type="dxa"/>
            <w:vAlign w:val="center"/>
          </w:tcPr>
          <w:p>
            <w:pPr>
              <w:pStyle w:val="12"/>
            </w:pPr>
            <w:r>
              <w:t>人民防空</w:t>
            </w:r>
          </w:p>
        </w:tc>
        <w:tc>
          <w:tcPr>
            <w:tcW w:w="2551" w:type="dxa"/>
            <w:vAlign w:val="center"/>
          </w:tcPr>
          <w:p>
            <w:pPr>
              <w:pStyle w:val="11"/>
            </w:pPr>
            <w:r>
              <w:t>125.00</w:t>
            </w:r>
          </w:p>
        </w:tc>
        <w:tc>
          <w:tcPr>
            <w:tcW w:w="2551" w:type="dxa"/>
            <w:vAlign w:val="center"/>
          </w:tcPr>
          <w:p>
            <w:pPr>
              <w:pStyle w:val="11"/>
            </w:pPr>
          </w:p>
        </w:tc>
        <w:tc>
          <w:tcPr>
            <w:tcW w:w="2551" w:type="dxa"/>
            <w:vAlign w:val="center"/>
          </w:tcPr>
          <w:p>
            <w:pPr>
              <w:pStyle w:val="11"/>
            </w:pPr>
            <w:r>
              <w:t>125.00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500.00</w:t>
            </w:r>
          </w:p>
        </w:tc>
        <w:tc>
          <w:tcPr>
            <w:tcW w:w="2551" w:type="dxa"/>
            <w:vAlign w:val="center"/>
          </w:tcPr>
          <w:p>
            <w:pPr>
              <w:pStyle w:val="11"/>
            </w:pPr>
          </w:p>
        </w:tc>
        <w:tc>
          <w:tcPr>
            <w:tcW w:w="2551" w:type="dxa"/>
            <w:vAlign w:val="center"/>
          </w:tcPr>
          <w:p>
            <w:pPr>
              <w:pStyle w:val="11"/>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20899</w:t>
            </w:r>
          </w:p>
        </w:tc>
        <w:tc>
          <w:tcPr>
            <w:tcW w:w="4535" w:type="dxa"/>
            <w:vAlign w:val="center"/>
          </w:tcPr>
          <w:p>
            <w:pPr>
              <w:pStyle w:val="12"/>
            </w:pPr>
            <w:r>
              <w:t>其他社会保障和就业支出</w:t>
            </w:r>
          </w:p>
        </w:tc>
        <w:tc>
          <w:tcPr>
            <w:tcW w:w="2551" w:type="dxa"/>
            <w:vAlign w:val="center"/>
          </w:tcPr>
          <w:p>
            <w:pPr>
              <w:pStyle w:val="11"/>
            </w:pPr>
            <w:r>
              <w:t>500.00</w:t>
            </w:r>
          </w:p>
        </w:tc>
        <w:tc>
          <w:tcPr>
            <w:tcW w:w="2551" w:type="dxa"/>
            <w:vAlign w:val="center"/>
          </w:tcPr>
          <w:p>
            <w:pPr>
              <w:pStyle w:val="11"/>
            </w:pPr>
          </w:p>
        </w:tc>
        <w:tc>
          <w:tcPr>
            <w:tcW w:w="2551" w:type="dxa"/>
            <w:vAlign w:val="center"/>
          </w:tcPr>
          <w:p>
            <w:pPr>
              <w:pStyle w:val="11"/>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2089999</w:t>
            </w:r>
          </w:p>
        </w:tc>
        <w:tc>
          <w:tcPr>
            <w:tcW w:w="4535" w:type="dxa"/>
            <w:vAlign w:val="center"/>
          </w:tcPr>
          <w:p>
            <w:pPr>
              <w:pStyle w:val="12"/>
            </w:pPr>
            <w:r>
              <w:t>其他社会保障和就业支出</w:t>
            </w:r>
          </w:p>
        </w:tc>
        <w:tc>
          <w:tcPr>
            <w:tcW w:w="2551" w:type="dxa"/>
            <w:vAlign w:val="center"/>
          </w:tcPr>
          <w:p>
            <w:pPr>
              <w:pStyle w:val="11"/>
            </w:pPr>
            <w:r>
              <w:t>500.00</w:t>
            </w:r>
          </w:p>
        </w:tc>
        <w:tc>
          <w:tcPr>
            <w:tcW w:w="2551" w:type="dxa"/>
            <w:vAlign w:val="center"/>
          </w:tcPr>
          <w:p>
            <w:pPr>
              <w:pStyle w:val="11"/>
            </w:pPr>
          </w:p>
        </w:tc>
        <w:tc>
          <w:tcPr>
            <w:tcW w:w="2551" w:type="dxa"/>
            <w:vAlign w:val="center"/>
          </w:tcPr>
          <w:p>
            <w:pPr>
              <w:pStyle w:val="11"/>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24.16</w:t>
            </w:r>
          </w:p>
        </w:tc>
        <w:tc>
          <w:tcPr>
            <w:tcW w:w="2551" w:type="dxa"/>
            <w:vAlign w:val="center"/>
          </w:tcPr>
          <w:p>
            <w:pPr>
              <w:pStyle w:val="11"/>
            </w:pPr>
            <w:r>
              <w:t>24.16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24.16</w:t>
            </w:r>
          </w:p>
        </w:tc>
        <w:tc>
          <w:tcPr>
            <w:tcW w:w="2551" w:type="dxa"/>
            <w:vAlign w:val="center"/>
          </w:tcPr>
          <w:p>
            <w:pPr>
              <w:pStyle w:val="11"/>
            </w:pPr>
            <w:r>
              <w:t>24.16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24.16</w:t>
            </w:r>
          </w:p>
        </w:tc>
        <w:tc>
          <w:tcPr>
            <w:tcW w:w="2551" w:type="dxa"/>
            <w:vAlign w:val="center"/>
          </w:tcPr>
          <w:p>
            <w:pPr>
              <w:pStyle w:val="11"/>
            </w:pPr>
            <w:r>
              <w:t>24.16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1176.00</w:t>
            </w:r>
          </w:p>
        </w:tc>
        <w:tc>
          <w:tcPr>
            <w:tcW w:w="2551" w:type="dxa"/>
            <w:vAlign w:val="center"/>
          </w:tcPr>
          <w:p>
            <w:pPr>
              <w:pStyle w:val="11"/>
            </w:pPr>
          </w:p>
        </w:tc>
        <w:tc>
          <w:tcPr>
            <w:tcW w:w="2551" w:type="dxa"/>
            <w:vAlign w:val="center"/>
          </w:tcPr>
          <w:p>
            <w:pPr>
              <w:pStyle w:val="11"/>
            </w:pPr>
            <w:r>
              <w:t>1176.00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1176.00</w:t>
            </w:r>
          </w:p>
        </w:tc>
        <w:tc>
          <w:tcPr>
            <w:tcW w:w="2551" w:type="dxa"/>
            <w:vAlign w:val="center"/>
          </w:tcPr>
          <w:p>
            <w:pPr>
              <w:pStyle w:val="11"/>
            </w:pPr>
          </w:p>
        </w:tc>
        <w:tc>
          <w:tcPr>
            <w:tcW w:w="2551" w:type="dxa"/>
            <w:vAlign w:val="center"/>
          </w:tcPr>
          <w:p>
            <w:pPr>
              <w:pStyle w:val="11"/>
            </w:pPr>
            <w:r>
              <w:t>1176.00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2110302</w:t>
            </w:r>
          </w:p>
        </w:tc>
        <w:tc>
          <w:tcPr>
            <w:tcW w:w="4535" w:type="dxa"/>
            <w:vAlign w:val="center"/>
          </w:tcPr>
          <w:p>
            <w:pPr>
              <w:pStyle w:val="12"/>
            </w:pPr>
            <w:r>
              <w:t>水体</w:t>
            </w:r>
          </w:p>
        </w:tc>
        <w:tc>
          <w:tcPr>
            <w:tcW w:w="2551" w:type="dxa"/>
            <w:vAlign w:val="center"/>
          </w:tcPr>
          <w:p>
            <w:pPr>
              <w:pStyle w:val="11"/>
            </w:pPr>
            <w:r>
              <w:t>856.00</w:t>
            </w:r>
          </w:p>
        </w:tc>
        <w:tc>
          <w:tcPr>
            <w:tcW w:w="2551" w:type="dxa"/>
            <w:vAlign w:val="center"/>
          </w:tcPr>
          <w:p>
            <w:pPr>
              <w:pStyle w:val="11"/>
            </w:pPr>
          </w:p>
        </w:tc>
        <w:tc>
          <w:tcPr>
            <w:tcW w:w="2551" w:type="dxa"/>
            <w:vAlign w:val="center"/>
          </w:tcPr>
          <w:p>
            <w:pPr>
              <w:pStyle w:val="11"/>
            </w:pPr>
            <w:r>
              <w:t>856.00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2110304</w:t>
            </w:r>
          </w:p>
        </w:tc>
        <w:tc>
          <w:tcPr>
            <w:tcW w:w="4535" w:type="dxa"/>
            <w:vAlign w:val="center"/>
          </w:tcPr>
          <w:p>
            <w:pPr>
              <w:pStyle w:val="12"/>
            </w:pPr>
            <w:r>
              <w:t>固体废弃物与化学品</w:t>
            </w:r>
          </w:p>
        </w:tc>
        <w:tc>
          <w:tcPr>
            <w:tcW w:w="2551" w:type="dxa"/>
            <w:vAlign w:val="center"/>
          </w:tcPr>
          <w:p>
            <w:pPr>
              <w:pStyle w:val="11"/>
            </w:pPr>
            <w:r>
              <w:t>320.00</w:t>
            </w:r>
          </w:p>
        </w:tc>
        <w:tc>
          <w:tcPr>
            <w:tcW w:w="2551" w:type="dxa"/>
            <w:vAlign w:val="center"/>
          </w:tcPr>
          <w:p>
            <w:pPr>
              <w:pStyle w:val="11"/>
            </w:pPr>
          </w:p>
        </w:tc>
        <w:tc>
          <w:tcPr>
            <w:tcW w:w="2551" w:type="dxa"/>
            <w:vAlign w:val="center"/>
          </w:tcPr>
          <w:p>
            <w:pPr>
              <w:pStyle w:val="11"/>
            </w:pPr>
            <w:r>
              <w:t>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9856.61</w:t>
            </w:r>
          </w:p>
        </w:tc>
        <w:tc>
          <w:tcPr>
            <w:tcW w:w="2551" w:type="dxa"/>
            <w:vAlign w:val="center"/>
          </w:tcPr>
          <w:p>
            <w:pPr>
              <w:pStyle w:val="11"/>
            </w:pPr>
            <w:r>
              <w:t>3693.01</w:t>
            </w:r>
          </w:p>
        </w:tc>
        <w:tc>
          <w:tcPr>
            <w:tcW w:w="2551" w:type="dxa"/>
            <w:vAlign w:val="center"/>
          </w:tcPr>
          <w:p>
            <w:pPr>
              <w:pStyle w:val="11"/>
            </w:pPr>
            <w:r>
              <w:t>6163.60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21201</w:t>
            </w:r>
          </w:p>
        </w:tc>
        <w:tc>
          <w:tcPr>
            <w:tcW w:w="4535" w:type="dxa"/>
            <w:vAlign w:val="center"/>
          </w:tcPr>
          <w:p>
            <w:pPr>
              <w:pStyle w:val="12"/>
            </w:pPr>
            <w:r>
              <w:t>城乡社区管理事务</w:t>
            </w:r>
          </w:p>
        </w:tc>
        <w:tc>
          <w:tcPr>
            <w:tcW w:w="2551" w:type="dxa"/>
            <w:vAlign w:val="center"/>
          </w:tcPr>
          <w:p>
            <w:pPr>
              <w:pStyle w:val="11"/>
            </w:pPr>
            <w:r>
              <w:t>4521.61</w:t>
            </w:r>
          </w:p>
        </w:tc>
        <w:tc>
          <w:tcPr>
            <w:tcW w:w="2551" w:type="dxa"/>
            <w:vAlign w:val="center"/>
          </w:tcPr>
          <w:p>
            <w:pPr>
              <w:pStyle w:val="11"/>
            </w:pPr>
            <w:r>
              <w:t>3693.01</w:t>
            </w:r>
          </w:p>
        </w:tc>
        <w:tc>
          <w:tcPr>
            <w:tcW w:w="2551" w:type="dxa"/>
            <w:vAlign w:val="center"/>
          </w:tcPr>
          <w:p>
            <w:pPr>
              <w:pStyle w:val="11"/>
            </w:pPr>
            <w:r>
              <w:t>828.60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2120101</w:t>
            </w:r>
          </w:p>
        </w:tc>
        <w:tc>
          <w:tcPr>
            <w:tcW w:w="4535" w:type="dxa"/>
            <w:vAlign w:val="center"/>
          </w:tcPr>
          <w:p>
            <w:pPr>
              <w:pStyle w:val="12"/>
            </w:pPr>
            <w:r>
              <w:t>行政运行</w:t>
            </w:r>
          </w:p>
        </w:tc>
        <w:tc>
          <w:tcPr>
            <w:tcW w:w="2551" w:type="dxa"/>
            <w:vAlign w:val="center"/>
          </w:tcPr>
          <w:p>
            <w:pPr>
              <w:pStyle w:val="11"/>
            </w:pPr>
            <w:r>
              <w:t>3693.01</w:t>
            </w:r>
          </w:p>
        </w:tc>
        <w:tc>
          <w:tcPr>
            <w:tcW w:w="2551" w:type="dxa"/>
            <w:vAlign w:val="center"/>
          </w:tcPr>
          <w:p>
            <w:pPr>
              <w:pStyle w:val="11"/>
            </w:pPr>
            <w:r>
              <w:t>3693.01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2120104</w:t>
            </w:r>
          </w:p>
        </w:tc>
        <w:tc>
          <w:tcPr>
            <w:tcW w:w="4535" w:type="dxa"/>
            <w:vAlign w:val="center"/>
          </w:tcPr>
          <w:p>
            <w:pPr>
              <w:pStyle w:val="12"/>
            </w:pPr>
            <w:r>
              <w:t>城管执法</w:t>
            </w:r>
          </w:p>
        </w:tc>
        <w:tc>
          <w:tcPr>
            <w:tcW w:w="2551" w:type="dxa"/>
            <w:vAlign w:val="center"/>
          </w:tcPr>
          <w:p>
            <w:pPr>
              <w:pStyle w:val="11"/>
            </w:pPr>
            <w:r>
              <w:t>803.00</w:t>
            </w:r>
          </w:p>
        </w:tc>
        <w:tc>
          <w:tcPr>
            <w:tcW w:w="2551" w:type="dxa"/>
            <w:vAlign w:val="center"/>
          </w:tcPr>
          <w:p>
            <w:pPr>
              <w:pStyle w:val="11"/>
            </w:pPr>
          </w:p>
        </w:tc>
        <w:tc>
          <w:tcPr>
            <w:tcW w:w="2551" w:type="dxa"/>
            <w:vAlign w:val="center"/>
          </w:tcPr>
          <w:p>
            <w:pPr>
              <w:pStyle w:val="11"/>
            </w:pPr>
            <w:r>
              <w:t>803.00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2120199</w:t>
            </w:r>
          </w:p>
        </w:tc>
        <w:tc>
          <w:tcPr>
            <w:tcW w:w="4535" w:type="dxa"/>
            <w:vAlign w:val="center"/>
          </w:tcPr>
          <w:p>
            <w:pPr>
              <w:pStyle w:val="12"/>
            </w:pPr>
            <w:r>
              <w:t>其他城乡社区管理事务支出</w:t>
            </w:r>
          </w:p>
        </w:tc>
        <w:tc>
          <w:tcPr>
            <w:tcW w:w="2551" w:type="dxa"/>
            <w:vAlign w:val="center"/>
          </w:tcPr>
          <w:p>
            <w:pPr>
              <w:pStyle w:val="11"/>
            </w:pPr>
            <w:r>
              <w:t>25.60</w:t>
            </w:r>
          </w:p>
        </w:tc>
        <w:tc>
          <w:tcPr>
            <w:tcW w:w="2551" w:type="dxa"/>
            <w:vAlign w:val="center"/>
          </w:tcPr>
          <w:p>
            <w:pPr>
              <w:pStyle w:val="11"/>
            </w:pPr>
          </w:p>
        </w:tc>
        <w:tc>
          <w:tcPr>
            <w:tcW w:w="2551" w:type="dxa"/>
            <w:vAlign w:val="center"/>
          </w:tcPr>
          <w:p>
            <w:pPr>
              <w:pStyle w:val="11"/>
            </w:pPr>
            <w:r>
              <w:t>25.60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21203</w:t>
            </w:r>
          </w:p>
        </w:tc>
        <w:tc>
          <w:tcPr>
            <w:tcW w:w="4535" w:type="dxa"/>
            <w:vAlign w:val="center"/>
          </w:tcPr>
          <w:p>
            <w:pPr>
              <w:pStyle w:val="12"/>
            </w:pPr>
            <w:r>
              <w:t>城乡社区公共设施</w:t>
            </w:r>
          </w:p>
        </w:tc>
        <w:tc>
          <w:tcPr>
            <w:tcW w:w="2551" w:type="dxa"/>
            <w:vAlign w:val="center"/>
          </w:tcPr>
          <w:p>
            <w:pPr>
              <w:pStyle w:val="11"/>
            </w:pPr>
            <w:r>
              <w:t>3435.00</w:t>
            </w:r>
          </w:p>
        </w:tc>
        <w:tc>
          <w:tcPr>
            <w:tcW w:w="2551" w:type="dxa"/>
            <w:vAlign w:val="center"/>
          </w:tcPr>
          <w:p>
            <w:pPr>
              <w:pStyle w:val="11"/>
            </w:pPr>
          </w:p>
        </w:tc>
        <w:tc>
          <w:tcPr>
            <w:tcW w:w="2551" w:type="dxa"/>
            <w:vAlign w:val="center"/>
          </w:tcPr>
          <w:p>
            <w:pPr>
              <w:pStyle w:val="11"/>
            </w:pPr>
            <w:r>
              <w:t>3435.00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2120399</w:t>
            </w:r>
          </w:p>
        </w:tc>
        <w:tc>
          <w:tcPr>
            <w:tcW w:w="4535" w:type="dxa"/>
            <w:vAlign w:val="center"/>
          </w:tcPr>
          <w:p>
            <w:pPr>
              <w:pStyle w:val="12"/>
            </w:pPr>
            <w:r>
              <w:t>其他城乡社区公共设施支出</w:t>
            </w:r>
          </w:p>
        </w:tc>
        <w:tc>
          <w:tcPr>
            <w:tcW w:w="2551" w:type="dxa"/>
            <w:vAlign w:val="center"/>
          </w:tcPr>
          <w:p>
            <w:pPr>
              <w:pStyle w:val="11"/>
            </w:pPr>
            <w:r>
              <w:t>3435.00</w:t>
            </w:r>
          </w:p>
        </w:tc>
        <w:tc>
          <w:tcPr>
            <w:tcW w:w="2551" w:type="dxa"/>
            <w:vAlign w:val="center"/>
          </w:tcPr>
          <w:p>
            <w:pPr>
              <w:pStyle w:val="11"/>
            </w:pPr>
          </w:p>
        </w:tc>
        <w:tc>
          <w:tcPr>
            <w:tcW w:w="2551" w:type="dxa"/>
            <w:vAlign w:val="center"/>
          </w:tcPr>
          <w:p>
            <w:pPr>
              <w:pStyle w:val="11"/>
            </w:pPr>
            <w:r>
              <w:t>3435.00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21205</w:t>
            </w:r>
          </w:p>
        </w:tc>
        <w:tc>
          <w:tcPr>
            <w:tcW w:w="4535" w:type="dxa"/>
            <w:vAlign w:val="center"/>
          </w:tcPr>
          <w:p>
            <w:pPr>
              <w:pStyle w:val="12"/>
            </w:pPr>
            <w:r>
              <w:t>城乡社区环境卫生</w:t>
            </w:r>
          </w:p>
        </w:tc>
        <w:tc>
          <w:tcPr>
            <w:tcW w:w="2551" w:type="dxa"/>
            <w:vAlign w:val="center"/>
          </w:tcPr>
          <w:p>
            <w:pPr>
              <w:pStyle w:val="11"/>
            </w:pPr>
            <w:r>
              <w:t>1900.00</w:t>
            </w:r>
          </w:p>
        </w:tc>
        <w:tc>
          <w:tcPr>
            <w:tcW w:w="2551" w:type="dxa"/>
            <w:vAlign w:val="center"/>
          </w:tcPr>
          <w:p>
            <w:pPr>
              <w:pStyle w:val="11"/>
            </w:pPr>
          </w:p>
        </w:tc>
        <w:tc>
          <w:tcPr>
            <w:tcW w:w="2551" w:type="dxa"/>
            <w:vAlign w:val="center"/>
          </w:tcPr>
          <w:p>
            <w:pPr>
              <w:pStyle w:val="11"/>
            </w:pPr>
            <w:r>
              <w:t>1900.00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2120501</w:t>
            </w:r>
          </w:p>
        </w:tc>
        <w:tc>
          <w:tcPr>
            <w:tcW w:w="4535" w:type="dxa"/>
            <w:vAlign w:val="center"/>
          </w:tcPr>
          <w:p>
            <w:pPr>
              <w:pStyle w:val="12"/>
            </w:pPr>
            <w:r>
              <w:t>城乡社区环境卫生</w:t>
            </w:r>
          </w:p>
        </w:tc>
        <w:tc>
          <w:tcPr>
            <w:tcW w:w="2551" w:type="dxa"/>
            <w:vAlign w:val="center"/>
          </w:tcPr>
          <w:p>
            <w:pPr>
              <w:pStyle w:val="11"/>
            </w:pPr>
            <w:r>
              <w:t>1900.00</w:t>
            </w:r>
          </w:p>
        </w:tc>
        <w:tc>
          <w:tcPr>
            <w:tcW w:w="2551" w:type="dxa"/>
            <w:vAlign w:val="center"/>
          </w:tcPr>
          <w:p>
            <w:pPr>
              <w:pStyle w:val="11"/>
            </w:pPr>
          </w:p>
        </w:tc>
        <w:tc>
          <w:tcPr>
            <w:tcW w:w="2551" w:type="dxa"/>
            <w:vAlign w:val="center"/>
          </w:tcPr>
          <w:p>
            <w:pPr>
              <w:pStyle w:val="11"/>
            </w:pPr>
            <w:r>
              <w:t>1900.00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38.00</w:t>
            </w:r>
          </w:p>
        </w:tc>
        <w:tc>
          <w:tcPr>
            <w:tcW w:w="2551" w:type="dxa"/>
            <w:vAlign w:val="center"/>
          </w:tcPr>
          <w:p>
            <w:pPr>
              <w:pStyle w:val="11"/>
            </w:pPr>
          </w:p>
        </w:tc>
        <w:tc>
          <w:tcPr>
            <w:tcW w:w="2551" w:type="dxa"/>
            <w:vAlign w:val="center"/>
          </w:tcPr>
          <w:p>
            <w:pPr>
              <w:pStyle w:val="11"/>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22101</w:t>
            </w:r>
          </w:p>
        </w:tc>
        <w:tc>
          <w:tcPr>
            <w:tcW w:w="4535" w:type="dxa"/>
            <w:vAlign w:val="center"/>
          </w:tcPr>
          <w:p>
            <w:pPr>
              <w:pStyle w:val="12"/>
            </w:pPr>
            <w:r>
              <w:t>保障性安居工程支出</w:t>
            </w:r>
          </w:p>
        </w:tc>
        <w:tc>
          <w:tcPr>
            <w:tcW w:w="2551" w:type="dxa"/>
            <w:vAlign w:val="center"/>
          </w:tcPr>
          <w:p>
            <w:pPr>
              <w:pStyle w:val="11"/>
            </w:pPr>
            <w:r>
              <w:t>38.00</w:t>
            </w:r>
          </w:p>
        </w:tc>
        <w:tc>
          <w:tcPr>
            <w:tcW w:w="2551" w:type="dxa"/>
            <w:vAlign w:val="center"/>
          </w:tcPr>
          <w:p>
            <w:pPr>
              <w:pStyle w:val="11"/>
            </w:pPr>
          </w:p>
        </w:tc>
        <w:tc>
          <w:tcPr>
            <w:tcW w:w="2551" w:type="dxa"/>
            <w:vAlign w:val="center"/>
          </w:tcPr>
          <w:p>
            <w:pPr>
              <w:pStyle w:val="11"/>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2210106</w:t>
            </w:r>
          </w:p>
        </w:tc>
        <w:tc>
          <w:tcPr>
            <w:tcW w:w="4535" w:type="dxa"/>
            <w:vAlign w:val="center"/>
          </w:tcPr>
          <w:p>
            <w:pPr>
              <w:pStyle w:val="12"/>
            </w:pPr>
            <w:r>
              <w:t>公共租赁住房</w:t>
            </w:r>
          </w:p>
        </w:tc>
        <w:tc>
          <w:tcPr>
            <w:tcW w:w="2551" w:type="dxa"/>
            <w:vAlign w:val="center"/>
          </w:tcPr>
          <w:p>
            <w:pPr>
              <w:pStyle w:val="11"/>
            </w:pPr>
            <w:r>
              <w:t>38.00</w:t>
            </w:r>
          </w:p>
        </w:tc>
        <w:tc>
          <w:tcPr>
            <w:tcW w:w="2551" w:type="dxa"/>
            <w:vAlign w:val="center"/>
          </w:tcPr>
          <w:p>
            <w:pPr>
              <w:pStyle w:val="11"/>
            </w:pPr>
          </w:p>
        </w:tc>
        <w:tc>
          <w:tcPr>
            <w:tcW w:w="2551" w:type="dxa"/>
            <w:vAlign w:val="center"/>
          </w:tcPr>
          <w:p>
            <w:pPr>
              <w:pStyle w:val="11"/>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231</w:t>
            </w:r>
          </w:p>
        </w:tc>
        <w:tc>
          <w:tcPr>
            <w:tcW w:w="4535" w:type="dxa"/>
            <w:vAlign w:val="center"/>
          </w:tcPr>
          <w:p>
            <w:pPr>
              <w:pStyle w:val="12"/>
            </w:pPr>
            <w:r>
              <w:t>债务还本支出</w:t>
            </w:r>
          </w:p>
        </w:tc>
        <w:tc>
          <w:tcPr>
            <w:tcW w:w="2551" w:type="dxa"/>
            <w:vAlign w:val="center"/>
          </w:tcPr>
          <w:p>
            <w:pPr>
              <w:pStyle w:val="11"/>
            </w:pPr>
            <w:r>
              <w:t>303.00</w:t>
            </w:r>
          </w:p>
        </w:tc>
        <w:tc>
          <w:tcPr>
            <w:tcW w:w="2551" w:type="dxa"/>
            <w:vAlign w:val="center"/>
          </w:tcPr>
          <w:p>
            <w:pPr>
              <w:pStyle w:val="11"/>
            </w:pPr>
          </w:p>
        </w:tc>
        <w:tc>
          <w:tcPr>
            <w:tcW w:w="2551" w:type="dxa"/>
            <w:vAlign w:val="center"/>
          </w:tcPr>
          <w:p>
            <w:pPr>
              <w:pStyle w:val="11"/>
            </w:pPr>
            <w:r>
              <w:t>303.00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23103</w:t>
            </w:r>
          </w:p>
        </w:tc>
        <w:tc>
          <w:tcPr>
            <w:tcW w:w="4535" w:type="dxa"/>
            <w:vAlign w:val="center"/>
          </w:tcPr>
          <w:p>
            <w:pPr>
              <w:pStyle w:val="12"/>
            </w:pPr>
            <w:r>
              <w:t>地方政府一般债务还本支出</w:t>
            </w:r>
          </w:p>
        </w:tc>
        <w:tc>
          <w:tcPr>
            <w:tcW w:w="2551" w:type="dxa"/>
            <w:vAlign w:val="center"/>
          </w:tcPr>
          <w:p>
            <w:pPr>
              <w:pStyle w:val="11"/>
            </w:pPr>
            <w:r>
              <w:t>303.00</w:t>
            </w:r>
          </w:p>
        </w:tc>
        <w:tc>
          <w:tcPr>
            <w:tcW w:w="2551" w:type="dxa"/>
            <w:vAlign w:val="center"/>
          </w:tcPr>
          <w:p>
            <w:pPr>
              <w:pStyle w:val="11"/>
            </w:pPr>
          </w:p>
        </w:tc>
        <w:tc>
          <w:tcPr>
            <w:tcW w:w="2551" w:type="dxa"/>
            <w:vAlign w:val="center"/>
          </w:tcPr>
          <w:p>
            <w:pPr>
              <w:pStyle w:val="11"/>
            </w:pPr>
            <w:r>
              <w:t>303.00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2310399</w:t>
            </w:r>
          </w:p>
        </w:tc>
        <w:tc>
          <w:tcPr>
            <w:tcW w:w="4535" w:type="dxa"/>
            <w:vAlign w:val="center"/>
          </w:tcPr>
          <w:p>
            <w:pPr>
              <w:pStyle w:val="12"/>
            </w:pPr>
            <w:r>
              <w:t>地方政府其他一般债务还本支出</w:t>
            </w:r>
          </w:p>
        </w:tc>
        <w:tc>
          <w:tcPr>
            <w:tcW w:w="2551" w:type="dxa"/>
            <w:vAlign w:val="center"/>
          </w:tcPr>
          <w:p>
            <w:pPr>
              <w:pStyle w:val="11"/>
            </w:pPr>
            <w:r>
              <w:t>303.00</w:t>
            </w:r>
          </w:p>
        </w:tc>
        <w:tc>
          <w:tcPr>
            <w:tcW w:w="2551" w:type="dxa"/>
            <w:vAlign w:val="center"/>
          </w:tcPr>
          <w:p>
            <w:pPr>
              <w:pStyle w:val="11"/>
            </w:pPr>
          </w:p>
        </w:tc>
        <w:tc>
          <w:tcPr>
            <w:tcW w:w="2551" w:type="dxa"/>
            <w:vAlign w:val="center"/>
          </w:tcPr>
          <w:p>
            <w:pPr>
              <w:pStyle w:val="11"/>
            </w:pPr>
            <w:r>
              <w:t>303.00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333001魏县住房和城乡建设局本级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3717.17</w:t>
            </w:r>
          </w:p>
        </w:tc>
        <w:tc>
          <w:tcPr>
            <w:tcW w:w="2551" w:type="dxa"/>
            <w:vAlign w:val="center"/>
          </w:tcPr>
          <w:p>
            <w:pPr>
              <w:pStyle w:val="15"/>
            </w:pPr>
            <w:r>
              <w:t>3649.53</w:t>
            </w:r>
          </w:p>
        </w:tc>
        <w:tc>
          <w:tcPr>
            <w:tcW w:w="2551" w:type="dxa"/>
            <w:vAlign w:val="center"/>
          </w:tcPr>
          <w:p>
            <w:pPr>
              <w:pStyle w:val="15"/>
            </w:pPr>
            <w:r>
              <w:t>67.64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3649.53</w:t>
            </w:r>
          </w:p>
        </w:tc>
        <w:tc>
          <w:tcPr>
            <w:tcW w:w="2551" w:type="dxa"/>
            <w:vAlign w:val="center"/>
          </w:tcPr>
          <w:p>
            <w:pPr>
              <w:pStyle w:val="11"/>
            </w:pPr>
            <w:r>
              <w:t>3649.53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3489.55</w:t>
            </w:r>
          </w:p>
        </w:tc>
        <w:tc>
          <w:tcPr>
            <w:tcW w:w="2551" w:type="dxa"/>
            <w:vAlign w:val="center"/>
          </w:tcPr>
          <w:p>
            <w:pPr>
              <w:pStyle w:val="11"/>
            </w:pPr>
            <w:r>
              <w:t>3489.55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11.26</w:t>
            </w:r>
          </w:p>
        </w:tc>
        <w:tc>
          <w:tcPr>
            <w:tcW w:w="2551" w:type="dxa"/>
            <w:vAlign w:val="center"/>
          </w:tcPr>
          <w:p>
            <w:pPr>
              <w:pStyle w:val="11"/>
            </w:pPr>
            <w:r>
              <w:t>11.26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13.09</w:t>
            </w:r>
          </w:p>
        </w:tc>
        <w:tc>
          <w:tcPr>
            <w:tcW w:w="2551" w:type="dxa"/>
            <w:vAlign w:val="center"/>
          </w:tcPr>
          <w:p>
            <w:pPr>
              <w:pStyle w:val="11"/>
            </w:pPr>
            <w:r>
              <w:t>13.09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44.00</w:t>
            </w:r>
          </w:p>
        </w:tc>
        <w:tc>
          <w:tcPr>
            <w:tcW w:w="2551" w:type="dxa"/>
            <w:vAlign w:val="center"/>
          </w:tcPr>
          <w:p>
            <w:pPr>
              <w:pStyle w:val="11"/>
            </w:pPr>
            <w:r>
              <w:t>44.00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22.00</w:t>
            </w:r>
          </w:p>
        </w:tc>
        <w:tc>
          <w:tcPr>
            <w:tcW w:w="2551" w:type="dxa"/>
            <w:vAlign w:val="center"/>
          </w:tcPr>
          <w:p>
            <w:pPr>
              <w:pStyle w:val="11"/>
            </w:pPr>
            <w:r>
              <w:t>22.00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24.16</w:t>
            </w:r>
          </w:p>
        </w:tc>
        <w:tc>
          <w:tcPr>
            <w:tcW w:w="2551" w:type="dxa"/>
            <w:vAlign w:val="center"/>
          </w:tcPr>
          <w:p>
            <w:pPr>
              <w:pStyle w:val="11"/>
            </w:pPr>
            <w:r>
              <w:t>24.16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45.47</w:t>
            </w:r>
          </w:p>
        </w:tc>
        <w:tc>
          <w:tcPr>
            <w:tcW w:w="2551" w:type="dxa"/>
            <w:vAlign w:val="center"/>
          </w:tcPr>
          <w:p>
            <w:pPr>
              <w:pStyle w:val="11"/>
            </w:pPr>
            <w:r>
              <w:t>45.47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67.64</w:t>
            </w:r>
          </w:p>
        </w:tc>
        <w:tc>
          <w:tcPr>
            <w:tcW w:w="2551" w:type="dxa"/>
            <w:vAlign w:val="center"/>
          </w:tcPr>
          <w:p>
            <w:pPr>
              <w:pStyle w:val="11"/>
            </w:pPr>
          </w:p>
        </w:tc>
        <w:tc>
          <w:tcPr>
            <w:tcW w:w="2551" w:type="dxa"/>
            <w:vAlign w:val="center"/>
          </w:tcPr>
          <w:p>
            <w:pPr>
              <w:pStyle w:val="11"/>
            </w:pPr>
            <w:r>
              <w:t>67.64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47.00</w:t>
            </w:r>
          </w:p>
        </w:tc>
        <w:tc>
          <w:tcPr>
            <w:tcW w:w="2551" w:type="dxa"/>
            <w:vAlign w:val="center"/>
          </w:tcPr>
          <w:p>
            <w:pPr>
              <w:pStyle w:val="11"/>
            </w:pPr>
          </w:p>
        </w:tc>
        <w:tc>
          <w:tcPr>
            <w:tcW w:w="2551" w:type="dxa"/>
            <w:vAlign w:val="center"/>
          </w:tcPr>
          <w:p>
            <w:pPr>
              <w:pStyle w:val="11"/>
            </w:pPr>
            <w:r>
              <w:t>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20.64</w:t>
            </w:r>
          </w:p>
        </w:tc>
        <w:tc>
          <w:tcPr>
            <w:tcW w:w="2551" w:type="dxa"/>
            <w:vAlign w:val="center"/>
          </w:tcPr>
          <w:p>
            <w:pPr>
              <w:pStyle w:val="11"/>
            </w:pPr>
          </w:p>
        </w:tc>
        <w:tc>
          <w:tcPr>
            <w:tcW w:w="2551" w:type="dxa"/>
            <w:vAlign w:val="center"/>
          </w:tcPr>
          <w:p>
            <w:pPr>
              <w:pStyle w:val="11"/>
            </w:pPr>
            <w:r>
              <w:t>20.64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333001魏县住房和城乡建设局本级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1360.00</w:t>
            </w:r>
          </w:p>
        </w:tc>
        <w:tc>
          <w:tcPr>
            <w:tcW w:w="2551" w:type="dxa"/>
            <w:vAlign w:val="center"/>
          </w:tcPr>
          <w:p>
            <w:pPr>
              <w:pStyle w:val="15"/>
            </w:pPr>
          </w:p>
        </w:tc>
        <w:tc>
          <w:tcPr>
            <w:tcW w:w="2551" w:type="dxa"/>
            <w:vAlign w:val="center"/>
          </w:tcPr>
          <w:p>
            <w:pPr>
              <w:pStyle w:val="15"/>
            </w:pPr>
            <w:r>
              <w:t>1360.00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1360.00</w:t>
            </w:r>
          </w:p>
        </w:tc>
        <w:tc>
          <w:tcPr>
            <w:tcW w:w="2551" w:type="dxa"/>
            <w:vAlign w:val="center"/>
          </w:tcPr>
          <w:p>
            <w:pPr>
              <w:pStyle w:val="11"/>
            </w:pPr>
          </w:p>
        </w:tc>
        <w:tc>
          <w:tcPr>
            <w:tcW w:w="2551" w:type="dxa"/>
            <w:vAlign w:val="center"/>
          </w:tcPr>
          <w:p>
            <w:pPr>
              <w:pStyle w:val="11"/>
            </w:pPr>
            <w:r>
              <w:t>1360.00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1360.00</w:t>
            </w:r>
          </w:p>
        </w:tc>
        <w:tc>
          <w:tcPr>
            <w:tcW w:w="2551" w:type="dxa"/>
            <w:vAlign w:val="center"/>
          </w:tcPr>
          <w:p>
            <w:pPr>
              <w:pStyle w:val="11"/>
            </w:pPr>
          </w:p>
        </w:tc>
        <w:tc>
          <w:tcPr>
            <w:tcW w:w="2551" w:type="dxa"/>
            <w:vAlign w:val="center"/>
          </w:tcPr>
          <w:p>
            <w:pPr>
              <w:pStyle w:val="11"/>
            </w:pPr>
            <w:r>
              <w:t>1360.00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2120810</w:t>
            </w:r>
          </w:p>
        </w:tc>
        <w:tc>
          <w:tcPr>
            <w:tcW w:w="4535" w:type="dxa"/>
            <w:vAlign w:val="center"/>
          </w:tcPr>
          <w:p>
            <w:pPr>
              <w:pStyle w:val="12"/>
            </w:pPr>
            <w:r>
              <w:t>棚户区改造支出</w:t>
            </w:r>
          </w:p>
        </w:tc>
        <w:tc>
          <w:tcPr>
            <w:tcW w:w="2551" w:type="dxa"/>
            <w:vAlign w:val="center"/>
          </w:tcPr>
          <w:p>
            <w:pPr>
              <w:pStyle w:val="11"/>
            </w:pPr>
            <w:r>
              <w:t>1360.00</w:t>
            </w:r>
          </w:p>
        </w:tc>
        <w:tc>
          <w:tcPr>
            <w:tcW w:w="2551" w:type="dxa"/>
            <w:vAlign w:val="center"/>
          </w:tcPr>
          <w:p>
            <w:pPr>
              <w:pStyle w:val="11"/>
            </w:pPr>
          </w:p>
        </w:tc>
        <w:tc>
          <w:tcPr>
            <w:tcW w:w="2551" w:type="dxa"/>
            <w:vAlign w:val="center"/>
          </w:tcPr>
          <w:p>
            <w:pPr>
              <w:pStyle w:val="11"/>
            </w:pPr>
            <w:r>
              <w:t>1360.00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333001魏县住房和城乡建设局本级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333001魏县住房和城乡建设局本级</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魏县住房和城乡建设局本级2022年单位预算信息公开情况说明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按照《预算法》、《地方预决算公开操作规程》和《关于进一步推进预算公开工作的实施意见》规定，现将魏县住房和城乡建设局本级2022年单位预算公开如下：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根据《魏县住房和城乡建设局职能配置、内设机构和人员编制方案》规定，住建局的主要职责是：贯彻落实党中央、省、市、县关于城乡建设工作的方针政策和决策部署，坚持和加强党对城乡建设工作的集中统一领导；贯彻执行国家、省、市有关城乡建设的方针、政策和法律、法规；负责推行工程建设标准，组织实施工程建设实施阶段的国家标准、全国统一的行业标准及工程建设地方标准；负责建筑市场的监督管理；负责建筑工程质量安全监管；负责房地产市场的监督管理；指导城乡建设工作；指导村镇建设；负责民用建筑节能、墙体材料革新和工业废渣综合利用管理工作；负责全县建设工程抗震设防工作；开展城乡建设方面的对外交流与合作；负责全县房屋建筑和市政基础设施建设领域清欠工作的协调督导，指导全县房屋建筑和市政基础设施建设领域拖欠工程款和农民工工资的整体工作；负责全县建立和完善住房保障体系的指导工作，编制保障性住房年度计划；负责全县房产交易市场管理；负责拟定房屋交易、房屋租赁、房地产评估价与经纪管理、物业管理的规章制度并监督实施，指导监督房屋产权管理等工作；负责全县房屋安全鉴定管理和住宅室内装饰装修管理工作；负责指导全县住宅专项维修资金的管理工作；组织开展全县人民防空信息化建设，指导各地人民防空信息系统建设、使用、维护和管理，组织开展人民防空警报体系建设和警报试鸣工作；负责县中心城区的城市综合管理工作；负责全县范围内燃气、污水处理，以及中心城区供热、垃圾处理等市政公用事业及相关经营活动特许经营的管理；负责县中心城区市政设施管理工作；负责县中心城区的园林绿化管理工作；负责指导协调县中心城区的市容市貌、城市环境综合整治工作和城市管理重大活动；承办县人大代表建议和县政协提案工作，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魏县住房和城乡建设局本级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r>
        <w:t>按照预算管理有关规定，目前我县部门预算的编制实行综合预算制度，即全部收入和支出都反映的预算中。</w:t>
      </w:r>
    </w:p>
    <w:p>
      <w:pPr>
        <w:pStyle w:val="26"/>
      </w:pPr>
      <w:r>
        <w:t>1、收入说明：2022 年收入预算共计13</w:t>
      </w:r>
      <w:r>
        <w:rPr>
          <w:rFonts w:hint="eastAsia"/>
          <w:lang w:val="en-US" w:eastAsia="zh-CN"/>
        </w:rPr>
        <w:t>382.77</w:t>
      </w:r>
      <w:r>
        <w:t>万元，全部为财政拨款收入。</w:t>
      </w:r>
    </w:p>
    <w:p>
      <w:pPr>
        <w:pStyle w:val="26"/>
      </w:pPr>
      <w:r>
        <w:t>2、支出说明：2022年支出预算共计13</w:t>
      </w:r>
      <w:r>
        <w:rPr>
          <w:rFonts w:hint="eastAsia"/>
          <w:lang w:val="en-US" w:eastAsia="zh-CN"/>
        </w:rPr>
        <w:t>382.77</w:t>
      </w:r>
      <w:r>
        <w:t>万元。其中，人员经费支出预算</w:t>
      </w:r>
      <w:r>
        <w:rPr>
          <w:rFonts w:hint="eastAsia"/>
          <w:lang w:val="en-US" w:eastAsia="zh-CN"/>
        </w:rPr>
        <w:t>3644.53</w:t>
      </w:r>
      <w:r>
        <w:t>万元，公用经费支出预算</w:t>
      </w:r>
      <w:r>
        <w:rPr>
          <w:rFonts w:hint="eastAsia"/>
          <w:lang w:val="en-US" w:eastAsia="zh-CN"/>
        </w:rPr>
        <w:t>67.6</w:t>
      </w:r>
      <w:r>
        <w:t>4万元，项目支出</w:t>
      </w:r>
      <w:r>
        <w:rPr>
          <w:rFonts w:hint="eastAsia"/>
          <w:lang w:val="en-US" w:eastAsia="zh-CN"/>
        </w:rPr>
        <w:t>9665.6</w:t>
      </w:r>
      <w:r>
        <w:t>万元。</w:t>
      </w:r>
    </w:p>
    <w:p>
      <w:pPr>
        <w:pStyle w:val="26"/>
      </w:pPr>
      <w:r>
        <w:t>3、比上年增减情况：经过对比测算，2022年预算收支比2021年减少1</w:t>
      </w:r>
      <w:r>
        <w:rPr>
          <w:rFonts w:hint="eastAsia"/>
          <w:lang w:val="en-US" w:eastAsia="zh-CN"/>
        </w:rPr>
        <w:t>3644.88</w:t>
      </w:r>
      <w:r>
        <w:t>万元。主要是：2022年项目安排减少，主要原因是2022年较2021年大气污染防治项目任务量大幅减少。</w:t>
      </w:r>
    </w:p>
    <w:p>
      <w:pPr>
        <w:spacing w:before="10" w:after="10"/>
        <w:ind w:firstLine="640"/>
        <w:outlineLvl w:val="5"/>
      </w:pPr>
      <w:r>
        <w:rPr>
          <w:rFonts w:ascii="黑体" w:hAnsi="黑体" w:eastAsia="黑体" w:cs="黑体"/>
          <w:color w:val="000000"/>
          <w:sz w:val="32"/>
        </w:rPr>
        <w:t>三、机关运行经费安排情况</w:t>
      </w:r>
    </w:p>
    <w:p>
      <w:pPr>
        <w:pStyle w:val="27"/>
      </w:pPr>
      <w:r>
        <w:t>机关运行经费共计安排</w:t>
      </w:r>
      <w:r>
        <w:rPr>
          <w:rFonts w:hint="eastAsia"/>
          <w:lang w:val="en-US" w:eastAsia="zh-CN"/>
        </w:rPr>
        <w:t>67.64</w:t>
      </w:r>
      <w:r>
        <w:t>万元。机关运行经费主要用于保证正常办公的基本需要和维持单位日常业务运转，包括：办公费、邮电费、差旅费、福利费、手续费、公务接待费、工会经费、公务用车运行维护费和离退休干部经费。</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2022年，财政拨款“三公”经费预算安排0万元，其中因公出国(境)费0万元；公务用车购置及运维费0万元(其中：公务用车购置费为0万元，公务用车运行费0万元)；公务接待费0万元。与2021年相比，因公出国(境)费降低0万元,与上年持平；公务用车运行费降低0万元，与上年持平，原因是公车改革后，单位公务用车运行费大幅降低；公务接待费减少0万元，与上持平。主要原因是我单位根据单位业务需要，按照政府过“紧日子”思想和上级有关要求，强化“三公”经费等一般性支出管理，未安排相关经费预算。</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1、2002年人民防空经费绩效目标表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1.人防人员工资及日常运行公用经费</w:t>
            </w:r>
          </w:p>
          <w:p>
            <w:pPr>
              <w:pStyle w:val="12"/>
            </w:pPr>
            <w:r>
              <w:t>2.防空通信警报设备维护</w:t>
            </w:r>
          </w:p>
          <w:p>
            <w:pPr>
              <w:pStyle w:val="12"/>
            </w:pPr>
            <w:r>
              <w:t>3.宣传人防知识、组织人防演练。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人防办人数</w:t>
            </w:r>
          </w:p>
        </w:tc>
        <w:tc>
          <w:tcPr>
            <w:tcW w:w="2835" w:type="dxa"/>
            <w:vAlign w:val="center"/>
          </w:tcPr>
          <w:p>
            <w:pPr>
              <w:pStyle w:val="12"/>
            </w:pPr>
            <w:r>
              <w:t>人防办人员数量</w:t>
            </w:r>
          </w:p>
        </w:tc>
        <w:tc>
          <w:tcPr>
            <w:tcW w:w="2551" w:type="dxa"/>
            <w:vAlign w:val="center"/>
          </w:tcPr>
          <w:p>
            <w:pPr>
              <w:pStyle w:val="12"/>
            </w:pPr>
            <w:r>
              <w:t>20人</w:t>
            </w:r>
          </w:p>
        </w:tc>
        <w:tc>
          <w:tcPr>
            <w:tcW w:w="2268" w:type="dxa"/>
            <w:vAlign w:val="center"/>
          </w:tcPr>
          <w:p>
            <w:pPr>
              <w:pStyle w:val="12"/>
            </w:pPr>
            <w:r>
              <w:t>根据实际情况制定标准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全年工资总数</w:t>
            </w:r>
          </w:p>
        </w:tc>
        <w:tc>
          <w:tcPr>
            <w:tcW w:w="2835" w:type="dxa"/>
            <w:vAlign w:val="center"/>
          </w:tcPr>
          <w:p>
            <w:pPr>
              <w:pStyle w:val="12"/>
            </w:pPr>
            <w:r>
              <w:t>全年工资总数</w:t>
            </w:r>
          </w:p>
        </w:tc>
        <w:tc>
          <w:tcPr>
            <w:tcW w:w="2551" w:type="dxa"/>
            <w:vAlign w:val="center"/>
          </w:tcPr>
          <w:p>
            <w:pPr>
              <w:pStyle w:val="12"/>
            </w:pPr>
            <w:r>
              <w:t>≥72万元</w:t>
            </w:r>
          </w:p>
        </w:tc>
        <w:tc>
          <w:tcPr>
            <w:tcW w:w="2268" w:type="dxa"/>
            <w:vAlign w:val="center"/>
          </w:tcPr>
          <w:p>
            <w:pPr>
              <w:pStyle w:val="12"/>
            </w:pPr>
            <w:r>
              <w:t>根据实际情况制定标准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按规定时限发放工资、缴纳保险</w:t>
            </w:r>
          </w:p>
        </w:tc>
        <w:tc>
          <w:tcPr>
            <w:tcW w:w="2835" w:type="dxa"/>
            <w:vAlign w:val="center"/>
          </w:tcPr>
          <w:p>
            <w:pPr>
              <w:pStyle w:val="12"/>
            </w:pPr>
            <w:r>
              <w:t>按规定时限发放工资、缴纳保险</w:t>
            </w:r>
          </w:p>
        </w:tc>
        <w:tc>
          <w:tcPr>
            <w:tcW w:w="2551" w:type="dxa"/>
            <w:vAlign w:val="center"/>
          </w:tcPr>
          <w:p>
            <w:pPr>
              <w:pStyle w:val="12"/>
            </w:pPr>
            <w:r>
              <w:t>每月及时发放</w:t>
            </w:r>
          </w:p>
        </w:tc>
        <w:tc>
          <w:tcPr>
            <w:tcW w:w="2268" w:type="dxa"/>
            <w:vAlign w:val="center"/>
          </w:tcPr>
          <w:p>
            <w:pPr>
              <w:pStyle w:val="12"/>
            </w:pPr>
            <w:r>
              <w:t>根据实际情况制定标准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人均发放水平</w:t>
            </w:r>
          </w:p>
        </w:tc>
        <w:tc>
          <w:tcPr>
            <w:tcW w:w="2835" w:type="dxa"/>
            <w:vAlign w:val="center"/>
          </w:tcPr>
          <w:p>
            <w:pPr>
              <w:pStyle w:val="12"/>
            </w:pPr>
            <w:r>
              <w:t>人均发放水平</w:t>
            </w:r>
          </w:p>
        </w:tc>
        <w:tc>
          <w:tcPr>
            <w:tcW w:w="2551" w:type="dxa"/>
            <w:vAlign w:val="center"/>
          </w:tcPr>
          <w:p>
            <w:pPr>
              <w:pStyle w:val="12"/>
            </w:pPr>
            <w:r>
              <w:t>正常发放工资的同时节约成本</w:t>
            </w:r>
          </w:p>
        </w:tc>
        <w:tc>
          <w:tcPr>
            <w:tcW w:w="2268" w:type="dxa"/>
            <w:vAlign w:val="center"/>
          </w:tcPr>
          <w:p>
            <w:pPr>
              <w:pStyle w:val="12"/>
            </w:pPr>
            <w:r>
              <w:t>根据实际情况制定标准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组织主题宣传活动场次</w:t>
            </w:r>
          </w:p>
        </w:tc>
        <w:tc>
          <w:tcPr>
            <w:tcW w:w="2835" w:type="dxa"/>
            <w:vAlign w:val="center"/>
          </w:tcPr>
          <w:p>
            <w:pPr>
              <w:pStyle w:val="12"/>
            </w:pPr>
            <w:r>
              <w:t>组织主题宣传活动场次</w:t>
            </w:r>
          </w:p>
        </w:tc>
        <w:tc>
          <w:tcPr>
            <w:tcW w:w="2551" w:type="dxa"/>
            <w:vAlign w:val="center"/>
          </w:tcPr>
          <w:p>
            <w:pPr>
              <w:pStyle w:val="12"/>
            </w:pPr>
            <w:r>
              <w:t>≥4次</w:t>
            </w:r>
          </w:p>
        </w:tc>
        <w:tc>
          <w:tcPr>
            <w:tcW w:w="2268" w:type="dxa"/>
            <w:vAlign w:val="center"/>
          </w:tcPr>
          <w:p>
            <w:pPr>
              <w:pStyle w:val="12"/>
            </w:pPr>
            <w:r>
              <w:t>根据实际情况制定标准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宣传目标完成率</w:t>
            </w:r>
          </w:p>
        </w:tc>
        <w:tc>
          <w:tcPr>
            <w:tcW w:w="2835" w:type="dxa"/>
            <w:vAlign w:val="center"/>
          </w:tcPr>
          <w:p>
            <w:pPr>
              <w:pStyle w:val="12"/>
            </w:pPr>
            <w:r>
              <w:t>宣传目标完成率</w:t>
            </w:r>
          </w:p>
        </w:tc>
        <w:tc>
          <w:tcPr>
            <w:tcW w:w="2551" w:type="dxa"/>
            <w:vAlign w:val="center"/>
          </w:tcPr>
          <w:p>
            <w:pPr>
              <w:pStyle w:val="12"/>
            </w:pPr>
            <w:r>
              <w:t>≥95%</w:t>
            </w:r>
          </w:p>
        </w:tc>
        <w:tc>
          <w:tcPr>
            <w:tcW w:w="2268" w:type="dxa"/>
            <w:vAlign w:val="center"/>
          </w:tcPr>
          <w:p>
            <w:pPr>
              <w:pStyle w:val="12"/>
            </w:pPr>
            <w:r>
              <w:t>根据实际情况制定标准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宣传、活动完成时间</w:t>
            </w:r>
          </w:p>
        </w:tc>
        <w:tc>
          <w:tcPr>
            <w:tcW w:w="2835" w:type="dxa"/>
            <w:vAlign w:val="center"/>
          </w:tcPr>
          <w:p>
            <w:pPr>
              <w:pStyle w:val="12"/>
            </w:pPr>
            <w:r>
              <w:t>宣传、活动完成时间</w:t>
            </w:r>
          </w:p>
        </w:tc>
        <w:tc>
          <w:tcPr>
            <w:tcW w:w="2551" w:type="dxa"/>
            <w:vAlign w:val="center"/>
          </w:tcPr>
          <w:p>
            <w:pPr>
              <w:pStyle w:val="12"/>
            </w:pPr>
            <w:r>
              <w:t>5月12日；7月7日；9月底；10月31日</w:t>
            </w:r>
          </w:p>
        </w:tc>
        <w:tc>
          <w:tcPr>
            <w:tcW w:w="2268" w:type="dxa"/>
            <w:vAlign w:val="center"/>
          </w:tcPr>
          <w:p>
            <w:pPr>
              <w:pStyle w:val="12"/>
            </w:pPr>
            <w:r>
              <w:t>根据实际情况制定标准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安全宣传总成本</w:t>
            </w:r>
          </w:p>
        </w:tc>
        <w:tc>
          <w:tcPr>
            <w:tcW w:w="2835" w:type="dxa"/>
            <w:vAlign w:val="center"/>
          </w:tcPr>
          <w:p>
            <w:pPr>
              <w:pStyle w:val="12"/>
            </w:pPr>
            <w:r>
              <w:t>安全宣传总成本</w:t>
            </w:r>
          </w:p>
        </w:tc>
        <w:tc>
          <w:tcPr>
            <w:tcW w:w="2551" w:type="dxa"/>
            <w:vAlign w:val="center"/>
          </w:tcPr>
          <w:p>
            <w:pPr>
              <w:pStyle w:val="12"/>
            </w:pPr>
            <w:r>
              <w:t>不影响宣传效果的情况下节省成本</w:t>
            </w:r>
          </w:p>
        </w:tc>
        <w:tc>
          <w:tcPr>
            <w:tcW w:w="2268" w:type="dxa"/>
            <w:vAlign w:val="center"/>
          </w:tcPr>
          <w:p>
            <w:pPr>
              <w:pStyle w:val="12"/>
            </w:pPr>
            <w:r>
              <w:t>根据实际情况制定标准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硬件设备数量</w:t>
            </w:r>
          </w:p>
        </w:tc>
        <w:tc>
          <w:tcPr>
            <w:tcW w:w="2835" w:type="dxa"/>
            <w:vAlign w:val="center"/>
          </w:tcPr>
          <w:p>
            <w:pPr>
              <w:pStyle w:val="12"/>
            </w:pPr>
            <w:r>
              <w:t>防空警报设备的数量</w:t>
            </w:r>
          </w:p>
        </w:tc>
        <w:tc>
          <w:tcPr>
            <w:tcW w:w="2551" w:type="dxa"/>
            <w:vAlign w:val="center"/>
          </w:tcPr>
          <w:p>
            <w:pPr>
              <w:pStyle w:val="12"/>
            </w:pPr>
            <w:r>
              <w:t>26台</w:t>
            </w:r>
          </w:p>
        </w:tc>
        <w:tc>
          <w:tcPr>
            <w:tcW w:w="2268" w:type="dxa"/>
            <w:vAlign w:val="center"/>
          </w:tcPr>
          <w:p>
            <w:pPr>
              <w:pStyle w:val="12"/>
            </w:pPr>
            <w:r>
              <w:t>根据实际情况制定标准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设备仪器完好率（≧**%）</w:t>
            </w:r>
          </w:p>
        </w:tc>
        <w:tc>
          <w:tcPr>
            <w:tcW w:w="2835" w:type="dxa"/>
            <w:vAlign w:val="center"/>
          </w:tcPr>
          <w:p>
            <w:pPr>
              <w:pStyle w:val="12"/>
            </w:pPr>
            <w:r>
              <w:t>设备仪器完好率（≧**%）</w:t>
            </w:r>
          </w:p>
        </w:tc>
        <w:tc>
          <w:tcPr>
            <w:tcW w:w="2551" w:type="dxa"/>
            <w:vAlign w:val="center"/>
          </w:tcPr>
          <w:p>
            <w:pPr>
              <w:pStyle w:val="12"/>
            </w:pPr>
            <w:r>
              <w:t>≥96%</w:t>
            </w:r>
          </w:p>
        </w:tc>
        <w:tc>
          <w:tcPr>
            <w:tcW w:w="2268" w:type="dxa"/>
            <w:vAlign w:val="center"/>
          </w:tcPr>
          <w:p>
            <w:pPr>
              <w:pStyle w:val="12"/>
            </w:pPr>
            <w:r>
              <w:t>根据实际情况制定标准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设备维修及时率</w:t>
            </w:r>
          </w:p>
        </w:tc>
        <w:tc>
          <w:tcPr>
            <w:tcW w:w="2835" w:type="dxa"/>
            <w:vAlign w:val="center"/>
          </w:tcPr>
          <w:p>
            <w:pPr>
              <w:pStyle w:val="12"/>
            </w:pPr>
            <w:r>
              <w:t>设备维修及时率</w:t>
            </w:r>
          </w:p>
        </w:tc>
        <w:tc>
          <w:tcPr>
            <w:tcW w:w="2551" w:type="dxa"/>
            <w:vAlign w:val="center"/>
          </w:tcPr>
          <w:p>
            <w:pPr>
              <w:pStyle w:val="12"/>
            </w:pPr>
            <w:r>
              <w:t>≥97%</w:t>
            </w:r>
          </w:p>
        </w:tc>
        <w:tc>
          <w:tcPr>
            <w:tcW w:w="2268" w:type="dxa"/>
            <w:vAlign w:val="center"/>
          </w:tcPr>
          <w:p>
            <w:pPr>
              <w:pStyle w:val="12"/>
            </w:pPr>
            <w:r>
              <w:t>根据实际情况制定标准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设备维修维护、日常公用成本率</w:t>
            </w:r>
          </w:p>
        </w:tc>
        <w:tc>
          <w:tcPr>
            <w:tcW w:w="2835" w:type="dxa"/>
            <w:vAlign w:val="center"/>
          </w:tcPr>
          <w:p>
            <w:pPr>
              <w:pStyle w:val="12"/>
            </w:pPr>
            <w:r>
              <w:t>防空警报设备维修维护成本率</w:t>
            </w:r>
          </w:p>
        </w:tc>
        <w:tc>
          <w:tcPr>
            <w:tcW w:w="2551" w:type="dxa"/>
            <w:vAlign w:val="center"/>
          </w:tcPr>
          <w:p>
            <w:pPr>
              <w:pStyle w:val="12"/>
            </w:pPr>
            <w:r>
              <w:t>≥96%</w:t>
            </w:r>
          </w:p>
        </w:tc>
        <w:tc>
          <w:tcPr>
            <w:tcW w:w="2268" w:type="dxa"/>
            <w:vAlign w:val="center"/>
          </w:tcPr>
          <w:p>
            <w:pPr>
              <w:pStyle w:val="12"/>
            </w:pPr>
            <w:r>
              <w:t>根据实际情况制定标准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通过宣传组织和指导防空安全生产</w:t>
            </w:r>
          </w:p>
        </w:tc>
        <w:tc>
          <w:tcPr>
            <w:tcW w:w="2835" w:type="dxa"/>
            <w:vAlign w:val="center"/>
          </w:tcPr>
          <w:p>
            <w:pPr>
              <w:pStyle w:val="12"/>
            </w:pPr>
            <w:r>
              <w:t>通过宣传组织和指导防空安全生产</w:t>
            </w:r>
          </w:p>
        </w:tc>
        <w:tc>
          <w:tcPr>
            <w:tcW w:w="2551" w:type="dxa"/>
            <w:vAlign w:val="center"/>
          </w:tcPr>
          <w:p>
            <w:pPr>
              <w:pStyle w:val="12"/>
            </w:pPr>
            <w:r>
              <w:t>达到预期效果</w:t>
            </w:r>
          </w:p>
        </w:tc>
        <w:tc>
          <w:tcPr>
            <w:tcW w:w="2268" w:type="dxa"/>
            <w:vAlign w:val="center"/>
          </w:tcPr>
          <w:p>
            <w:pPr>
              <w:pStyle w:val="12"/>
            </w:pPr>
            <w:r>
              <w:t>根据实际情况制定标准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宣传教育率</w:t>
            </w:r>
          </w:p>
        </w:tc>
        <w:tc>
          <w:tcPr>
            <w:tcW w:w="2835" w:type="dxa"/>
            <w:vAlign w:val="center"/>
          </w:tcPr>
          <w:p>
            <w:pPr>
              <w:pStyle w:val="12"/>
            </w:pPr>
            <w:r>
              <w:t>宣传人防知识教育率</w:t>
            </w:r>
          </w:p>
        </w:tc>
        <w:tc>
          <w:tcPr>
            <w:tcW w:w="2551" w:type="dxa"/>
            <w:vAlign w:val="center"/>
          </w:tcPr>
          <w:p>
            <w:pPr>
              <w:pStyle w:val="12"/>
            </w:pPr>
            <w:r>
              <w:t>≥96%</w:t>
            </w:r>
          </w:p>
        </w:tc>
        <w:tc>
          <w:tcPr>
            <w:tcW w:w="2268" w:type="dxa"/>
            <w:vAlign w:val="center"/>
          </w:tcPr>
          <w:p>
            <w:pPr>
              <w:pStyle w:val="12"/>
            </w:pPr>
            <w:r>
              <w:t>根据实际情况制定标准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≥96%</w:t>
            </w:r>
          </w:p>
        </w:tc>
        <w:tc>
          <w:tcPr>
            <w:tcW w:w="2268" w:type="dxa"/>
            <w:vAlign w:val="center"/>
          </w:tcPr>
          <w:p>
            <w:pPr>
              <w:pStyle w:val="12"/>
            </w:pPr>
            <w:r>
              <w:t>根据实际回访情况确定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2、2022年城市公用事业支出绩效目标表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1.县城80余公里道路、排水管网、便道等市政设施及时维修维护。</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维护道路里程、面积</w:t>
            </w:r>
          </w:p>
        </w:tc>
        <w:tc>
          <w:tcPr>
            <w:tcW w:w="2835" w:type="dxa"/>
            <w:vAlign w:val="center"/>
          </w:tcPr>
          <w:p>
            <w:pPr>
              <w:pStyle w:val="12"/>
            </w:pPr>
            <w:r>
              <w:t>维护道路里程、面积</w:t>
            </w:r>
          </w:p>
        </w:tc>
        <w:tc>
          <w:tcPr>
            <w:tcW w:w="2551" w:type="dxa"/>
            <w:vAlign w:val="center"/>
          </w:tcPr>
          <w:p>
            <w:pPr>
              <w:pStyle w:val="12"/>
            </w:pPr>
            <w:r>
              <w:t>≥80公里</w:t>
            </w:r>
          </w:p>
        </w:tc>
        <w:tc>
          <w:tcPr>
            <w:tcW w:w="2268" w:type="dxa"/>
            <w:vAlign w:val="center"/>
          </w:tcPr>
          <w:p>
            <w:pPr>
              <w:pStyle w:val="12"/>
            </w:pPr>
            <w:r>
              <w:t>根据实际里程确定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基础设施验收通过率（%）</w:t>
            </w:r>
          </w:p>
        </w:tc>
        <w:tc>
          <w:tcPr>
            <w:tcW w:w="2835" w:type="dxa"/>
            <w:vAlign w:val="center"/>
          </w:tcPr>
          <w:p>
            <w:pPr>
              <w:pStyle w:val="12"/>
            </w:pPr>
            <w:r>
              <w:t>基础设施验收通过率（%）</w:t>
            </w:r>
          </w:p>
        </w:tc>
        <w:tc>
          <w:tcPr>
            <w:tcW w:w="2551" w:type="dxa"/>
            <w:vAlign w:val="center"/>
          </w:tcPr>
          <w:p>
            <w:pPr>
              <w:pStyle w:val="12"/>
            </w:pPr>
            <w:r>
              <w:t>≥98%</w:t>
            </w:r>
          </w:p>
        </w:tc>
        <w:tc>
          <w:tcPr>
            <w:tcW w:w="2268" w:type="dxa"/>
            <w:vAlign w:val="center"/>
          </w:tcPr>
          <w:p>
            <w:pPr>
              <w:pStyle w:val="12"/>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2835" w:type="dxa"/>
            <w:vAlign w:val="center"/>
          </w:tcPr>
          <w:p>
            <w:pPr>
              <w:pStyle w:val="12"/>
            </w:pPr>
            <w:r>
              <w:t>根据年初预算及工作需要及时支付</w:t>
            </w:r>
          </w:p>
        </w:tc>
        <w:tc>
          <w:tcPr>
            <w:tcW w:w="2551" w:type="dxa"/>
            <w:vAlign w:val="center"/>
          </w:tcPr>
          <w:p>
            <w:pPr>
              <w:pStyle w:val="12"/>
            </w:pPr>
            <w:r>
              <w:t>≥97%</w:t>
            </w:r>
          </w:p>
        </w:tc>
        <w:tc>
          <w:tcPr>
            <w:tcW w:w="2268" w:type="dxa"/>
            <w:vAlign w:val="center"/>
          </w:tcPr>
          <w:p>
            <w:pPr>
              <w:pStyle w:val="12"/>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成本控制率(%)</w:t>
            </w:r>
          </w:p>
        </w:tc>
        <w:tc>
          <w:tcPr>
            <w:tcW w:w="2551" w:type="dxa"/>
            <w:vAlign w:val="center"/>
          </w:tcPr>
          <w:p>
            <w:pPr>
              <w:pStyle w:val="12"/>
            </w:pPr>
            <w:r>
              <w:t>≥96%</w:t>
            </w:r>
          </w:p>
        </w:tc>
        <w:tc>
          <w:tcPr>
            <w:tcW w:w="2268" w:type="dxa"/>
            <w:vAlign w:val="center"/>
          </w:tcPr>
          <w:p>
            <w:pPr>
              <w:pStyle w:val="12"/>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设施完好率(％)</w:t>
            </w:r>
          </w:p>
        </w:tc>
        <w:tc>
          <w:tcPr>
            <w:tcW w:w="2835" w:type="dxa"/>
            <w:vAlign w:val="center"/>
          </w:tcPr>
          <w:p>
            <w:pPr>
              <w:pStyle w:val="12"/>
            </w:pPr>
            <w:r>
              <w:t>设施完好率(％)</w:t>
            </w:r>
          </w:p>
        </w:tc>
        <w:tc>
          <w:tcPr>
            <w:tcW w:w="2551" w:type="dxa"/>
            <w:vAlign w:val="center"/>
          </w:tcPr>
          <w:p>
            <w:pPr>
              <w:pStyle w:val="12"/>
            </w:pPr>
            <w:r>
              <w:t>≥98%</w:t>
            </w:r>
          </w:p>
        </w:tc>
        <w:tc>
          <w:tcPr>
            <w:tcW w:w="2268" w:type="dxa"/>
            <w:vAlign w:val="center"/>
          </w:tcPr>
          <w:p>
            <w:pPr>
              <w:pStyle w:val="12"/>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公路密度增长率</w:t>
            </w:r>
          </w:p>
        </w:tc>
        <w:tc>
          <w:tcPr>
            <w:tcW w:w="2835" w:type="dxa"/>
            <w:vAlign w:val="center"/>
          </w:tcPr>
          <w:p>
            <w:pPr>
              <w:pStyle w:val="12"/>
            </w:pPr>
            <w:r>
              <w:t>公路密度增长率</w:t>
            </w:r>
          </w:p>
        </w:tc>
        <w:tc>
          <w:tcPr>
            <w:tcW w:w="2551" w:type="dxa"/>
            <w:vAlign w:val="center"/>
          </w:tcPr>
          <w:p>
            <w:pPr>
              <w:pStyle w:val="12"/>
            </w:pPr>
            <w:r>
              <w:t>≥98%</w:t>
            </w:r>
          </w:p>
        </w:tc>
        <w:tc>
          <w:tcPr>
            <w:tcW w:w="2268" w:type="dxa"/>
            <w:vAlign w:val="center"/>
          </w:tcPr>
          <w:p>
            <w:pPr>
              <w:pStyle w:val="12"/>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2835" w:type="dxa"/>
            <w:vAlign w:val="center"/>
          </w:tcPr>
          <w:p>
            <w:pPr>
              <w:pStyle w:val="12"/>
            </w:pPr>
            <w:r>
              <w:t>生态效益增长率</w:t>
            </w:r>
          </w:p>
        </w:tc>
        <w:tc>
          <w:tcPr>
            <w:tcW w:w="2551" w:type="dxa"/>
            <w:vAlign w:val="center"/>
          </w:tcPr>
          <w:p>
            <w:pPr>
              <w:pStyle w:val="12"/>
            </w:pPr>
            <w:r>
              <w:t>≥95%</w:t>
            </w:r>
          </w:p>
        </w:tc>
        <w:tc>
          <w:tcPr>
            <w:tcW w:w="2268" w:type="dxa"/>
            <w:vAlign w:val="center"/>
          </w:tcPr>
          <w:p>
            <w:pPr>
              <w:pStyle w:val="12"/>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设备使用率</w:t>
            </w:r>
          </w:p>
        </w:tc>
        <w:tc>
          <w:tcPr>
            <w:tcW w:w="2835" w:type="dxa"/>
            <w:vAlign w:val="center"/>
          </w:tcPr>
          <w:p>
            <w:pPr>
              <w:pStyle w:val="12"/>
            </w:pPr>
            <w:r>
              <w:t>设备使用率</w:t>
            </w:r>
          </w:p>
        </w:tc>
        <w:tc>
          <w:tcPr>
            <w:tcW w:w="2551" w:type="dxa"/>
            <w:vAlign w:val="center"/>
          </w:tcPr>
          <w:p>
            <w:pPr>
              <w:pStyle w:val="12"/>
            </w:pPr>
            <w:r>
              <w:t>≥95%</w:t>
            </w:r>
          </w:p>
        </w:tc>
        <w:tc>
          <w:tcPr>
            <w:tcW w:w="2268" w:type="dxa"/>
            <w:vAlign w:val="center"/>
          </w:tcPr>
          <w:p>
            <w:pPr>
              <w:pStyle w:val="12"/>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调查问卷满意度比率</w:t>
            </w:r>
          </w:p>
        </w:tc>
        <w:tc>
          <w:tcPr>
            <w:tcW w:w="2835" w:type="dxa"/>
            <w:vAlign w:val="center"/>
          </w:tcPr>
          <w:p>
            <w:pPr>
              <w:pStyle w:val="12"/>
            </w:pPr>
            <w:r>
              <w:t>调查问卷满意度比率</w:t>
            </w:r>
          </w:p>
        </w:tc>
        <w:tc>
          <w:tcPr>
            <w:tcW w:w="2551" w:type="dxa"/>
            <w:vAlign w:val="center"/>
          </w:tcPr>
          <w:p>
            <w:pPr>
              <w:pStyle w:val="12"/>
            </w:pPr>
            <w:r>
              <w:t>≥97%</w:t>
            </w:r>
          </w:p>
        </w:tc>
        <w:tc>
          <w:tcPr>
            <w:tcW w:w="2268" w:type="dxa"/>
            <w:vAlign w:val="center"/>
          </w:tcPr>
          <w:p>
            <w:pPr>
              <w:pStyle w:val="12"/>
            </w:pPr>
            <w:r>
              <w:t>根据实际情况确定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3、2022年城市维护费绩效目标表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1.县城80余公里道路、排水管网、便道等市政设施及时维修维护。</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维护道路里程、面积</w:t>
            </w:r>
          </w:p>
        </w:tc>
        <w:tc>
          <w:tcPr>
            <w:tcW w:w="2835" w:type="dxa"/>
            <w:vAlign w:val="center"/>
          </w:tcPr>
          <w:p>
            <w:pPr>
              <w:pStyle w:val="12"/>
            </w:pPr>
            <w:r>
              <w:t>维护道路里程、面积</w:t>
            </w:r>
          </w:p>
        </w:tc>
        <w:tc>
          <w:tcPr>
            <w:tcW w:w="2551" w:type="dxa"/>
            <w:vAlign w:val="center"/>
          </w:tcPr>
          <w:p>
            <w:pPr>
              <w:pStyle w:val="12"/>
            </w:pPr>
            <w:r>
              <w:t>≥80公里</w:t>
            </w:r>
          </w:p>
        </w:tc>
        <w:tc>
          <w:tcPr>
            <w:tcW w:w="2268" w:type="dxa"/>
            <w:vAlign w:val="center"/>
          </w:tcPr>
          <w:p>
            <w:pPr>
              <w:pStyle w:val="12"/>
            </w:pPr>
            <w:r>
              <w:t>根据实际里程确定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基础设施验收通过率（%）</w:t>
            </w:r>
          </w:p>
        </w:tc>
        <w:tc>
          <w:tcPr>
            <w:tcW w:w="2835" w:type="dxa"/>
            <w:vAlign w:val="center"/>
          </w:tcPr>
          <w:p>
            <w:pPr>
              <w:pStyle w:val="12"/>
            </w:pPr>
            <w:r>
              <w:t>基础设施验收通过率（%）</w:t>
            </w:r>
          </w:p>
        </w:tc>
        <w:tc>
          <w:tcPr>
            <w:tcW w:w="2551" w:type="dxa"/>
            <w:vAlign w:val="center"/>
          </w:tcPr>
          <w:p>
            <w:pPr>
              <w:pStyle w:val="12"/>
            </w:pPr>
            <w:r>
              <w:t>≥98%</w:t>
            </w:r>
          </w:p>
        </w:tc>
        <w:tc>
          <w:tcPr>
            <w:tcW w:w="2268" w:type="dxa"/>
            <w:vAlign w:val="center"/>
          </w:tcPr>
          <w:p>
            <w:pPr>
              <w:pStyle w:val="12"/>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2835" w:type="dxa"/>
            <w:vAlign w:val="center"/>
          </w:tcPr>
          <w:p>
            <w:pPr>
              <w:pStyle w:val="12"/>
            </w:pPr>
            <w:r>
              <w:t>根据年初预算及工作需要及时支付</w:t>
            </w:r>
          </w:p>
        </w:tc>
        <w:tc>
          <w:tcPr>
            <w:tcW w:w="2551" w:type="dxa"/>
            <w:vAlign w:val="center"/>
          </w:tcPr>
          <w:p>
            <w:pPr>
              <w:pStyle w:val="12"/>
            </w:pPr>
            <w:r>
              <w:t>≥97%</w:t>
            </w:r>
          </w:p>
        </w:tc>
        <w:tc>
          <w:tcPr>
            <w:tcW w:w="2268" w:type="dxa"/>
            <w:vAlign w:val="center"/>
          </w:tcPr>
          <w:p>
            <w:pPr>
              <w:pStyle w:val="12"/>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成本控制率(%)</w:t>
            </w:r>
          </w:p>
        </w:tc>
        <w:tc>
          <w:tcPr>
            <w:tcW w:w="2551" w:type="dxa"/>
            <w:vAlign w:val="center"/>
          </w:tcPr>
          <w:p>
            <w:pPr>
              <w:pStyle w:val="12"/>
            </w:pPr>
            <w:r>
              <w:t>≥96%</w:t>
            </w:r>
          </w:p>
        </w:tc>
        <w:tc>
          <w:tcPr>
            <w:tcW w:w="2268" w:type="dxa"/>
            <w:vAlign w:val="center"/>
          </w:tcPr>
          <w:p>
            <w:pPr>
              <w:pStyle w:val="12"/>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设施完好率(％)</w:t>
            </w:r>
          </w:p>
        </w:tc>
        <w:tc>
          <w:tcPr>
            <w:tcW w:w="2835" w:type="dxa"/>
            <w:vAlign w:val="center"/>
          </w:tcPr>
          <w:p>
            <w:pPr>
              <w:pStyle w:val="12"/>
            </w:pPr>
            <w:r>
              <w:t>设施完好率(％)</w:t>
            </w:r>
          </w:p>
        </w:tc>
        <w:tc>
          <w:tcPr>
            <w:tcW w:w="2551" w:type="dxa"/>
            <w:vAlign w:val="center"/>
          </w:tcPr>
          <w:p>
            <w:pPr>
              <w:pStyle w:val="12"/>
            </w:pPr>
            <w:r>
              <w:t>≥98%</w:t>
            </w:r>
          </w:p>
        </w:tc>
        <w:tc>
          <w:tcPr>
            <w:tcW w:w="2268" w:type="dxa"/>
            <w:vAlign w:val="center"/>
          </w:tcPr>
          <w:p>
            <w:pPr>
              <w:pStyle w:val="12"/>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公路密度增长率</w:t>
            </w:r>
          </w:p>
        </w:tc>
        <w:tc>
          <w:tcPr>
            <w:tcW w:w="2835" w:type="dxa"/>
            <w:vAlign w:val="center"/>
          </w:tcPr>
          <w:p>
            <w:pPr>
              <w:pStyle w:val="12"/>
            </w:pPr>
            <w:r>
              <w:t>公路密度增长率</w:t>
            </w:r>
          </w:p>
        </w:tc>
        <w:tc>
          <w:tcPr>
            <w:tcW w:w="2551" w:type="dxa"/>
            <w:vAlign w:val="center"/>
          </w:tcPr>
          <w:p>
            <w:pPr>
              <w:pStyle w:val="12"/>
            </w:pPr>
            <w:r>
              <w:t>≥98%</w:t>
            </w:r>
          </w:p>
        </w:tc>
        <w:tc>
          <w:tcPr>
            <w:tcW w:w="2268" w:type="dxa"/>
            <w:vAlign w:val="center"/>
          </w:tcPr>
          <w:p>
            <w:pPr>
              <w:pStyle w:val="12"/>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2835" w:type="dxa"/>
            <w:vAlign w:val="center"/>
          </w:tcPr>
          <w:p>
            <w:pPr>
              <w:pStyle w:val="12"/>
            </w:pPr>
            <w:r>
              <w:t>生态效益增长率</w:t>
            </w:r>
          </w:p>
        </w:tc>
        <w:tc>
          <w:tcPr>
            <w:tcW w:w="2551" w:type="dxa"/>
            <w:vAlign w:val="center"/>
          </w:tcPr>
          <w:p>
            <w:pPr>
              <w:pStyle w:val="12"/>
            </w:pPr>
            <w:r>
              <w:t>≥95%</w:t>
            </w:r>
          </w:p>
        </w:tc>
        <w:tc>
          <w:tcPr>
            <w:tcW w:w="2268" w:type="dxa"/>
            <w:vAlign w:val="center"/>
          </w:tcPr>
          <w:p>
            <w:pPr>
              <w:pStyle w:val="12"/>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设备使用率</w:t>
            </w:r>
          </w:p>
        </w:tc>
        <w:tc>
          <w:tcPr>
            <w:tcW w:w="2835" w:type="dxa"/>
            <w:vAlign w:val="center"/>
          </w:tcPr>
          <w:p>
            <w:pPr>
              <w:pStyle w:val="12"/>
            </w:pPr>
            <w:r>
              <w:t>设备使用率</w:t>
            </w:r>
          </w:p>
        </w:tc>
        <w:tc>
          <w:tcPr>
            <w:tcW w:w="2551" w:type="dxa"/>
            <w:vAlign w:val="center"/>
          </w:tcPr>
          <w:p>
            <w:pPr>
              <w:pStyle w:val="12"/>
            </w:pPr>
            <w:r>
              <w:t>≥95%</w:t>
            </w:r>
          </w:p>
        </w:tc>
        <w:tc>
          <w:tcPr>
            <w:tcW w:w="2268" w:type="dxa"/>
            <w:vAlign w:val="center"/>
          </w:tcPr>
          <w:p>
            <w:pPr>
              <w:pStyle w:val="12"/>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调查问卷满意度比率</w:t>
            </w:r>
          </w:p>
        </w:tc>
        <w:tc>
          <w:tcPr>
            <w:tcW w:w="2835" w:type="dxa"/>
            <w:vAlign w:val="center"/>
          </w:tcPr>
          <w:p>
            <w:pPr>
              <w:pStyle w:val="12"/>
            </w:pPr>
            <w:r>
              <w:t>调查问卷满意度比率</w:t>
            </w:r>
          </w:p>
        </w:tc>
        <w:tc>
          <w:tcPr>
            <w:tcW w:w="2551" w:type="dxa"/>
            <w:vAlign w:val="center"/>
          </w:tcPr>
          <w:p>
            <w:pPr>
              <w:pStyle w:val="12"/>
            </w:pPr>
            <w:r>
              <w:t>≥97%</w:t>
            </w:r>
          </w:p>
        </w:tc>
        <w:tc>
          <w:tcPr>
            <w:tcW w:w="2268" w:type="dxa"/>
            <w:vAlign w:val="center"/>
          </w:tcPr>
          <w:p>
            <w:pPr>
              <w:pStyle w:val="12"/>
            </w:pPr>
            <w:r>
              <w:t>根据实际情况确定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4、2022年环卫清扫及管理费用绩效目标表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1.城市道路保洁以克论净达到区县领先水平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垃圾收集转运类环卫专用车</w:t>
            </w:r>
          </w:p>
        </w:tc>
        <w:tc>
          <w:tcPr>
            <w:tcW w:w="2835" w:type="dxa"/>
            <w:vAlign w:val="center"/>
          </w:tcPr>
          <w:p>
            <w:pPr>
              <w:pStyle w:val="12"/>
            </w:pPr>
            <w:r>
              <w:t>日收集垃圾数量</w:t>
            </w:r>
          </w:p>
        </w:tc>
        <w:tc>
          <w:tcPr>
            <w:tcW w:w="2551" w:type="dxa"/>
            <w:vAlign w:val="center"/>
          </w:tcPr>
          <w:p>
            <w:pPr>
              <w:pStyle w:val="12"/>
            </w:pPr>
            <w:r>
              <w:t>≥400吨</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道路卫生环境质量</w:t>
            </w:r>
          </w:p>
        </w:tc>
        <w:tc>
          <w:tcPr>
            <w:tcW w:w="2835" w:type="dxa"/>
            <w:vAlign w:val="center"/>
          </w:tcPr>
          <w:p>
            <w:pPr>
              <w:pStyle w:val="12"/>
            </w:pPr>
            <w:r>
              <w:t>环卫清理后的道路卫生环境达标率</w:t>
            </w:r>
          </w:p>
        </w:tc>
        <w:tc>
          <w:tcPr>
            <w:tcW w:w="2551" w:type="dxa"/>
            <w:vAlign w:val="center"/>
          </w:tcPr>
          <w:p>
            <w:pPr>
              <w:pStyle w:val="12"/>
            </w:pPr>
            <w:r>
              <w:t>≥95%</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垃圾清理收集时效</w:t>
            </w:r>
          </w:p>
        </w:tc>
        <w:tc>
          <w:tcPr>
            <w:tcW w:w="2835" w:type="dxa"/>
            <w:vAlign w:val="center"/>
          </w:tcPr>
          <w:p>
            <w:pPr>
              <w:pStyle w:val="12"/>
            </w:pPr>
            <w:r>
              <w:t>每日清理道路垃圾，及时收集处置时长</w:t>
            </w:r>
          </w:p>
        </w:tc>
        <w:tc>
          <w:tcPr>
            <w:tcW w:w="2551" w:type="dxa"/>
            <w:vAlign w:val="center"/>
          </w:tcPr>
          <w:p>
            <w:pPr>
              <w:pStyle w:val="12"/>
            </w:pPr>
            <w:r>
              <w:t>≤2小时</w:t>
            </w:r>
          </w:p>
        </w:tc>
        <w:tc>
          <w:tcPr>
            <w:tcW w:w="2268" w:type="dxa"/>
            <w:vAlign w:val="center"/>
          </w:tcPr>
          <w:p>
            <w:pPr>
              <w:pStyle w:val="12"/>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年维护运行总成本</w:t>
            </w:r>
          </w:p>
        </w:tc>
        <w:tc>
          <w:tcPr>
            <w:tcW w:w="2835" w:type="dxa"/>
            <w:vAlign w:val="center"/>
          </w:tcPr>
          <w:p>
            <w:pPr>
              <w:pStyle w:val="12"/>
            </w:pPr>
            <w:r>
              <w:t>成本控制率(%)</w:t>
            </w:r>
          </w:p>
        </w:tc>
        <w:tc>
          <w:tcPr>
            <w:tcW w:w="2551" w:type="dxa"/>
            <w:vAlign w:val="center"/>
          </w:tcPr>
          <w:p>
            <w:pPr>
              <w:pStyle w:val="12"/>
            </w:pPr>
            <w:r>
              <w:t>≤1900万元</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促进就业</w:t>
            </w:r>
          </w:p>
        </w:tc>
        <w:tc>
          <w:tcPr>
            <w:tcW w:w="2835" w:type="dxa"/>
            <w:vAlign w:val="center"/>
          </w:tcPr>
          <w:p>
            <w:pPr>
              <w:pStyle w:val="12"/>
            </w:pPr>
            <w:r>
              <w:t>促进老年人再就业</w:t>
            </w:r>
          </w:p>
        </w:tc>
        <w:tc>
          <w:tcPr>
            <w:tcW w:w="2551" w:type="dxa"/>
            <w:vAlign w:val="center"/>
          </w:tcPr>
          <w:p>
            <w:pPr>
              <w:pStyle w:val="12"/>
            </w:pPr>
            <w:r>
              <w:t>≥200人</w:t>
            </w:r>
          </w:p>
        </w:tc>
        <w:tc>
          <w:tcPr>
            <w:tcW w:w="2268" w:type="dxa"/>
            <w:vAlign w:val="center"/>
          </w:tcPr>
          <w:p>
            <w:pPr>
              <w:pStyle w:val="12"/>
            </w:pPr>
            <w:r>
              <w:t>根据实际测算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2835" w:type="dxa"/>
            <w:vAlign w:val="center"/>
          </w:tcPr>
          <w:p>
            <w:pPr>
              <w:pStyle w:val="12"/>
            </w:pPr>
            <w:r>
              <w:t>改善生态环境质量</w:t>
            </w:r>
          </w:p>
        </w:tc>
        <w:tc>
          <w:tcPr>
            <w:tcW w:w="2551" w:type="dxa"/>
            <w:vAlign w:val="center"/>
          </w:tcPr>
          <w:p>
            <w:pPr>
              <w:pStyle w:val="12"/>
            </w:pPr>
            <w:r>
              <w:t>道路干净整洁、无扬尘</w:t>
            </w:r>
          </w:p>
        </w:tc>
        <w:tc>
          <w:tcPr>
            <w:tcW w:w="2268"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保障道路干净整洁</w:t>
            </w:r>
          </w:p>
        </w:tc>
        <w:tc>
          <w:tcPr>
            <w:tcW w:w="2835" w:type="dxa"/>
            <w:vAlign w:val="center"/>
          </w:tcPr>
          <w:p>
            <w:pPr>
              <w:pStyle w:val="12"/>
            </w:pPr>
            <w:r>
              <w:t>长期保障道路干净整洁</w:t>
            </w:r>
          </w:p>
        </w:tc>
        <w:tc>
          <w:tcPr>
            <w:tcW w:w="2551" w:type="dxa"/>
            <w:vAlign w:val="center"/>
          </w:tcPr>
          <w:p>
            <w:pPr>
              <w:pStyle w:val="12"/>
            </w:pPr>
            <w:r>
              <w:t>以克论净评优评先</w:t>
            </w:r>
          </w:p>
        </w:tc>
        <w:tc>
          <w:tcPr>
            <w:tcW w:w="2268" w:type="dxa"/>
            <w:vAlign w:val="center"/>
          </w:tcPr>
          <w:p>
            <w:pPr>
              <w:pStyle w:val="12"/>
            </w:pPr>
            <w:r>
              <w:t>市局以克论净评比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居民群众的满意度</w:t>
            </w:r>
          </w:p>
        </w:tc>
        <w:tc>
          <w:tcPr>
            <w:tcW w:w="2835" w:type="dxa"/>
            <w:vAlign w:val="center"/>
          </w:tcPr>
          <w:p>
            <w:pPr>
              <w:pStyle w:val="12"/>
            </w:pPr>
            <w:r>
              <w:t>满意群众占全部群众的比例</w:t>
            </w:r>
          </w:p>
        </w:tc>
        <w:tc>
          <w:tcPr>
            <w:tcW w:w="2551" w:type="dxa"/>
            <w:vAlign w:val="center"/>
          </w:tcPr>
          <w:p>
            <w:pPr>
              <w:pStyle w:val="12"/>
            </w:pPr>
            <w:r>
              <w:t>≥95%</w:t>
            </w:r>
          </w:p>
        </w:tc>
        <w:tc>
          <w:tcPr>
            <w:tcW w:w="2268" w:type="dxa"/>
            <w:vAlign w:val="center"/>
          </w:tcPr>
          <w:p>
            <w:pPr>
              <w:pStyle w:val="12"/>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5、2022年经济开发区基础设施养护绩效目标表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1.为经济开发区实现供、排水、道路、绿化，整洁、亮化和美化，为企业入驻提供较为完善的基础条件。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基础设施维修任务完成率（%）</w:t>
            </w:r>
          </w:p>
        </w:tc>
        <w:tc>
          <w:tcPr>
            <w:tcW w:w="2835" w:type="dxa"/>
            <w:vAlign w:val="center"/>
          </w:tcPr>
          <w:p>
            <w:pPr>
              <w:pStyle w:val="12"/>
            </w:pPr>
            <w:r>
              <w:t>基础设施维修任务完成率（%）</w:t>
            </w:r>
          </w:p>
        </w:tc>
        <w:tc>
          <w:tcPr>
            <w:tcW w:w="2551" w:type="dxa"/>
            <w:vAlign w:val="center"/>
          </w:tcPr>
          <w:p>
            <w:pPr>
              <w:pStyle w:val="12"/>
            </w:pPr>
            <w:r>
              <w:t>≥98%</w:t>
            </w:r>
          </w:p>
        </w:tc>
        <w:tc>
          <w:tcPr>
            <w:tcW w:w="2268" w:type="dxa"/>
            <w:vAlign w:val="center"/>
          </w:tcPr>
          <w:p>
            <w:pPr>
              <w:pStyle w:val="12"/>
            </w:pPr>
            <w:r>
              <w:t>依据行业标准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基础设施验收通过率（%）</w:t>
            </w:r>
          </w:p>
        </w:tc>
        <w:tc>
          <w:tcPr>
            <w:tcW w:w="2835" w:type="dxa"/>
            <w:vAlign w:val="center"/>
          </w:tcPr>
          <w:p>
            <w:pPr>
              <w:pStyle w:val="12"/>
            </w:pPr>
            <w:r>
              <w:t>基础设施验收通过率（%）</w:t>
            </w:r>
          </w:p>
        </w:tc>
        <w:tc>
          <w:tcPr>
            <w:tcW w:w="2551" w:type="dxa"/>
            <w:vAlign w:val="center"/>
          </w:tcPr>
          <w:p>
            <w:pPr>
              <w:pStyle w:val="12"/>
            </w:pPr>
            <w:r>
              <w:t>≥98%</w:t>
            </w:r>
          </w:p>
        </w:tc>
        <w:tc>
          <w:tcPr>
            <w:tcW w:w="2268" w:type="dxa"/>
            <w:vAlign w:val="center"/>
          </w:tcPr>
          <w:p>
            <w:pPr>
              <w:pStyle w:val="12"/>
            </w:pPr>
            <w:r>
              <w:t>依据行业标准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基础设施维护按时完成率</w:t>
            </w:r>
          </w:p>
        </w:tc>
        <w:tc>
          <w:tcPr>
            <w:tcW w:w="2835" w:type="dxa"/>
            <w:vAlign w:val="center"/>
          </w:tcPr>
          <w:p>
            <w:pPr>
              <w:pStyle w:val="12"/>
            </w:pPr>
            <w:r>
              <w:t>项目按时完成率</w:t>
            </w:r>
          </w:p>
        </w:tc>
        <w:tc>
          <w:tcPr>
            <w:tcW w:w="2551" w:type="dxa"/>
            <w:vAlign w:val="center"/>
          </w:tcPr>
          <w:p>
            <w:pPr>
              <w:pStyle w:val="12"/>
            </w:pPr>
            <w:r>
              <w:t>≥97%</w:t>
            </w:r>
          </w:p>
        </w:tc>
        <w:tc>
          <w:tcPr>
            <w:tcW w:w="2268" w:type="dxa"/>
            <w:vAlign w:val="center"/>
          </w:tcPr>
          <w:p>
            <w:pPr>
              <w:pStyle w:val="12"/>
            </w:pPr>
            <w:r>
              <w:t>依据行业标准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成本控制率(%)</w:t>
            </w:r>
          </w:p>
        </w:tc>
        <w:tc>
          <w:tcPr>
            <w:tcW w:w="2551" w:type="dxa"/>
            <w:vAlign w:val="center"/>
          </w:tcPr>
          <w:p>
            <w:pPr>
              <w:pStyle w:val="12"/>
            </w:pPr>
            <w:r>
              <w:t>≥98%</w:t>
            </w:r>
          </w:p>
        </w:tc>
        <w:tc>
          <w:tcPr>
            <w:tcW w:w="2268" w:type="dxa"/>
            <w:vAlign w:val="center"/>
          </w:tcPr>
          <w:p>
            <w:pPr>
              <w:pStyle w:val="12"/>
            </w:pPr>
            <w:r>
              <w:t>依据行业标准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吸引外来企业</w:t>
            </w:r>
          </w:p>
        </w:tc>
        <w:tc>
          <w:tcPr>
            <w:tcW w:w="2835" w:type="dxa"/>
            <w:vAlign w:val="center"/>
          </w:tcPr>
          <w:p>
            <w:pPr>
              <w:pStyle w:val="12"/>
            </w:pPr>
            <w:r>
              <w:t>吸引外来企业入驻</w:t>
            </w:r>
          </w:p>
        </w:tc>
        <w:tc>
          <w:tcPr>
            <w:tcW w:w="2551" w:type="dxa"/>
            <w:vAlign w:val="center"/>
          </w:tcPr>
          <w:p>
            <w:pPr>
              <w:pStyle w:val="12"/>
            </w:pPr>
            <w:r>
              <w:t>≥98%</w:t>
            </w:r>
          </w:p>
        </w:tc>
        <w:tc>
          <w:tcPr>
            <w:tcW w:w="2268" w:type="dxa"/>
            <w:vAlign w:val="center"/>
          </w:tcPr>
          <w:p>
            <w:pPr>
              <w:pStyle w:val="12"/>
            </w:pPr>
            <w:r>
              <w:t>依据行业标准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为企业入驻提供完善基础条件</w:t>
            </w:r>
          </w:p>
        </w:tc>
        <w:tc>
          <w:tcPr>
            <w:tcW w:w="2835" w:type="dxa"/>
            <w:vAlign w:val="center"/>
          </w:tcPr>
          <w:p>
            <w:pPr>
              <w:pStyle w:val="12"/>
            </w:pPr>
            <w:r>
              <w:t>亮化和美化，为企业入驻提供较为完善的基础条件</w:t>
            </w:r>
          </w:p>
        </w:tc>
        <w:tc>
          <w:tcPr>
            <w:tcW w:w="2551" w:type="dxa"/>
            <w:vAlign w:val="center"/>
          </w:tcPr>
          <w:p>
            <w:pPr>
              <w:pStyle w:val="12"/>
            </w:pPr>
            <w:r>
              <w:t>100%</w:t>
            </w:r>
          </w:p>
        </w:tc>
        <w:tc>
          <w:tcPr>
            <w:tcW w:w="2268" w:type="dxa"/>
            <w:vAlign w:val="center"/>
          </w:tcPr>
          <w:p>
            <w:pPr>
              <w:pStyle w:val="12"/>
            </w:pPr>
            <w:r>
              <w:t>依据行业标准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促进生态文明建设，推动绿色发展</w:t>
            </w:r>
          </w:p>
        </w:tc>
        <w:tc>
          <w:tcPr>
            <w:tcW w:w="2835" w:type="dxa"/>
            <w:vAlign w:val="center"/>
          </w:tcPr>
          <w:p>
            <w:pPr>
              <w:pStyle w:val="12"/>
            </w:pPr>
            <w:r>
              <w:t>促进生态文明建设，推动绿色发展和绿色生活方式</w:t>
            </w:r>
          </w:p>
        </w:tc>
        <w:tc>
          <w:tcPr>
            <w:tcW w:w="2551" w:type="dxa"/>
            <w:vAlign w:val="center"/>
          </w:tcPr>
          <w:p>
            <w:pPr>
              <w:pStyle w:val="12"/>
            </w:pPr>
            <w:r>
              <w:t>≥98%</w:t>
            </w:r>
          </w:p>
        </w:tc>
        <w:tc>
          <w:tcPr>
            <w:tcW w:w="2268" w:type="dxa"/>
            <w:vAlign w:val="center"/>
          </w:tcPr>
          <w:p>
            <w:pPr>
              <w:pStyle w:val="12"/>
            </w:pPr>
            <w:r>
              <w:t>依据行业标准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提升经济开发区形象</w:t>
            </w:r>
          </w:p>
        </w:tc>
        <w:tc>
          <w:tcPr>
            <w:tcW w:w="2835" w:type="dxa"/>
            <w:vAlign w:val="center"/>
          </w:tcPr>
          <w:p>
            <w:pPr>
              <w:pStyle w:val="12"/>
            </w:pPr>
            <w:r>
              <w:t>亮化和美化，为企业入驻提供完善基础条件</w:t>
            </w:r>
          </w:p>
        </w:tc>
        <w:tc>
          <w:tcPr>
            <w:tcW w:w="2551" w:type="dxa"/>
            <w:vAlign w:val="center"/>
          </w:tcPr>
          <w:p>
            <w:pPr>
              <w:pStyle w:val="12"/>
            </w:pPr>
            <w:r>
              <w:t>100%</w:t>
            </w:r>
          </w:p>
        </w:tc>
        <w:tc>
          <w:tcPr>
            <w:tcW w:w="2268" w:type="dxa"/>
            <w:vAlign w:val="center"/>
          </w:tcPr>
          <w:p>
            <w:pPr>
              <w:pStyle w:val="12"/>
            </w:pPr>
            <w:r>
              <w:t>依据行业标准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2835" w:type="dxa"/>
            <w:vAlign w:val="center"/>
          </w:tcPr>
          <w:p>
            <w:pPr>
              <w:pStyle w:val="12"/>
            </w:pPr>
            <w:r>
              <w:t>企业满意度</w:t>
            </w:r>
          </w:p>
        </w:tc>
        <w:tc>
          <w:tcPr>
            <w:tcW w:w="2551" w:type="dxa"/>
            <w:vAlign w:val="center"/>
          </w:tcPr>
          <w:p>
            <w:pPr>
              <w:pStyle w:val="12"/>
            </w:pPr>
            <w:r>
              <w:t>≥98%</w:t>
            </w:r>
          </w:p>
        </w:tc>
        <w:tc>
          <w:tcPr>
            <w:tcW w:w="2268" w:type="dxa"/>
            <w:vAlign w:val="center"/>
          </w:tcPr>
          <w:p>
            <w:pPr>
              <w:pStyle w:val="12"/>
            </w:pPr>
            <w:r>
              <w:t>依据行业标准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6、2022年垃圾填埋场运行费绩效目标表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1.生活垃圾日处理在280吨以上，保障县城整体生活环境。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日垃圾处理量</w:t>
            </w:r>
          </w:p>
        </w:tc>
        <w:tc>
          <w:tcPr>
            <w:tcW w:w="2835" w:type="dxa"/>
            <w:vAlign w:val="center"/>
          </w:tcPr>
          <w:p>
            <w:pPr>
              <w:pStyle w:val="12"/>
            </w:pPr>
            <w:r>
              <w:t>每日生活垃圾处理量（吨)</w:t>
            </w:r>
          </w:p>
        </w:tc>
        <w:tc>
          <w:tcPr>
            <w:tcW w:w="2551" w:type="dxa"/>
            <w:vAlign w:val="center"/>
          </w:tcPr>
          <w:p>
            <w:pPr>
              <w:pStyle w:val="12"/>
            </w:pPr>
            <w:r>
              <w:t>≥280吨</w:t>
            </w:r>
          </w:p>
        </w:tc>
        <w:tc>
          <w:tcPr>
            <w:tcW w:w="2268" w:type="dxa"/>
            <w:vAlign w:val="center"/>
          </w:tcPr>
          <w:p>
            <w:pPr>
              <w:pStyle w:val="12"/>
            </w:pPr>
            <w:r>
              <w:t>根据实际日处理量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生活垃圾质量提升率</w:t>
            </w:r>
          </w:p>
        </w:tc>
        <w:tc>
          <w:tcPr>
            <w:tcW w:w="2835" w:type="dxa"/>
            <w:vAlign w:val="center"/>
          </w:tcPr>
          <w:p>
            <w:pPr>
              <w:pStyle w:val="12"/>
            </w:pPr>
            <w:r>
              <w:t>生活垃圾卫生填埋提升效率</w:t>
            </w:r>
          </w:p>
        </w:tc>
        <w:tc>
          <w:tcPr>
            <w:tcW w:w="2551" w:type="dxa"/>
            <w:vAlign w:val="center"/>
          </w:tcPr>
          <w:p>
            <w:pPr>
              <w:pStyle w:val="12"/>
            </w:pPr>
            <w:r>
              <w:t>≥10吨</w:t>
            </w:r>
          </w:p>
        </w:tc>
        <w:tc>
          <w:tcPr>
            <w:tcW w:w="2268" w:type="dxa"/>
            <w:vAlign w:val="center"/>
          </w:tcPr>
          <w:p>
            <w:pPr>
              <w:pStyle w:val="12"/>
            </w:pPr>
            <w:r>
              <w:t>根据上级文件相关要求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安全事故上报时限</w:t>
            </w:r>
          </w:p>
        </w:tc>
        <w:tc>
          <w:tcPr>
            <w:tcW w:w="2835" w:type="dxa"/>
            <w:vAlign w:val="center"/>
          </w:tcPr>
          <w:p>
            <w:pPr>
              <w:pStyle w:val="12"/>
            </w:pPr>
            <w:r>
              <w:t>安全事故发生到上报的时长</w:t>
            </w:r>
          </w:p>
        </w:tc>
        <w:tc>
          <w:tcPr>
            <w:tcW w:w="2551" w:type="dxa"/>
            <w:vAlign w:val="center"/>
          </w:tcPr>
          <w:p>
            <w:pPr>
              <w:pStyle w:val="12"/>
            </w:pPr>
            <w:r>
              <w:t>≤0.5小时</w:t>
            </w:r>
          </w:p>
        </w:tc>
        <w:tc>
          <w:tcPr>
            <w:tcW w:w="2268" w:type="dxa"/>
            <w:vAlign w:val="center"/>
          </w:tcPr>
          <w:p>
            <w:pPr>
              <w:pStyle w:val="12"/>
            </w:pPr>
            <w:r>
              <w:t>根据实际情况测算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垃圾处理单位成本</w:t>
            </w:r>
          </w:p>
        </w:tc>
        <w:tc>
          <w:tcPr>
            <w:tcW w:w="2835" w:type="dxa"/>
            <w:vAlign w:val="center"/>
          </w:tcPr>
          <w:p>
            <w:pPr>
              <w:pStyle w:val="12"/>
            </w:pPr>
            <w:r>
              <w:t>处理每吨生活垃圾的陈本</w:t>
            </w:r>
          </w:p>
        </w:tc>
        <w:tc>
          <w:tcPr>
            <w:tcW w:w="2551" w:type="dxa"/>
            <w:vAlign w:val="center"/>
          </w:tcPr>
          <w:p>
            <w:pPr>
              <w:pStyle w:val="12"/>
            </w:pPr>
            <w:r>
              <w:t>≤25元</w:t>
            </w:r>
          </w:p>
        </w:tc>
        <w:tc>
          <w:tcPr>
            <w:tcW w:w="2268" w:type="dxa"/>
            <w:vAlign w:val="center"/>
          </w:tcPr>
          <w:p>
            <w:pPr>
              <w:pStyle w:val="12"/>
            </w:pPr>
            <w:r>
              <w:t>垃圾处理行业标准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2835" w:type="dxa"/>
            <w:vAlign w:val="center"/>
          </w:tcPr>
          <w:p>
            <w:pPr>
              <w:pStyle w:val="12"/>
            </w:pPr>
            <w:r>
              <w:t>拉动当地经济发展率</w:t>
            </w:r>
          </w:p>
        </w:tc>
        <w:tc>
          <w:tcPr>
            <w:tcW w:w="2551" w:type="dxa"/>
            <w:vAlign w:val="center"/>
          </w:tcPr>
          <w:p>
            <w:pPr>
              <w:pStyle w:val="12"/>
            </w:pPr>
            <w:r>
              <w:t>≥20%</w:t>
            </w:r>
          </w:p>
        </w:tc>
        <w:tc>
          <w:tcPr>
            <w:tcW w:w="2268" w:type="dxa"/>
            <w:vAlign w:val="center"/>
          </w:tcPr>
          <w:p>
            <w:pPr>
              <w:pStyle w:val="12"/>
            </w:pPr>
            <w:r>
              <w:t>提高生活垃圾回收率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社会效益指标</w:t>
            </w:r>
          </w:p>
        </w:tc>
        <w:tc>
          <w:tcPr>
            <w:tcW w:w="2835" w:type="dxa"/>
            <w:vAlign w:val="center"/>
          </w:tcPr>
          <w:p>
            <w:pPr>
              <w:pStyle w:val="12"/>
            </w:pPr>
            <w:r>
              <w:t>改善人居环境生活质量</w:t>
            </w:r>
          </w:p>
        </w:tc>
        <w:tc>
          <w:tcPr>
            <w:tcW w:w="2551" w:type="dxa"/>
            <w:vAlign w:val="center"/>
          </w:tcPr>
          <w:p>
            <w:pPr>
              <w:pStyle w:val="12"/>
            </w:pPr>
            <w:r>
              <w:t>≥96百分比</w:t>
            </w:r>
          </w:p>
        </w:tc>
        <w:tc>
          <w:tcPr>
            <w:tcW w:w="2268" w:type="dxa"/>
            <w:vAlign w:val="center"/>
          </w:tcPr>
          <w:p>
            <w:pPr>
              <w:pStyle w:val="12"/>
            </w:pPr>
            <w:r>
              <w:t>改善人居生活环境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2835" w:type="dxa"/>
            <w:vAlign w:val="center"/>
          </w:tcPr>
          <w:p>
            <w:pPr>
              <w:pStyle w:val="12"/>
            </w:pPr>
            <w:r>
              <w:t>改善生态环境质量</w:t>
            </w:r>
          </w:p>
        </w:tc>
        <w:tc>
          <w:tcPr>
            <w:tcW w:w="2551" w:type="dxa"/>
            <w:vAlign w:val="center"/>
          </w:tcPr>
          <w:p>
            <w:pPr>
              <w:pStyle w:val="12"/>
            </w:pPr>
            <w:r>
              <w:t>≥95百分比</w:t>
            </w:r>
          </w:p>
        </w:tc>
        <w:tc>
          <w:tcPr>
            <w:tcW w:w="2268" w:type="dxa"/>
            <w:vAlign w:val="center"/>
          </w:tcPr>
          <w:p>
            <w:pPr>
              <w:pStyle w:val="12"/>
            </w:pPr>
            <w:r>
              <w:t>提高县城垃圾回收处理率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生态效益</w:t>
            </w:r>
          </w:p>
        </w:tc>
        <w:tc>
          <w:tcPr>
            <w:tcW w:w="2835" w:type="dxa"/>
            <w:vAlign w:val="center"/>
          </w:tcPr>
          <w:p>
            <w:pPr>
              <w:pStyle w:val="12"/>
            </w:pPr>
            <w:r>
              <w:t>改善人居环境</w:t>
            </w:r>
          </w:p>
        </w:tc>
        <w:tc>
          <w:tcPr>
            <w:tcW w:w="2551" w:type="dxa"/>
            <w:vAlign w:val="center"/>
          </w:tcPr>
          <w:p>
            <w:pPr>
              <w:pStyle w:val="12"/>
            </w:pPr>
            <w:r>
              <w:t>≥96百分比</w:t>
            </w:r>
          </w:p>
        </w:tc>
        <w:tc>
          <w:tcPr>
            <w:tcW w:w="2268" w:type="dxa"/>
            <w:vAlign w:val="center"/>
          </w:tcPr>
          <w:p>
            <w:pPr>
              <w:pStyle w:val="12"/>
            </w:pPr>
            <w:r>
              <w:t>服务群众，靓化城市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周边对垃圾填埋满意数占全部群众的比例</w:t>
            </w:r>
          </w:p>
        </w:tc>
        <w:tc>
          <w:tcPr>
            <w:tcW w:w="2551" w:type="dxa"/>
            <w:vAlign w:val="center"/>
          </w:tcPr>
          <w:p>
            <w:pPr>
              <w:pStyle w:val="12"/>
            </w:pPr>
            <w:r>
              <w:t>≥95百分比</w:t>
            </w:r>
          </w:p>
        </w:tc>
        <w:tc>
          <w:tcPr>
            <w:tcW w:w="2268" w:type="dxa"/>
            <w:vAlign w:val="center"/>
          </w:tcPr>
          <w:p>
            <w:pPr>
              <w:pStyle w:val="12"/>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7、2022年绿化养护经费绩效目标表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1.推动我县园林绿化事业发展，保障县城区内人均公园绿化率12%以上，维护我县绿化环境。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苗木补植成活率</w:t>
            </w:r>
          </w:p>
        </w:tc>
        <w:tc>
          <w:tcPr>
            <w:tcW w:w="2835" w:type="dxa"/>
            <w:vAlign w:val="center"/>
          </w:tcPr>
          <w:p>
            <w:pPr>
              <w:pStyle w:val="12"/>
            </w:pPr>
            <w:r>
              <w:t>苗木补植成活量</w:t>
            </w:r>
          </w:p>
          <w:p>
            <w:pPr>
              <w:pStyle w:val="12"/>
            </w:pPr>
            <w:r>
              <w:t>占总补植量的比例</w:t>
            </w:r>
          </w:p>
        </w:tc>
        <w:tc>
          <w:tcPr>
            <w:tcW w:w="2551" w:type="dxa"/>
            <w:vAlign w:val="center"/>
          </w:tcPr>
          <w:p>
            <w:pPr>
              <w:pStyle w:val="12"/>
            </w:pPr>
            <w:r>
              <w:t>≥90%</w:t>
            </w:r>
          </w:p>
        </w:tc>
        <w:tc>
          <w:tcPr>
            <w:tcW w:w="2268" w:type="dxa"/>
            <w:vAlign w:val="center"/>
          </w:tcPr>
          <w:p>
            <w:pPr>
              <w:pStyle w:val="12"/>
            </w:pPr>
            <w:r>
              <w:t>河北省城市园林绿化养护管理定额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人均公园绿地面（㎡）</w:t>
            </w:r>
          </w:p>
        </w:tc>
        <w:tc>
          <w:tcPr>
            <w:tcW w:w="2835" w:type="dxa"/>
            <w:vAlign w:val="center"/>
          </w:tcPr>
          <w:p>
            <w:pPr>
              <w:pStyle w:val="12"/>
            </w:pPr>
            <w:r>
              <w:t>全县县城内绿地面积与全县县城人口的比例</w:t>
            </w:r>
          </w:p>
        </w:tc>
        <w:tc>
          <w:tcPr>
            <w:tcW w:w="2551" w:type="dxa"/>
            <w:vAlign w:val="center"/>
          </w:tcPr>
          <w:p>
            <w:pPr>
              <w:pStyle w:val="12"/>
            </w:pPr>
            <w:r>
              <w:t>≥12%</w:t>
            </w:r>
          </w:p>
        </w:tc>
        <w:tc>
          <w:tcPr>
            <w:tcW w:w="2268" w:type="dxa"/>
            <w:vAlign w:val="center"/>
          </w:tcPr>
          <w:p>
            <w:pPr>
              <w:pStyle w:val="12"/>
            </w:pPr>
            <w:r>
              <w:t>河北省城市园林绿化养护管理定额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园林绿化</w:t>
            </w:r>
          </w:p>
        </w:tc>
        <w:tc>
          <w:tcPr>
            <w:tcW w:w="2835" w:type="dxa"/>
            <w:vAlign w:val="center"/>
          </w:tcPr>
          <w:p>
            <w:pPr>
              <w:pStyle w:val="12"/>
            </w:pPr>
            <w:r>
              <w:t>园林绿化维护及时率</w:t>
            </w:r>
          </w:p>
        </w:tc>
        <w:tc>
          <w:tcPr>
            <w:tcW w:w="2551" w:type="dxa"/>
            <w:vAlign w:val="center"/>
          </w:tcPr>
          <w:p>
            <w:pPr>
              <w:pStyle w:val="12"/>
            </w:pPr>
            <w:r>
              <w:t>≥95%</w:t>
            </w:r>
          </w:p>
        </w:tc>
        <w:tc>
          <w:tcPr>
            <w:tcW w:w="2268" w:type="dxa"/>
            <w:vAlign w:val="center"/>
          </w:tcPr>
          <w:p>
            <w:pPr>
              <w:pStyle w:val="12"/>
            </w:pPr>
            <w:r>
              <w:t>河北省城市园林绿化养护管理定额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县城绿化养护成本节约率</w:t>
            </w:r>
          </w:p>
        </w:tc>
        <w:tc>
          <w:tcPr>
            <w:tcW w:w="2835" w:type="dxa"/>
            <w:vAlign w:val="center"/>
          </w:tcPr>
          <w:p>
            <w:pPr>
              <w:pStyle w:val="12"/>
            </w:pPr>
            <w:r>
              <w:t>县城绿化养护成本节约率</w:t>
            </w:r>
          </w:p>
        </w:tc>
        <w:tc>
          <w:tcPr>
            <w:tcW w:w="2551" w:type="dxa"/>
            <w:vAlign w:val="center"/>
          </w:tcPr>
          <w:p>
            <w:pPr>
              <w:pStyle w:val="12"/>
            </w:pPr>
            <w:r>
              <w:t>≥45%</w:t>
            </w:r>
          </w:p>
        </w:tc>
        <w:tc>
          <w:tcPr>
            <w:tcW w:w="2268" w:type="dxa"/>
            <w:vAlign w:val="center"/>
          </w:tcPr>
          <w:p>
            <w:pPr>
              <w:pStyle w:val="12"/>
            </w:pPr>
            <w:r>
              <w:t>河北省城市园林绿化养护管理定额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改善县城环境</w:t>
            </w:r>
          </w:p>
        </w:tc>
        <w:tc>
          <w:tcPr>
            <w:tcW w:w="2835" w:type="dxa"/>
            <w:vAlign w:val="center"/>
          </w:tcPr>
          <w:p>
            <w:pPr>
              <w:pStyle w:val="12"/>
            </w:pPr>
            <w:r>
              <w:t>改善县城绿化环境，提高招商条件</w:t>
            </w:r>
          </w:p>
        </w:tc>
        <w:tc>
          <w:tcPr>
            <w:tcW w:w="2551" w:type="dxa"/>
            <w:vAlign w:val="center"/>
          </w:tcPr>
          <w:p>
            <w:pPr>
              <w:pStyle w:val="12"/>
            </w:pPr>
            <w:r>
              <w:t>打造县城绿化环境提高招商条件</w:t>
            </w:r>
          </w:p>
        </w:tc>
        <w:tc>
          <w:tcPr>
            <w:tcW w:w="2268" w:type="dxa"/>
            <w:vAlign w:val="center"/>
          </w:tcPr>
          <w:p>
            <w:pPr>
              <w:pStyle w:val="12"/>
            </w:pPr>
            <w:r>
              <w:t>提升宜商宜局环境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县城绿化面积覆盖率</w:t>
            </w:r>
          </w:p>
        </w:tc>
        <w:tc>
          <w:tcPr>
            <w:tcW w:w="2835" w:type="dxa"/>
            <w:vAlign w:val="center"/>
          </w:tcPr>
          <w:p>
            <w:pPr>
              <w:pStyle w:val="12"/>
            </w:pPr>
            <w:r>
              <w:t>县城绿化面积覆盖率</w:t>
            </w:r>
          </w:p>
        </w:tc>
        <w:tc>
          <w:tcPr>
            <w:tcW w:w="2551" w:type="dxa"/>
            <w:vAlign w:val="center"/>
          </w:tcPr>
          <w:p>
            <w:pPr>
              <w:pStyle w:val="12"/>
            </w:pPr>
            <w:r>
              <w:t>≥90%</w:t>
            </w:r>
          </w:p>
        </w:tc>
        <w:tc>
          <w:tcPr>
            <w:tcW w:w="2268" w:type="dxa"/>
            <w:vAlign w:val="center"/>
          </w:tcPr>
          <w:p>
            <w:pPr>
              <w:pStyle w:val="12"/>
            </w:pPr>
            <w:r>
              <w:t>河北省城市园林绿化养护管理定额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2835" w:type="dxa"/>
            <w:vAlign w:val="center"/>
          </w:tcPr>
          <w:p>
            <w:pPr>
              <w:pStyle w:val="12"/>
            </w:pPr>
            <w:r>
              <w:t>改善生态环境质量</w:t>
            </w:r>
          </w:p>
        </w:tc>
        <w:tc>
          <w:tcPr>
            <w:tcW w:w="2551" w:type="dxa"/>
            <w:vAlign w:val="center"/>
          </w:tcPr>
          <w:p>
            <w:pPr>
              <w:pStyle w:val="12"/>
            </w:pPr>
            <w:r>
              <w:t>≥92%</w:t>
            </w:r>
          </w:p>
        </w:tc>
        <w:tc>
          <w:tcPr>
            <w:tcW w:w="2268" w:type="dxa"/>
            <w:vAlign w:val="center"/>
          </w:tcPr>
          <w:p>
            <w:pPr>
              <w:pStyle w:val="12"/>
            </w:pPr>
            <w:r>
              <w:t>环境指数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基础设施完好率（%）</w:t>
            </w:r>
          </w:p>
          <w:p>
            <w:pPr>
              <w:pStyle w:val="12"/>
            </w:pPr>
          </w:p>
          <w:p>
            <w:pPr>
              <w:pStyle w:val="12"/>
            </w:pPr>
          </w:p>
        </w:tc>
        <w:tc>
          <w:tcPr>
            <w:tcW w:w="2835" w:type="dxa"/>
            <w:vAlign w:val="center"/>
          </w:tcPr>
          <w:p>
            <w:pPr>
              <w:pStyle w:val="12"/>
            </w:pPr>
            <w:r>
              <w:t>县城绿地公园基础设施完好率</w:t>
            </w:r>
          </w:p>
        </w:tc>
        <w:tc>
          <w:tcPr>
            <w:tcW w:w="2551" w:type="dxa"/>
            <w:vAlign w:val="center"/>
          </w:tcPr>
          <w:p>
            <w:pPr>
              <w:pStyle w:val="12"/>
            </w:pPr>
            <w:r>
              <w:t>≥95%</w:t>
            </w:r>
          </w:p>
        </w:tc>
        <w:tc>
          <w:tcPr>
            <w:tcW w:w="2268" w:type="dxa"/>
            <w:vAlign w:val="center"/>
          </w:tcPr>
          <w:p>
            <w:pPr>
              <w:pStyle w:val="12"/>
            </w:pPr>
            <w:r>
              <w:t>设备损坏数量占比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群众对环境公园绿化问卷回访满意率</w:t>
            </w:r>
          </w:p>
        </w:tc>
        <w:tc>
          <w:tcPr>
            <w:tcW w:w="2551" w:type="dxa"/>
            <w:vAlign w:val="center"/>
          </w:tcPr>
          <w:p>
            <w:pPr>
              <w:pStyle w:val="12"/>
            </w:pPr>
            <w:r>
              <w:t>≥95%</w:t>
            </w:r>
          </w:p>
        </w:tc>
        <w:tc>
          <w:tcPr>
            <w:tcW w:w="2268" w:type="dxa"/>
            <w:vAlign w:val="center"/>
          </w:tcPr>
          <w:p>
            <w:pPr>
              <w:pStyle w:val="12"/>
            </w:pPr>
            <w:r>
              <w:t>问卷调查回访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8、2022年数字化城管平台运行及光纤费绩效目标表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1.在全县建立城市数字化管理系统，保证60处摄像头正常运转，切实提高城市管理效能和现代化管理水平，保障居民出行的安全指数。</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摄像头正常运转数量</w:t>
            </w:r>
          </w:p>
        </w:tc>
        <w:tc>
          <w:tcPr>
            <w:tcW w:w="2835" w:type="dxa"/>
            <w:vAlign w:val="center"/>
          </w:tcPr>
          <w:p>
            <w:pPr>
              <w:pStyle w:val="12"/>
            </w:pPr>
            <w:r>
              <w:t>正常运行摄像头的数量</w:t>
            </w:r>
          </w:p>
        </w:tc>
        <w:tc>
          <w:tcPr>
            <w:tcW w:w="2551" w:type="dxa"/>
            <w:vAlign w:val="center"/>
          </w:tcPr>
          <w:p>
            <w:pPr>
              <w:pStyle w:val="12"/>
            </w:pPr>
            <w:r>
              <w:t>≥55个</w:t>
            </w:r>
          </w:p>
        </w:tc>
        <w:tc>
          <w:tcPr>
            <w:tcW w:w="2268" w:type="dxa"/>
            <w:vAlign w:val="center"/>
          </w:tcPr>
          <w:p>
            <w:pPr>
              <w:pStyle w:val="12"/>
            </w:pPr>
            <w:r>
              <w:t>根据城区内60处摄像头运行率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摄像头通讯合格率</w:t>
            </w:r>
          </w:p>
        </w:tc>
        <w:tc>
          <w:tcPr>
            <w:tcW w:w="2835" w:type="dxa"/>
            <w:vAlign w:val="center"/>
          </w:tcPr>
          <w:p>
            <w:pPr>
              <w:pStyle w:val="12"/>
            </w:pPr>
            <w:r>
              <w:t>摄像头通讯传输合格率</w:t>
            </w:r>
          </w:p>
        </w:tc>
        <w:tc>
          <w:tcPr>
            <w:tcW w:w="2551" w:type="dxa"/>
            <w:vAlign w:val="center"/>
          </w:tcPr>
          <w:p>
            <w:pPr>
              <w:pStyle w:val="12"/>
            </w:pPr>
            <w:r>
              <w:t>≥95%</w:t>
            </w:r>
          </w:p>
        </w:tc>
        <w:tc>
          <w:tcPr>
            <w:tcW w:w="2268" w:type="dxa"/>
            <w:vAlign w:val="center"/>
          </w:tcPr>
          <w:p>
            <w:pPr>
              <w:pStyle w:val="12"/>
            </w:pPr>
            <w:r>
              <w:t>根据视频监控确定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设备维修时限</w:t>
            </w:r>
          </w:p>
        </w:tc>
        <w:tc>
          <w:tcPr>
            <w:tcW w:w="2835" w:type="dxa"/>
            <w:vAlign w:val="center"/>
          </w:tcPr>
          <w:p>
            <w:pPr>
              <w:pStyle w:val="12"/>
            </w:pPr>
            <w:r>
              <w:t>处置摄像头毁坏时长</w:t>
            </w:r>
          </w:p>
        </w:tc>
        <w:tc>
          <w:tcPr>
            <w:tcW w:w="2551" w:type="dxa"/>
            <w:vAlign w:val="center"/>
          </w:tcPr>
          <w:p>
            <w:pPr>
              <w:pStyle w:val="12"/>
            </w:pPr>
            <w:r>
              <w:t>≤3小时</w:t>
            </w:r>
          </w:p>
        </w:tc>
        <w:tc>
          <w:tcPr>
            <w:tcW w:w="2268" w:type="dxa"/>
            <w:vAlign w:val="center"/>
          </w:tcPr>
          <w:p>
            <w:pPr>
              <w:pStyle w:val="12"/>
            </w:pPr>
            <w:r>
              <w:t>电子监控设备完好率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运行保障成本</w:t>
            </w:r>
          </w:p>
        </w:tc>
        <w:tc>
          <w:tcPr>
            <w:tcW w:w="2835" w:type="dxa"/>
            <w:vAlign w:val="center"/>
          </w:tcPr>
          <w:p>
            <w:pPr>
              <w:pStyle w:val="12"/>
            </w:pPr>
            <w:r>
              <w:t>单个摄像头运行保障成本</w:t>
            </w:r>
          </w:p>
        </w:tc>
        <w:tc>
          <w:tcPr>
            <w:tcW w:w="2551" w:type="dxa"/>
            <w:vAlign w:val="center"/>
          </w:tcPr>
          <w:p>
            <w:pPr>
              <w:pStyle w:val="12"/>
            </w:pPr>
            <w:r>
              <w:t>≤50元</w:t>
            </w:r>
          </w:p>
        </w:tc>
        <w:tc>
          <w:tcPr>
            <w:tcW w:w="2268" w:type="dxa"/>
            <w:vAlign w:val="center"/>
          </w:tcPr>
          <w:p>
            <w:pPr>
              <w:pStyle w:val="12"/>
            </w:pPr>
            <w:r>
              <w:t>节约硬盘储存器成本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化解矛盾率(%)</w:t>
            </w:r>
          </w:p>
        </w:tc>
        <w:tc>
          <w:tcPr>
            <w:tcW w:w="2835" w:type="dxa"/>
            <w:vAlign w:val="center"/>
          </w:tcPr>
          <w:p>
            <w:pPr>
              <w:pStyle w:val="12"/>
            </w:pPr>
            <w:r>
              <w:t>化解矛盾率(%)</w:t>
            </w:r>
          </w:p>
        </w:tc>
        <w:tc>
          <w:tcPr>
            <w:tcW w:w="2551" w:type="dxa"/>
            <w:vAlign w:val="center"/>
          </w:tcPr>
          <w:p>
            <w:pPr>
              <w:pStyle w:val="12"/>
            </w:pPr>
            <w:r>
              <w:t>≥95%</w:t>
            </w:r>
          </w:p>
        </w:tc>
        <w:tc>
          <w:tcPr>
            <w:tcW w:w="2268" w:type="dxa"/>
            <w:vAlign w:val="center"/>
          </w:tcPr>
          <w:p>
            <w:pPr>
              <w:pStyle w:val="12"/>
            </w:pPr>
            <w:r>
              <w:t>根据以往年度数据测算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设备运行持续性</w:t>
            </w:r>
          </w:p>
        </w:tc>
        <w:tc>
          <w:tcPr>
            <w:tcW w:w="2835" w:type="dxa"/>
            <w:vAlign w:val="center"/>
          </w:tcPr>
          <w:p>
            <w:pPr>
              <w:pStyle w:val="12"/>
            </w:pPr>
            <w:r>
              <w:t>设备正常运行服务年限</w:t>
            </w:r>
          </w:p>
        </w:tc>
        <w:tc>
          <w:tcPr>
            <w:tcW w:w="2551" w:type="dxa"/>
            <w:vAlign w:val="center"/>
          </w:tcPr>
          <w:p>
            <w:pPr>
              <w:pStyle w:val="12"/>
            </w:pPr>
            <w:r>
              <w:t>≥10年</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满意群众占全部群众的比例</w:t>
            </w:r>
          </w:p>
        </w:tc>
        <w:tc>
          <w:tcPr>
            <w:tcW w:w="2551" w:type="dxa"/>
            <w:vAlign w:val="center"/>
          </w:tcPr>
          <w:p>
            <w:pPr>
              <w:pStyle w:val="12"/>
            </w:pPr>
            <w:r>
              <w:t>≥95%</w:t>
            </w:r>
          </w:p>
        </w:tc>
        <w:tc>
          <w:tcPr>
            <w:tcW w:w="2268" w:type="dxa"/>
            <w:vAlign w:val="center"/>
          </w:tcPr>
          <w:p>
            <w:pPr>
              <w:pStyle w:val="12"/>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9、2022年魏祠维护管理经费绩效目标表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1.保证魏祠人员工资发放，日常维护，保障公园正常运转，每年吸引游客200万以上，提升我县园林公园知名度。</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日常养护工作完成率</w:t>
            </w:r>
          </w:p>
        </w:tc>
        <w:tc>
          <w:tcPr>
            <w:tcW w:w="2835" w:type="dxa"/>
            <w:vAlign w:val="center"/>
          </w:tcPr>
          <w:p>
            <w:pPr>
              <w:pStyle w:val="12"/>
            </w:pPr>
            <w:r>
              <w:t>日常养护工作完成率</w:t>
            </w:r>
          </w:p>
        </w:tc>
        <w:tc>
          <w:tcPr>
            <w:tcW w:w="2551" w:type="dxa"/>
            <w:vAlign w:val="center"/>
          </w:tcPr>
          <w:p>
            <w:pPr>
              <w:pStyle w:val="12"/>
            </w:pPr>
            <w:r>
              <w:t>≥98%</w:t>
            </w:r>
          </w:p>
        </w:tc>
        <w:tc>
          <w:tcPr>
            <w:tcW w:w="2268" w:type="dxa"/>
            <w:vAlign w:val="center"/>
          </w:tcPr>
          <w:p>
            <w:pPr>
              <w:pStyle w:val="12"/>
            </w:pPr>
            <w:r>
              <w:t>园林绿化养护标准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养护工程合格率</w:t>
            </w:r>
          </w:p>
        </w:tc>
        <w:tc>
          <w:tcPr>
            <w:tcW w:w="2835" w:type="dxa"/>
            <w:vAlign w:val="center"/>
          </w:tcPr>
          <w:p>
            <w:pPr>
              <w:pStyle w:val="12"/>
            </w:pPr>
            <w:r>
              <w:t>养护工程合格率</w:t>
            </w:r>
          </w:p>
        </w:tc>
        <w:tc>
          <w:tcPr>
            <w:tcW w:w="2551" w:type="dxa"/>
            <w:vAlign w:val="center"/>
          </w:tcPr>
          <w:p>
            <w:pPr>
              <w:pStyle w:val="12"/>
            </w:pPr>
            <w:r>
              <w:t>≥98%</w:t>
            </w:r>
          </w:p>
        </w:tc>
        <w:tc>
          <w:tcPr>
            <w:tcW w:w="2268" w:type="dxa"/>
            <w:vAlign w:val="center"/>
          </w:tcPr>
          <w:p>
            <w:pPr>
              <w:pStyle w:val="12"/>
            </w:pPr>
            <w:r>
              <w:t>园林绿化养护标准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完成率</w:t>
            </w:r>
          </w:p>
        </w:tc>
        <w:tc>
          <w:tcPr>
            <w:tcW w:w="2551" w:type="dxa"/>
            <w:vAlign w:val="center"/>
          </w:tcPr>
          <w:p>
            <w:pPr>
              <w:pStyle w:val="12"/>
            </w:pPr>
            <w:r>
              <w:t>≥95%</w:t>
            </w:r>
          </w:p>
        </w:tc>
        <w:tc>
          <w:tcPr>
            <w:tcW w:w="2268" w:type="dxa"/>
            <w:vAlign w:val="center"/>
          </w:tcPr>
          <w:p>
            <w:pPr>
              <w:pStyle w:val="12"/>
            </w:pPr>
            <w:r>
              <w:t>园林绿化养护标准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全年养护维护成本</w:t>
            </w:r>
          </w:p>
        </w:tc>
        <w:tc>
          <w:tcPr>
            <w:tcW w:w="2835" w:type="dxa"/>
            <w:vAlign w:val="center"/>
          </w:tcPr>
          <w:p>
            <w:pPr>
              <w:pStyle w:val="12"/>
            </w:pPr>
            <w:r>
              <w:t>每年公园维护管理成本</w:t>
            </w:r>
          </w:p>
        </w:tc>
        <w:tc>
          <w:tcPr>
            <w:tcW w:w="2551" w:type="dxa"/>
            <w:vAlign w:val="center"/>
          </w:tcPr>
          <w:p>
            <w:pPr>
              <w:pStyle w:val="12"/>
            </w:pPr>
            <w:r>
              <w:t>≤60万元</w:t>
            </w:r>
          </w:p>
        </w:tc>
        <w:tc>
          <w:tcPr>
            <w:tcW w:w="2268" w:type="dxa"/>
            <w:vAlign w:val="center"/>
          </w:tcPr>
          <w:p>
            <w:pPr>
              <w:pStyle w:val="12"/>
            </w:pPr>
            <w:r>
              <w:t>园林绿化养护标准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吸引观众、游客数</w:t>
            </w:r>
          </w:p>
        </w:tc>
        <w:tc>
          <w:tcPr>
            <w:tcW w:w="2835" w:type="dxa"/>
            <w:vAlign w:val="center"/>
          </w:tcPr>
          <w:p>
            <w:pPr>
              <w:pStyle w:val="12"/>
            </w:pPr>
            <w:r>
              <w:t>吸引观众、游客数</w:t>
            </w:r>
          </w:p>
        </w:tc>
        <w:tc>
          <w:tcPr>
            <w:tcW w:w="2551" w:type="dxa"/>
            <w:vAlign w:val="center"/>
          </w:tcPr>
          <w:p>
            <w:pPr>
              <w:pStyle w:val="12"/>
            </w:pPr>
            <w:r>
              <w:t>≥200万人</w:t>
            </w:r>
          </w:p>
        </w:tc>
        <w:tc>
          <w:tcPr>
            <w:tcW w:w="2268" w:type="dxa"/>
            <w:vAlign w:val="center"/>
          </w:tcPr>
          <w:p>
            <w:pPr>
              <w:pStyle w:val="12"/>
            </w:pPr>
            <w:r>
              <w:t>园林绿化养护标准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生态环境质量改善</w:t>
            </w:r>
          </w:p>
        </w:tc>
        <w:tc>
          <w:tcPr>
            <w:tcW w:w="2835" w:type="dxa"/>
            <w:vAlign w:val="center"/>
          </w:tcPr>
          <w:p>
            <w:pPr>
              <w:pStyle w:val="12"/>
            </w:pPr>
            <w:r>
              <w:t>生态环境质量改善</w:t>
            </w:r>
          </w:p>
        </w:tc>
        <w:tc>
          <w:tcPr>
            <w:tcW w:w="2551" w:type="dxa"/>
            <w:vAlign w:val="center"/>
          </w:tcPr>
          <w:p>
            <w:pPr>
              <w:pStyle w:val="12"/>
            </w:pPr>
            <w:r>
              <w:t>≥95%</w:t>
            </w:r>
          </w:p>
        </w:tc>
        <w:tc>
          <w:tcPr>
            <w:tcW w:w="2268" w:type="dxa"/>
            <w:vAlign w:val="center"/>
          </w:tcPr>
          <w:p>
            <w:pPr>
              <w:pStyle w:val="12"/>
            </w:pPr>
            <w:r>
              <w:t>园林绿化养护标准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2835" w:type="dxa"/>
            <w:vAlign w:val="center"/>
          </w:tcPr>
          <w:p>
            <w:pPr>
              <w:pStyle w:val="12"/>
            </w:pPr>
            <w:r>
              <w:t>可持续性服务年限</w:t>
            </w:r>
          </w:p>
        </w:tc>
        <w:tc>
          <w:tcPr>
            <w:tcW w:w="2551" w:type="dxa"/>
            <w:vAlign w:val="center"/>
          </w:tcPr>
          <w:p>
            <w:pPr>
              <w:pStyle w:val="12"/>
            </w:pPr>
            <w:r>
              <w:t>≥20年</w:t>
            </w:r>
          </w:p>
        </w:tc>
        <w:tc>
          <w:tcPr>
            <w:tcW w:w="2268" w:type="dxa"/>
            <w:vAlign w:val="center"/>
          </w:tcPr>
          <w:p>
            <w:pPr>
              <w:pStyle w:val="12"/>
            </w:pPr>
            <w:r>
              <w:t>设计标准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游客满意度</w:t>
            </w:r>
          </w:p>
        </w:tc>
        <w:tc>
          <w:tcPr>
            <w:tcW w:w="2835" w:type="dxa"/>
            <w:vAlign w:val="center"/>
          </w:tcPr>
          <w:p>
            <w:pPr>
              <w:pStyle w:val="12"/>
            </w:pPr>
            <w:r>
              <w:t>满意游客占全部游客的比例</w:t>
            </w:r>
          </w:p>
        </w:tc>
        <w:tc>
          <w:tcPr>
            <w:tcW w:w="2551" w:type="dxa"/>
            <w:vAlign w:val="center"/>
          </w:tcPr>
          <w:p>
            <w:pPr>
              <w:pStyle w:val="12"/>
            </w:pPr>
            <w:r>
              <w:t>≥95%</w:t>
            </w:r>
          </w:p>
        </w:tc>
        <w:tc>
          <w:tcPr>
            <w:tcW w:w="2268" w:type="dxa"/>
            <w:vAlign w:val="center"/>
          </w:tcPr>
          <w:p>
            <w:pPr>
              <w:pStyle w:val="12"/>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10、2022年污水处理厂运行费用绩效目标表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1.收集城镇生活污水，日处理26000吨以上，处理后中水百分百达标排放。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日污水处理量（立方米）</w:t>
            </w:r>
          </w:p>
        </w:tc>
        <w:tc>
          <w:tcPr>
            <w:tcW w:w="2835" w:type="dxa"/>
            <w:vAlign w:val="center"/>
          </w:tcPr>
          <w:p>
            <w:pPr>
              <w:pStyle w:val="12"/>
            </w:pPr>
            <w:r>
              <w:t>日污水处理量（立方米）</w:t>
            </w:r>
          </w:p>
        </w:tc>
        <w:tc>
          <w:tcPr>
            <w:tcW w:w="2551" w:type="dxa"/>
            <w:vAlign w:val="center"/>
          </w:tcPr>
          <w:p>
            <w:pPr>
              <w:pStyle w:val="12"/>
            </w:pPr>
            <w:r>
              <w:t>≥2.6万吨</w:t>
            </w:r>
          </w:p>
        </w:tc>
        <w:tc>
          <w:tcPr>
            <w:tcW w:w="2268" w:type="dxa"/>
            <w:vAlign w:val="center"/>
          </w:tcPr>
          <w:p>
            <w:pPr>
              <w:pStyle w:val="12"/>
            </w:pPr>
            <w:r>
              <w:t>根据实际日处理量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污水的水质提升效率</w:t>
            </w:r>
          </w:p>
        </w:tc>
        <w:tc>
          <w:tcPr>
            <w:tcW w:w="2835" w:type="dxa"/>
            <w:vAlign w:val="center"/>
          </w:tcPr>
          <w:p>
            <w:pPr>
              <w:pStyle w:val="12"/>
            </w:pPr>
            <w:r>
              <w:t>污水的水质提升效率</w:t>
            </w:r>
          </w:p>
        </w:tc>
        <w:tc>
          <w:tcPr>
            <w:tcW w:w="2551" w:type="dxa"/>
            <w:vAlign w:val="center"/>
          </w:tcPr>
          <w:p>
            <w:pPr>
              <w:pStyle w:val="12"/>
            </w:pPr>
            <w:r>
              <w:t>≥0.02万吨</w:t>
            </w:r>
          </w:p>
        </w:tc>
        <w:tc>
          <w:tcPr>
            <w:tcW w:w="2268" w:type="dxa"/>
            <w:vAlign w:val="center"/>
          </w:tcPr>
          <w:p>
            <w:pPr>
              <w:pStyle w:val="12"/>
            </w:pPr>
            <w:r>
              <w:t>根据上级要求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污水处理时效</w:t>
            </w:r>
          </w:p>
        </w:tc>
        <w:tc>
          <w:tcPr>
            <w:tcW w:w="2835" w:type="dxa"/>
            <w:vAlign w:val="center"/>
          </w:tcPr>
          <w:p>
            <w:pPr>
              <w:pStyle w:val="12"/>
            </w:pPr>
            <w:r>
              <w:t>完成收集污水处理的时间周期</w:t>
            </w:r>
          </w:p>
        </w:tc>
        <w:tc>
          <w:tcPr>
            <w:tcW w:w="2551" w:type="dxa"/>
            <w:vAlign w:val="center"/>
          </w:tcPr>
          <w:p>
            <w:pPr>
              <w:pStyle w:val="12"/>
            </w:pPr>
            <w:r>
              <w:t>≤6小时</w:t>
            </w:r>
          </w:p>
        </w:tc>
        <w:tc>
          <w:tcPr>
            <w:tcW w:w="2268" w:type="dxa"/>
            <w:vAlign w:val="center"/>
          </w:tcPr>
          <w:p>
            <w:pPr>
              <w:pStyle w:val="12"/>
            </w:pPr>
            <w:r>
              <w:t>根据实际测算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成本报价标准</w:t>
            </w:r>
          </w:p>
        </w:tc>
        <w:tc>
          <w:tcPr>
            <w:tcW w:w="2835" w:type="dxa"/>
            <w:vAlign w:val="center"/>
          </w:tcPr>
          <w:p>
            <w:pPr>
              <w:pStyle w:val="12"/>
            </w:pPr>
            <w:r>
              <w:t>全年污水厂运行成本</w:t>
            </w:r>
          </w:p>
        </w:tc>
        <w:tc>
          <w:tcPr>
            <w:tcW w:w="2551" w:type="dxa"/>
            <w:vAlign w:val="center"/>
          </w:tcPr>
          <w:p>
            <w:pPr>
              <w:pStyle w:val="12"/>
            </w:pPr>
            <w:r>
              <w:t>≤200万元</w:t>
            </w:r>
          </w:p>
        </w:tc>
        <w:tc>
          <w:tcPr>
            <w:tcW w:w="2268" w:type="dxa"/>
            <w:vAlign w:val="center"/>
          </w:tcPr>
          <w:p>
            <w:pPr>
              <w:pStyle w:val="12"/>
            </w:pPr>
            <w:r>
              <w:t>污水处理行业标准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生态效益指标</w:t>
            </w:r>
          </w:p>
        </w:tc>
        <w:tc>
          <w:tcPr>
            <w:tcW w:w="2835" w:type="dxa"/>
            <w:vAlign w:val="center"/>
          </w:tcPr>
          <w:p>
            <w:pPr>
              <w:pStyle w:val="12"/>
            </w:pPr>
            <w:r>
              <w:t>改善生态环境质量</w:t>
            </w:r>
          </w:p>
        </w:tc>
        <w:tc>
          <w:tcPr>
            <w:tcW w:w="2551" w:type="dxa"/>
            <w:vAlign w:val="center"/>
          </w:tcPr>
          <w:p>
            <w:pPr>
              <w:pStyle w:val="12"/>
            </w:pPr>
            <w:r>
              <w:t>≥96百分比</w:t>
            </w:r>
          </w:p>
        </w:tc>
        <w:tc>
          <w:tcPr>
            <w:tcW w:w="2268" w:type="dxa"/>
            <w:vAlign w:val="center"/>
          </w:tcPr>
          <w:p>
            <w:pPr>
              <w:pStyle w:val="12"/>
            </w:pPr>
            <w:r>
              <w:t>提高中水回用率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生态效益指标</w:t>
            </w:r>
          </w:p>
        </w:tc>
        <w:tc>
          <w:tcPr>
            <w:tcW w:w="2835" w:type="dxa"/>
            <w:vAlign w:val="center"/>
          </w:tcPr>
          <w:p>
            <w:pPr>
              <w:pStyle w:val="12"/>
            </w:pPr>
            <w:r>
              <w:t>改善生态环境质量</w:t>
            </w:r>
          </w:p>
        </w:tc>
        <w:tc>
          <w:tcPr>
            <w:tcW w:w="2551" w:type="dxa"/>
            <w:vAlign w:val="center"/>
          </w:tcPr>
          <w:p>
            <w:pPr>
              <w:pStyle w:val="12"/>
            </w:pPr>
            <w:r>
              <w:t>≥96百分比</w:t>
            </w:r>
          </w:p>
        </w:tc>
        <w:tc>
          <w:tcPr>
            <w:tcW w:w="2268" w:type="dxa"/>
            <w:vAlign w:val="center"/>
          </w:tcPr>
          <w:p>
            <w:pPr>
              <w:pStyle w:val="12"/>
            </w:pPr>
            <w:r>
              <w:t>补充县城地下水源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2835" w:type="dxa"/>
            <w:vAlign w:val="center"/>
          </w:tcPr>
          <w:p>
            <w:pPr>
              <w:pStyle w:val="12"/>
            </w:pPr>
            <w:r>
              <w:t>改善生态环境质量</w:t>
            </w:r>
          </w:p>
        </w:tc>
        <w:tc>
          <w:tcPr>
            <w:tcW w:w="2551" w:type="dxa"/>
            <w:vAlign w:val="center"/>
          </w:tcPr>
          <w:p>
            <w:pPr>
              <w:pStyle w:val="12"/>
            </w:pPr>
            <w:r>
              <w:t>≥96百分比</w:t>
            </w:r>
          </w:p>
        </w:tc>
        <w:tc>
          <w:tcPr>
            <w:tcW w:w="2268" w:type="dxa"/>
            <w:vAlign w:val="center"/>
          </w:tcPr>
          <w:p>
            <w:pPr>
              <w:pStyle w:val="12"/>
            </w:pPr>
            <w:r>
              <w:t>汇水区域收集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生态效益</w:t>
            </w:r>
          </w:p>
        </w:tc>
        <w:tc>
          <w:tcPr>
            <w:tcW w:w="2835" w:type="dxa"/>
            <w:vAlign w:val="center"/>
          </w:tcPr>
          <w:p>
            <w:pPr>
              <w:pStyle w:val="12"/>
            </w:pPr>
            <w:r>
              <w:t>改善投资环境</w:t>
            </w:r>
          </w:p>
        </w:tc>
        <w:tc>
          <w:tcPr>
            <w:tcW w:w="2551" w:type="dxa"/>
            <w:vAlign w:val="center"/>
          </w:tcPr>
          <w:p>
            <w:pPr>
              <w:pStyle w:val="12"/>
            </w:pPr>
            <w:r>
              <w:t>≥96百分比</w:t>
            </w:r>
          </w:p>
        </w:tc>
        <w:tc>
          <w:tcPr>
            <w:tcW w:w="2268" w:type="dxa"/>
            <w:vAlign w:val="center"/>
          </w:tcPr>
          <w:p>
            <w:pPr>
              <w:pStyle w:val="12"/>
            </w:pPr>
            <w:r>
              <w:t>服务企业发展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根据上级考核指标</w:t>
            </w:r>
          </w:p>
        </w:tc>
        <w:tc>
          <w:tcPr>
            <w:tcW w:w="2835" w:type="dxa"/>
            <w:vAlign w:val="center"/>
          </w:tcPr>
          <w:p>
            <w:pPr>
              <w:pStyle w:val="12"/>
            </w:pPr>
            <w:r>
              <w:t>全年达标排放</w:t>
            </w:r>
          </w:p>
        </w:tc>
        <w:tc>
          <w:tcPr>
            <w:tcW w:w="2551" w:type="dxa"/>
            <w:vAlign w:val="center"/>
          </w:tcPr>
          <w:p>
            <w:pPr>
              <w:pStyle w:val="12"/>
            </w:pPr>
            <w:r>
              <w:t>≥95百分比</w:t>
            </w:r>
          </w:p>
        </w:tc>
        <w:tc>
          <w:tcPr>
            <w:tcW w:w="2268" w:type="dxa"/>
            <w:vAlign w:val="center"/>
          </w:tcPr>
          <w:p>
            <w:pPr>
              <w:pStyle w:val="12"/>
            </w:pPr>
            <w:r>
              <w:t>根据行业标准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11、2022年园区污水处理厂正常运行费用绩效目标表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1.收集城镇污水及园区污水，集中日处理1.3万吨以上，保证污水排放达标，改善我县水环境。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日污水处理量（立方米）</w:t>
            </w:r>
          </w:p>
        </w:tc>
        <w:tc>
          <w:tcPr>
            <w:tcW w:w="2835" w:type="dxa"/>
            <w:vAlign w:val="center"/>
          </w:tcPr>
          <w:p>
            <w:pPr>
              <w:pStyle w:val="12"/>
            </w:pPr>
            <w:r>
              <w:t>日污水处理量（立方米）</w:t>
            </w:r>
          </w:p>
        </w:tc>
        <w:tc>
          <w:tcPr>
            <w:tcW w:w="2551" w:type="dxa"/>
            <w:vAlign w:val="center"/>
          </w:tcPr>
          <w:p>
            <w:pPr>
              <w:pStyle w:val="12"/>
            </w:pPr>
            <w:r>
              <w:t>≥1.3万吨</w:t>
            </w:r>
          </w:p>
        </w:tc>
        <w:tc>
          <w:tcPr>
            <w:tcW w:w="2268" w:type="dxa"/>
            <w:vAlign w:val="center"/>
          </w:tcPr>
          <w:p>
            <w:pPr>
              <w:pStyle w:val="12"/>
            </w:pPr>
            <w:r>
              <w:t>根据实际日处理量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污水的水质提升效率</w:t>
            </w:r>
          </w:p>
        </w:tc>
        <w:tc>
          <w:tcPr>
            <w:tcW w:w="2835" w:type="dxa"/>
            <w:vAlign w:val="center"/>
          </w:tcPr>
          <w:p>
            <w:pPr>
              <w:pStyle w:val="12"/>
            </w:pPr>
            <w:r>
              <w:t>污水处理后水质达标率</w:t>
            </w:r>
          </w:p>
        </w:tc>
        <w:tc>
          <w:tcPr>
            <w:tcW w:w="2551" w:type="dxa"/>
            <w:vAlign w:val="center"/>
          </w:tcPr>
          <w:p>
            <w:pPr>
              <w:pStyle w:val="12"/>
            </w:pPr>
            <w:r>
              <w:t>≥50%</w:t>
            </w:r>
          </w:p>
        </w:tc>
        <w:tc>
          <w:tcPr>
            <w:tcW w:w="2268" w:type="dxa"/>
            <w:vAlign w:val="center"/>
          </w:tcPr>
          <w:p>
            <w:pPr>
              <w:pStyle w:val="12"/>
            </w:pPr>
            <w:r>
              <w:t>根据上级相关要求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安全事故报告时限</w:t>
            </w:r>
          </w:p>
        </w:tc>
        <w:tc>
          <w:tcPr>
            <w:tcW w:w="2835" w:type="dxa"/>
            <w:vAlign w:val="center"/>
          </w:tcPr>
          <w:p>
            <w:pPr>
              <w:pStyle w:val="12"/>
            </w:pPr>
            <w:r>
              <w:t>安全事故报告时限</w:t>
            </w:r>
          </w:p>
        </w:tc>
        <w:tc>
          <w:tcPr>
            <w:tcW w:w="2551" w:type="dxa"/>
            <w:vAlign w:val="center"/>
          </w:tcPr>
          <w:p>
            <w:pPr>
              <w:pStyle w:val="12"/>
            </w:pPr>
            <w:r>
              <w:t>≤0.5小时</w:t>
            </w:r>
          </w:p>
        </w:tc>
        <w:tc>
          <w:tcPr>
            <w:tcW w:w="2268" w:type="dxa"/>
            <w:vAlign w:val="center"/>
          </w:tcPr>
          <w:p>
            <w:pPr>
              <w:pStyle w:val="12"/>
            </w:pPr>
            <w:r>
              <w:t>根据实际测算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污水处理单位成本</w:t>
            </w:r>
          </w:p>
        </w:tc>
        <w:tc>
          <w:tcPr>
            <w:tcW w:w="2835" w:type="dxa"/>
            <w:vAlign w:val="center"/>
          </w:tcPr>
          <w:p>
            <w:pPr>
              <w:pStyle w:val="12"/>
            </w:pPr>
            <w:r>
              <w:t>污水处理每吨投资成本</w:t>
            </w:r>
          </w:p>
        </w:tc>
        <w:tc>
          <w:tcPr>
            <w:tcW w:w="2551" w:type="dxa"/>
            <w:vAlign w:val="center"/>
          </w:tcPr>
          <w:p>
            <w:pPr>
              <w:pStyle w:val="12"/>
            </w:pPr>
            <w:r>
              <w:t>≤1.5元</w:t>
            </w:r>
          </w:p>
        </w:tc>
        <w:tc>
          <w:tcPr>
            <w:tcW w:w="2268" w:type="dxa"/>
            <w:vAlign w:val="center"/>
          </w:tcPr>
          <w:p>
            <w:pPr>
              <w:pStyle w:val="12"/>
            </w:pPr>
            <w:r>
              <w:t>污水处理行业标准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生态效益指标</w:t>
            </w:r>
          </w:p>
        </w:tc>
        <w:tc>
          <w:tcPr>
            <w:tcW w:w="2835" w:type="dxa"/>
            <w:vAlign w:val="center"/>
          </w:tcPr>
          <w:p>
            <w:pPr>
              <w:pStyle w:val="12"/>
            </w:pPr>
            <w:r>
              <w:t>改善生态环境质量</w:t>
            </w:r>
          </w:p>
        </w:tc>
        <w:tc>
          <w:tcPr>
            <w:tcW w:w="2551" w:type="dxa"/>
            <w:vAlign w:val="center"/>
          </w:tcPr>
          <w:p>
            <w:pPr>
              <w:pStyle w:val="12"/>
            </w:pPr>
            <w:r>
              <w:t>≥99%</w:t>
            </w:r>
          </w:p>
        </w:tc>
        <w:tc>
          <w:tcPr>
            <w:tcW w:w="2268" w:type="dxa"/>
            <w:vAlign w:val="center"/>
          </w:tcPr>
          <w:p>
            <w:pPr>
              <w:pStyle w:val="12"/>
            </w:pPr>
            <w:r>
              <w:t>提高企业中水回用率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生态效益指标</w:t>
            </w:r>
          </w:p>
        </w:tc>
        <w:tc>
          <w:tcPr>
            <w:tcW w:w="2835" w:type="dxa"/>
            <w:vAlign w:val="center"/>
          </w:tcPr>
          <w:p>
            <w:pPr>
              <w:pStyle w:val="12"/>
            </w:pPr>
            <w:r>
              <w:t>改善生态环境质量</w:t>
            </w:r>
          </w:p>
        </w:tc>
        <w:tc>
          <w:tcPr>
            <w:tcW w:w="2551" w:type="dxa"/>
            <w:vAlign w:val="center"/>
          </w:tcPr>
          <w:p>
            <w:pPr>
              <w:pStyle w:val="12"/>
            </w:pPr>
            <w:r>
              <w:t>≥98%</w:t>
            </w:r>
          </w:p>
        </w:tc>
        <w:tc>
          <w:tcPr>
            <w:tcW w:w="2268" w:type="dxa"/>
            <w:vAlign w:val="center"/>
          </w:tcPr>
          <w:p>
            <w:pPr>
              <w:pStyle w:val="12"/>
            </w:pPr>
            <w:r>
              <w:t>补充县城地下水源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2835" w:type="dxa"/>
            <w:vAlign w:val="center"/>
          </w:tcPr>
          <w:p>
            <w:pPr>
              <w:pStyle w:val="12"/>
            </w:pPr>
            <w:r>
              <w:t>改善生态环境质量</w:t>
            </w:r>
          </w:p>
        </w:tc>
        <w:tc>
          <w:tcPr>
            <w:tcW w:w="2551" w:type="dxa"/>
            <w:vAlign w:val="center"/>
          </w:tcPr>
          <w:p>
            <w:pPr>
              <w:pStyle w:val="12"/>
            </w:pPr>
            <w:r>
              <w:t>≥95%</w:t>
            </w:r>
          </w:p>
        </w:tc>
        <w:tc>
          <w:tcPr>
            <w:tcW w:w="2268" w:type="dxa"/>
            <w:vAlign w:val="center"/>
          </w:tcPr>
          <w:p>
            <w:pPr>
              <w:pStyle w:val="12"/>
            </w:pPr>
            <w:r>
              <w:t>汇水区域收集量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生态效益</w:t>
            </w:r>
          </w:p>
        </w:tc>
        <w:tc>
          <w:tcPr>
            <w:tcW w:w="2835" w:type="dxa"/>
            <w:vAlign w:val="center"/>
          </w:tcPr>
          <w:p>
            <w:pPr>
              <w:pStyle w:val="12"/>
            </w:pPr>
            <w:r>
              <w:t>改善投资环境</w:t>
            </w:r>
          </w:p>
        </w:tc>
        <w:tc>
          <w:tcPr>
            <w:tcW w:w="2551" w:type="dxa"/>
            <w:vAlign w:val="center"/>
          </w:tcPr>
          <w:p>
            <w:pPr>
              <w:pStyle w:val="12"/>
            </w:pPr>
            <w:r>
              <w:t>≥15年</w:t>
            </w:r>
          </w:p>
        </w:tc>
        <w:tc>
          <w:tcPr>
            <w:tcW w:w="2268" w:type="dxa"/>
            <w:vAlign w:val="center"/>
          </w:tcPr>
          <w:p>
            <w:pPr>
              <w:pStyle w:val="12"/>
            </w:pPr>
            <w:r>
              <w:t>服务企业发展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周边满意群众占全部群众的比例</w:t>
            </w:r>
          </w:p>
        </w:tc>
        <w:tc>
          <w:tcPr>
            <w:tcW w:w="2551" w:type="dxa"/>
            <w:vAlign w:val="center"/>
          </w:tcPr>
          <w:p>
            <w:pPr>
              <w:pStyle w:val="12"/>
            </w:pPr>
            <w:r>
              <w:t>≥95%</w:t>
            </w:r>
          </w:p>
        </w:tc>
        <w:tc>
          <w:tcPr>
            <w:tcW w:w="2268" w:type="dxa"/>
            <w:vAlign w:val="center"/>
          </w:tcPr>
          <w:p>
            <w:pPr>
              <w:pStyle w:val="12"/>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12、2022年编制绿色建筑专项规划费绩效目标表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1.进一步明确魏县绿色建筑发展目标，完善相关规划技术指标，促进我县绿色建筑高质量发展。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城镇新建绿色建筑占新建建筑面积</w:t>
            </w:r>
          </w:p>
        </w:tc>
        <w:tc>
          <w:tcPr>
            <w:tcW w:w="2835" w:type="dxa"/>
            <w:vAlign w:val="center"/>
          </w:tcPr>
          <w:p>
            <w:pPr>
              <w:pStyle w:val="12"/>
            </w:pPr>
            <w:r>
              <w:t>城镇新建绿色建筑占新建建筑面积比例</w:t>
            </w:r>
          </w:p>
        </w:tc>
        <w:tc>
          <w:tcPr>
            <w:tcW w:w="2551" w:type="dxa"/>
            <w:vAlign w:val="center"/>
          </w:tcPr>
          <w:p>
            <w:pPr>
              <w:pStyle w:val="12"/>
            </w:pPr>
            <w:r>
              <w:t>≥92%</w:t>
            </w:r>
          </w:p>
        </w:tc>
        <w:tc>
          <w:tcPr>
            <w:tcW w:w="2268" w:type="dxa"/>
            <w:vAlign w:val="center"/>
          </w:tcPr>
          <w:p>
            <w:pPr>
              <w:pStyle w:val="12"/>
            </w:pPr>
            <w:r>
              <w:t>绿色建筑规划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城镇新建建筑中执行节能强制性标</w:t>
            </w:r>
          </w:p>
        </w:tc>
        <w:tc>
          <w:tcPr>
            <w:tcW w:w="2835" w:type="dxa"/>
            <w:vAlign w:val="center"/>
          </w:tcPr>
          <w:p>
            <w:pPr>
              <w:pStyle w:val="12"/>
            </w:pPr>
            <w:r>
              <w:t>城镇新建建筑中执行节能强制性标准比例</w:t>
            </w:r>
          </w:p>
        </w:tc>
        <w:tc>
          <w:tcPr>
            <w:tcW w:w="2551" w:type="dxa"/>
            <w:vAlign w:val="center"/>
          </w:tcPr>
          <w:p>
            <w:pPr>
              <w:pStyle w:val="12"/>
            </w:pPr>
            <w:r>
              <w:t>100%</w:t>
            </w:r>
          </w:p>
        </w:tc>
        <w:tc>
          <w:tcPr>
            <w:tcW w:w="2268" w:type="dxa"/>
            <w:vAlign w:val="center"/>
          </w:tcPr>
          <w:p>
            <w:pPr>
              <w:pStyle w:val="12"/>
            </w:pPr>
            <w:r>
              <w:t>绿色建筑规划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城镇绿色建筑执行率</w:t>
            </w:r>
          </w:p>
        </w:tc>
        <w:tc>
          <w:tcPr>
            <w:tcW w:w="2835" w:type="dxa"/>
            <w:vAlign w:val="center"/>
          </w:tcPr>
          <w:p>
            <w:pPr>
              <w:pStyle w:val="12"/>
            </w:pPr>
            <w:r>
              <w:t>城镇绿色建筑编制完成时间</w:t>
            </w:r>
          </w:p>
        </w:tc>
        <w:tc>
          <w:tcPr>
            <w:tcW w:w="2551" w:type="dxa"/>
            <w:vAlign w:val="center"/>
          </w:tcPr>
          <w:p>
            <w:pPr>
              <w:pStyle w:val="12"/>
            </w:pPr>
            <w:r>
              <w:t>≤30天</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2835" w:type="dxa"/>
            <w:vAlign w:val="center"/>
          </w:tcPr>
          <w:p>
            <w:pPr>
              <w:pStyle w:val="12"/>
            </w:pPr>
            <w:r>
              <w:t>编制成本控制额</w:t>
            </w:r>
          </w:p>
        </w:tc>
        <w:tc>
          <w:tcPr>
            <w:tcW w:w="2551" w:type="dxa"/>
            <w:vAlign w:val="center"/>
          </w:tcPr>
          <w:p>
            <w:pPr>
              <w:pStyle w:val="12"/>
            </w:pPr>
            <w:r>
              <w:t>≤25.6万元</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促进生态文明建设，推动绿色发展</w:t>
            </w:r>
          </w:p>
        </w:tc>
        <w:tc>
          <w:tcPr>
            <w:tcW w:w="2835" w:type="dxa"/>
            <w:vAlign w:val="center"/>
          </w:tcPr>
          <w:p>
            <w:pPr>
              <w:pStyle w:val="12"/>
            </w:pPr>
            <w:r>
              <w:t>促进生态文明建设，推动绿色发展和绿色生活方式</w:t>
            </w:r>
          </w:p>
        </w:tc>
        <w:tc>
          <w:tcPr>
            <w:tcW w:w="2551" w:type="dxa"/>
            <w:vAlign w:val="center"/>
          </w:tcPr>
          <w:p>
            <w:pPr>
              <w:pStyle w:val="12"/>
            </w:pPr>
            <w:r>
              <w:t>达到编制要求</w:t>
            </w:r>
          </w:p>
        </w:tc>
        <w:tc>
          <w:tcPr>
            <w:tcW w:w="2268" w:type="dxa"/>
            <w:vAlign w:val="center"/>
          </w:tcPr>
          <w:p>
            <w:pPr>
              <w:pStyle w:val="12"/>
            </w:pPr>
            <w:r>
              <w:t>绿色建筑规划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绿色品质提升情况</w:t>
            </w:r>
          </w:p>
        </w:tc>
        <w:tc>
          <w:tcPr>
            <w:tcW w:w="2835" w:type="dxa"/>
            <w:vAlign w:val="center"/>
          </w:tcPr>
          <w:p>
            <w:pPr>
              <w:pStyle w:val="12"/>
            </w:pPr>
            <w:r>
              <w:t>绿色品质提升，长期使用性</w:t>
            </w:r>
          </w:p>
        </w:tc>
        <w:tc>
          <w:tcPr>
            <w:tcW w:w="2551" w:type="dxa"/>
            <w:vAlign w:val="center"/>
          </w:tcPr>
          <w:p>
            <w:pPr>
              <w:pStyle w:val="12"/>
            </w:pPr>
            <w:r>
              <w:t>≥5年</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提高效率</w:t>
            </w:r>
          </w:p>
        </w:tc>
        <w:tc>
          <w:tcPr>
            <w:tcW w:w="2835" w:type="dxa"/>
            <w:vAlign w:val="center"/>
          </w:tcPr>
          <w:p>
            <w:pPr>
              <w:pStyle w:val="12"/>
            </w:pPr>
            <w:r>
              <w:t>绿色建筑实施后企业投入降低率</w:t>
            </w:r>
          </w:p>
        </w:tc>
        <w:tc>
          <w:tcPr>
            <w:tcW w:w="2551" w:type="dxa"/>
            <w:vAlign w:val="center"/>
          </w:tcPr>
          <w:p>
            <w:pPr>
              <w:pStyle w:val="12"/>
            </w:pPr>
            <w:r>
              <w:t>≥20%</w:t>
            </w:r>
          </w:p>
        </w:tc>
        <w:tc>
          <w:tcPr>
            <w:tcW w:w="2268" w:type="dxa"/>
            <w:vAlign w:val="center"/>
          </w:tcPr>
          <w:p>
            <w:pPr>
              <w:pStyle w:val="12"/>
            </w:pPr>
            <w:r>
              <w:t>绿色建筑规划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新技术应用率（%）</w:t>
            </w:r>
          </w:p>
        </w:tc>
        <w:tc>
          <w:tcPr>
            <w:tcW w:w="2835" w:type="dxa"/>
            <w:vAlign w:val="center"/>
          </w:tcPr>
          <w:p>
            <w:pPr>
              <w:pStyle w:val="12"/>
            </w:pPr>
            <w:r>
              <w:t>新技术应用率（%）</w:t>
            </w:r>
          </w:p>
        </w:tc>
        <w:tc>
          <w:tcPr>
            <w:tcW w:w="2551" w:type="dxa"/>
            <w:vAlign w:val="center"/>
          </w:tcPr>
          <w:p>
            <w:pPr>
              <w:pStyle w:val="12"/>
            </w:pPr>
            <w:r>
              <w:t>≥80%</w:t>
            </w:r>
          </w:p>
        </w:tc>
        <w:tc>
          <w:tcPr>
            <w:tcW w:w="2268" w:type="dxa"/>
            <w:vAlign w:val="center"/>
          </w:tcPr>
          <w:p>
            <w:pPr>
              <w:pStyle w:val="12"/>
            </w:pPr>
            <w:r>
              <w:t>绿色建筑规划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企业对资金拨付满意度</w:t>
            </w:r>
          </w:p>
        </w:tc>
        <w:tc>
          <w:tcPr>
            <w:tcW w:w="2551" w:type="dxa"/>
            <w:vAlign w:val="center"/>
          </w:tcPr>
          <w:p>
            <w:pPr>
              <w:pStyle w:val="12"/>
            </w:pPr>
            <w:r>
              <w:t>100%</w:t>
            </w:r>
          </w:p>
        </w:tc>
        <w:tc>
          <w:tcPr>
            <w:tcW w:w="2268" w:type="dxa"/>
            <w:vAlign w:val="center"/>
          </w:tcPr>
          <w:p>
            <w:pPr>
              <w:pStyle w:val="12"/>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13、2022年城市管理专项经费绩效目标表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1.县城城管综合业务服务覆盖面积7平方公里，服务人口约20万，市容环境、城市规划、悬挂广告牌匾、管理临时占道经营等。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城市社区综合服务设施覆盖率</w:t>
            </w:r>
          </w:p>
        </w:tc>
        <w:tc>
          <w:tcPr>
            <w:tcW w:w="2835" w:type="dxa"/>
            <w:vAlign w:val="center"/>
          </w:tcPr>
          <w:p>
            <w:pPr>
              <w:pStyle w:val="12"/>
            </w:pPr>
            <w:r>
              <w:t>县城城管综合业务服务覆盖面积</w:t>
            </w:r>
          </w:p>
        </w:tc>
        <w:tc>
          <w:tcPr>
            <w:tcW w:w="2551" w:type="dxa"/>
            <w:vAlign w:val="center"/>
          </w:tcPr>
          <w:p>
            <w:pPr>
              <w:pStyle w:val="12"/>
            </w:pPr>
            <w:r>
              <w:t>≥7平方公里</w:t>
            </w:r>
          </w:p>
        </w:tc>
        <w:tc>
          <w:tcPr>
            <w:tcW w:w="2268" w:type="dxa"/>
            <w:vAlign w:val="center"/>
          </w:tcPr>
          <w:p>
            <w:pPr>
              <w:pStyle w:val="12"/>
            </w:pPr>
            <w:r>
              <w:t>根据县城服务覆盖情况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综合事务管理工作完成率</w:t>
            </w:r>
          </w:p>
        </w:tc>
        <w:tc>
          <w:tcPr>
            <w:tcW w:w="2835" w:type="dxa"/>
            <w:vAlign w:val="center"/>
          </w:tcPr>
          <w:p>
            <w:pPr>
              <w:pStyle w:val="12"/>
            </w:pPr>
            <w:r>
              <w:t>综合事务管理工作完成率</w:t>
            </w:r>
          </w:p>
        </w:tc>
        <w:tc>
          <w:tcPr>
            <w:tcW w:w="2551" w:type="dxa"/>
            <w:vAlign w:val="center"/>
          </w:tcPr>
          <w:p>
            <w:pPr>
              <w:pStyle w:val="12"/>
            </w:pPr>
            <w:r>
              <w:t>≥95%</w:t>
            </w:r>
          </w:p>
        </w:tc>
        <w:tc>
          <w:tcPr>
            <w:tcW w:w="2268" w:type="dxa"/>
            <w:vAlign w:val="center"/>
          </w:tcPr>
          <w:p>
            <w:pPr>
              <w:pStyle w:val="12"/>
            </w:pPr>
            <w:r>
              <w:t>县城综合管理事务完成情况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执法监察完成时间</w:t>
            </w:r>
          </w:p>
        </w:tc>
        <w:tc>
          <w:tcPr>
            <w:tcW w:w="2835" w:type="dxa"/>
            <w:vAlign w:val="center"/>
          </w:tcPr>
          <w:p>
            <w:pPr>
              <w:pStyle w:val="12"/>
            </w:pPr>
            <w:r>
              <w:t>执法监察完成时间</w:t>
            </w:r>
          </w:p>
        </w:tc>
        <w:tc>
          <w:tcPr>
            <w:tcW w:w="2551" w:type="dxa"/>
            <w:vAlign w:val="center"/>
          </w:tcPr>
          <w:p>
            <w:pPr>
              <w:pStyle w:val="12"/>
            </w:pPr>
            <w:r>
              <w:t>每天按时完成执法任务</w:t>
            </w:r>
          </w:p>
        </w:tc>
        <w:tc>
          <w:tcPr>
            <w:tcW w:w="2268" w:type="dxa"/>
            <w:vAlign w:val="center"/>
          </w:tcPr>
          <w:p>
            <w:pPr>
              <w:pStyle w:val="12"/>
            </w:pPr>
            <w:r>
              <w:t>根据完成情况确定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管理经费资金数</w:t>
            </w:r>
          </w:p>
        </w:tc>
        <w:tc>
          <w:tcPr>
            <w:tcW w:w="2835" w:type="dxa"/>
            <w:vAlign w:val="center"/>
          </w:tcPr>
          <w:p>
            <w:pPr>
              <w:pStyle w:val="12"/>
            </w:pPr>
            <w:r>
              <w:t>管理经费资金数</w:t>
            </w:r>
          </w:p>
        </w:tc>
        <w:tc>
          <w:tcPr>
            <w:tcW w:w="2551" w:type="dxa"/>
            <w:vAlign w:val="center"/>
          </w:tcPr>
          <w:p>
            <w:pPr>
              <w:pStyle w:val="12"/>
            </w:pPr>
            <w:r>
              <w:t>≤200万元</w:t>
            </w:r>
          </w:p>
        </w:tc>
        <w:tc>
          <w:tcPr>
            <w:tcW w:w="2268" w:type="dxa"/>
            <w:vAlign w:val="center"/>
          </w:tcPr>
          <w:p>
            <w:pPr>
              <w:pStyle w:val="12"/>
            </w:pPr>
            <w:r>
              <w:t>根据实际事项确定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对单位规范管理工作推动效果</w:t>
            </w:r>
          </w:p>
        </w:tc>
        <w:tc>
          <w:tcPr>
            <w:tcW w:w="2835" w:type="dxa"/>
            <w:vAlign w:val="center"/>
          </w:tcPr>
          <w:p>
            <w:pPr>
              <w:pStyle w:val="12"/>
            </w:pPr>
            <w:r>
              <w:t>对单位规范管理工作推动效果</w:t>
            </w:r>
          </w:p>
        </w:tc>
        <w:tc>
          <w:tcPr>
            <w:tcW w:w="2551" w:type="dxa"/>
            <w:vAlign w:val="center"/>
          </w:tcPr>
          <w:p>
            <w:pPr>
              <w:pStyle w:val="12"/>
            </w:pPr>
            <w:r>
              <w:t>规范管理县城秩序</w:t>
            </w:r>
          </w:p>
        </w:tc>
        <w:tc>
          <w:tcPr>
            <w:tcW w:w="2268" w:type="dxa"/>
            <w:vAlign w:val="center"/>
          </w:tcPr>
          <w:p>
            <w:pPr>
              <w:pStyle w:val="12"/>
            </w:pPr>
            <w:r>
              <w:t>根据单位业务科室学习情况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完善道路交通管理秩序</w:t>
            </w:r>
          </w:p>
        </w:tc>
        <w:tc>
          <w:tcPr>
            <w:tcW w:w="2835" w:type="dxa"/>
            <w:vAlign w:val="center"/>
          </w:tcPr>
          <w:p>
            <w:pPr>
              <w:pStyle w:val="12"/>
            </w:pPr>
            <w:r>
              <w:t>完善道路交通管理秩序</w:t>
            </w:r>
          </w:p>
        </w:tc>
        <w:tc>
          <w:tcPr>
            <w:tcW w:w="2551" w:type="dxa"/>
            <w:vAlign w:val="center"/>
          </w:tcPr>
          <w:p>
            <w:pPr>
              <w:pStyle w:val="12"/>
            </w:pPr>
            <w:r>
              <w:t>县城道路通畅有序</w:t>
            </w:r>
          </w:p>
        </w:tc>
        <w:tc>
          <w:tcPr>
            <w:tcW w:w="2268" w:type="dxa"/>
            <w:vAlign w:val="center"/>
          </w:tcPr>
          <w:p>
            <w:pPr>
              <w:pStyle w:val="12"/>
            </w:pPr>
            <w:r>
              <w:t>根据道路通畅情况确定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交通秩序管理群众满意度</w:t>
            </w:r>
          </w:p>
        </w:tc>
        <w:tc>
          <w:tcPr>
            <w:tcW w:w="2835" w:type="dxa"/>
            <w:vAlign w:val="center"/>
          </w:tcPr>
          <w:p>
            <w:pPr>
              <w:pStyle w:val="12"/>
            </w:pPr>
            <w:r>
              <w:t>通过抽查问卷的方式，调查部分群众对交通秩序管理的满意度</w:t>
            </w:r>
          </w:p>
        </w:tc>
        <w:tc>
          <w:tcPr>
            <w:tcW w:w="2551" w:type="dxa"/>
            <w:vAlign w:val="center"/>
          </w:tcPr>
          <w:p>
            <w:pPr>
              <w:pStyle w:val="12"/>
            </w:pPr>
            <w:r>
              <w:t>≥96%</w:t>
            </w:r>
          </w:p>
        </w:tc>
        <w:tc>
          <w:tcPr>
            <w:tcW w:w="2268" w:type="dxa"/>
            <w:vAlign w:val="center"/>
          </w:tcPr>
          <w:p>
            <w:pPr>
              <w:pStyle w:val="12"/>
            </w:pPr>
            <w:r>
              <w:t>根据问卷调查结果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14、2022年公厕运行费绩效目标表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1.对县城内46座星级公厕进行专人维护管理，满足群众日常出行需求，提升县城整体品位。</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维护星级公厕数量</w:t>
            </w:r>
          </w:p>
        </w:tc>
        <w:tc>
          <w:tcPr>
            <w:tcW w:w="2835" w:type="dxa"/>
            <w:vAlign w:val="center"/>
          </w:tcPr>
          <w:p>
            <w:pPr>
              <w:pStyle w:val="12"/>
            </w:pPr>
            <w:r>
              <w:t>需要维护的星级公厕数量</w:t>
            </w:r>
          </w:p>
        </w:tc>
        <w:tc>
          <w:tcPr>
            <w:tcW w:w="2551" w:type="dxa"/>
            <w:vAlign w:val="center"/>
          </w:tcPr>
          <w:p>
            <w:pPr>
              <w:pStyle w:val="12"/>
            </w:pPr>
            <w:r>
              <w:t>46座</w:t>
            </w:r>
          </w:p>
        </w:tc>
        <w:tc>
          <w:tcPr>
            <w:tcW w:w="2268" w:type="dxa"/>
            <w:vAlign w:val="center"/>
          </w:tcPr>
          <w:p>
            <w:pPr>
              <w:pStyle w:val="12"/>
            </w:pPr>
            <w:r>
              <w:t>星级公厕评比标准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星级公厕优先评优率</w:t>
            </w:r>
          </w:p>
        </w:tc>
        <w:tc>
          <w:tcPr>
            <w:tcW w:w="2835" w:type="dxa"/>
            <w:vAlign w:val="center"/>
          </w:tcPr>
          <w:p>
            <w:pPr>
              <w:pStyle w:val="12"/>
            </w:pPr>
            <w:r>
              <w:t>星级公厕优先评优率</w:t>
            </w:r>
          </w:p>
        </w:tc>
        <w:tc>
          <w:tcPr>
            <w:tcW w:w="2551" w:type="dxa"/>
            <w:vAlign w:val="center"/>
          </w:tcPr>
          <w:p>
            <w:pPr>
              <w:pStyle w:val="12"/>
            </w:pPr>
            <w:r>
              <w:t>≥95%</w:t>
            </w:r>
          </w:p>
        </w:tc>
        <w:tc>
          <w:tcPr>
            <w:tcW w:w="2268" w:type="dxa"/>
            <w:vAlign w:val="center"/>
          </w:tcPr>
          <w:p>
            <w:pPr>
              <w:pStyle w:val="12"/>
            </w:pPr>
            <w:r>
              <w:t>星级公厕评比标准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公厕运行维护经费拨付时限</w:t>
            </w:r>
          </w:p>
        </w:tc>
        <w:tc>
          <w:tcPr>
            <w:tcW w:w="2835" w:type="dxa"/>
            <w:vAlign w:val="center"/>
          </w:tcPr>
          <w:p>
            <w:pPr>
              <w:pStyle w:val="12"/>
            </w:pPr>
            <w:r>
              <w:t>公厕运行维护经费拨付时限</w:t>
            </w:r>
          </w:p>
        </w:tc>
        <w:tc>
          <w:tcPr>
            <w:tcW w:w="2551" w:type="dxa"/>
            <w:vAlign w:val="center"/>
          </w:tcPr>
          <w:p>
            <w:pPr>
              <w:pStyle w:val="12"/>
            </w:pPr>
            <w:r>
              <w:t>12月底前</w:t>
            </w:r>
          </w:p>
        </w:tc>
        <w:tc>
          <w:tcPr>
            <w:tcW w:w="2268" w:type="dxa"/>
            <w:vAlign w:val="center"/>
          </w:tcPr>
          <w:p>
            <w:pPr>
              <w:pStyle w:val="12"/>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年维护运行总成本</w:t>
            </w:r>
          </w:p>
        </w:tc>
        <w:tc>
          <w:tcPr>
            <w:tcW w:w="2835" w:type="dxa"/>
            <w:vAlign w:val="center"/>
          </w:tcPr>
          <w:p>
            <w:pPr>
              <w:pStyle w:val="12"/>
            </w:pPr>
            <w:r>
              <w:t>成本控制率(%)</w:t>
            </w:r>
          </w:p>
        </w:tc>
        <w:tc>
          <w:tcPr>
            <w:tcW w:w="2551" w:type="dxa"/>
            <w:vAlign w:val="center"/>
          </w:tcPr>
          <w:p>
            <w:pPr>
              <w:pStyle w:val="12"/>
            </w:pPr>
            <w:r>
              <w:t>≤511万元</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新增就业人数</w:t>
            </w:r>
          </w:p>
        </w:tc>
        <w:tc>
          <w:tcPr>
            <w:tcW w:w="2835" w:type="dxa"/>
            <w:vAlign w:val="center"/>
          </w:tcPr>
          <w:p>
            <w:pPr>
              <w:pStyle w:val="12"/>
            </w:pPr>
            <w:r>
              <w:t>安置无业人员再就业，保障社会稳定</w:t>
            </w:r>
          </w:p>
        </w:tc>
        <w:tc>
          <w:tcPr>
            <w:tcW w:w="2551" w:type="dxa"/>
            <w:vAlign w:val="center"/>
          </w:tcPr>
          <w:p>
            <w:pPr>
              <w:pStyle w:val="12"/>
            </w:pPr>
            <w:r>
              <w:t>≥80人</w:t>
            </w:r>
          </w:p>
        </w:tc>
        <w:tc>
          <w:tcPr>
            <w:tcW w:w="2268" w:type="dxa"/>
            <w:vAlign w:val="center"/>
          </w:tcPr>
          <w:p>
            <w:pPr>
              <w:pStyle w:val="12"/>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促进生态文明建设，推动绿色发展</w:t>
            </w:r>
          </w:p>
        </w:tc>
        <w:tc>
          <w:tcPr>
            <w:tcW w:w="2835" w:type="dxa"/>
            <w:vAlign w:val="center"/>
          </w:tcPr>
          <w:p>
            <w:pPr>
              <w:pStyle w:val="12"/>
            </w:pPr>
            <w:r>
              <w:t>促进生态文明建设，推动绿色发展和绿色生活方式</w:t>
            </w:r>
          </w:p>
        </w:tc>
        <w:tc>
          <w:tcPr>
            <w:tcW w:w="2551" w:type="dxa"/>
            <w:vAlign w:val="center"/>
          </w:tcPr>
          <w:p>
            <w:pPr>
              <w:pStyle w:val="12"/>
            </w:pPr>
            <w:r>
              <w:t>提升居民整体素质</w:t>
            </w:r>
          </w:p>
        </w:tc>
        <w:tc>
          <w:tcPr>
            <w:tcW w:w="2268" w:type="dxa"/>
            <w:vAlign w:val="center"/>
          </w:tcPr>
          <w:p>
            <w:pPr>
              <w:pStyle w:val="12"/>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品牌效应持续性</w:t>
            </w:r>
          </w:p>
        </w:tc>
        <w:tc>
          <w:tcPr>
            <w:tcW w:w="2835" w:type="dxa"/>
            <w:vAlign w:val="center"/>
          </w:tcPr>
          <w:p>
            <w:pPr>
              <w:pStyle w:val="12"/>
            </w:pPr>
            <w:r>
              <w:t>魏县公厕品牌形象，提升社会影响度</w:t>
            </w:r>
          </w:p>
        </w:tc>
        <w:tc>
          <w:tcPr>
            <w:tcW w:w="2551" w:type="dxa"/>
            <w:vAlign w:val="center"/>
          </w:tcPr>
          <w:p>
            <w:pPr>
              <w:pStyle w:val="12"/>
            </w:pPr>
            <w:r>
              <w:t>调查满意人员占调查人员的比例</w:t>
            </w:r>
          </w:p>
        </w:tc>
        <w:tc>
          <w:tcPr>
            <w:tcW w:w="2268" w:type="dxa"/>
            <w:vAlign w:val="center"/>
          </w:tcPr>
          <w:p>
            <w:pPr>
              <w:pStyle w:val="12"/>
            </w:pPr>
            <w:r>
              <w:t>星级公厕评比标准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调查满意人员占调查人员的比例</w:t>
            </w:r>
          </w:p>
        </w:tc>
        <w:tc>
          <w:tcPr>
            <w:tcW w:w="2551" w:type="dxa"/>
            <w:vAlign w:val="center"/>
          </w:tcPr>
          <w:p>
            <w:pPr>
              <w:pStyle w:val="12"/>
            </w:pPr>
            <w:r>
              <w:t>≥95%</w:t>
            </w:r>
          </w:p>
        </w:tc>
        <w:tc>
          <w:tcPr>
            <w:tcW w:w="2268" w:type="dxa"/>
            <w:vAlign w:val="center"/>
          </w:tcPr>
          <w:p>
            <w:pPr>
              <w:pStyle w:val="12"/>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15、2022年公共租赁住房支出绩效目标表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1.维护县城公共租赁住房，维修廉租房等费用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公共租赁住房维修户数</w:t>
            </w:r>
          </w:p>
        </w:tc>
        <w:tc>
          <w:tcPr>
            <w:tcW w:w="2835" w:type="dxa"/>
            <w:vAlign w:val="center"/>
          </w:tcPr>
          <w:p>
            <w:pPr>
              <w:pStyle w:val="12"/>
            </w:pPr>
            <w:r>
              <w:t>公共租赁住房维修户数</w:t>
            </w:r>
          </w:p>
        </w:tc>
        <w:tc>
          <w:tcPr>
            <w:tcW w:w="2551" w:type="dxa"/>
            <w:vAlign w:val="center"/>
          </w:tcPr>
          <w:p>
            <w:pPr>
              <w:pStyle w:val="12"/>
            </w:pPr>
            <w:r>
              <w:t>≥25套</w:t>
            </w:r>
          </w:p>
        </w:tc>
        <w:tc>
          <w:tcPr>
            <w:tcW w:w="2268" w:type="dxa"/>
            <w:vAlign w:val="center"/>
          </w:tcPr>
          <w:p>
            <w:pPr>
              <w:pStyle w:val="12"/>
            </w:pPr>
            <w:r>
              <w:t>设计标准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竣工验收通过国家合格标准</w:t>
            </w:r>
          </w:p>
        </w:tc>
        <w:tc>
          <w:tcPr>
            <w:tcW w:w="2551" w:type="dxa"/>
            <w:vAlign w:val="center"/>
          </w:tcPr>
          <w:p>
            <w:pPr>
              <w:pStyle w:val="12"/>
            </w:pPr>
            <w:r>
              <w:t>≥95%</w:t>
            </w:r>
          </w:p>
        </w:tc>
        <w:tc>
          <w:tcPr>
            <w:tcW w:w="2268" w:type="dxa"/>
            <w:vAlign w:val="center"/>
          </w:tcPr>
          <w:p>
            <w:pPr>
              <w:pStyle w:val="12"/>
            </w:pPr>
            <w:r>
              <w:t>国家标准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资金拨付时效</w:t>
            </w:r>
          </w:p>
        </w:tc>
        <w:tc>
          <w:tcPr>
            <w:tcW w:w="2835" w:type="dxa"/>
            <w:vAlign w:val="center"/>
          </w:tcPr>
          <w:p>
            <w:pPr>
              <w:pStyle w:val="12"/>
            </w:pPr>
            <w:r>
              <w:t>收到财政拨款到拨付企业时间差</w:t>
            </w:r>
          </w:p>
        </w:tc>
        <w:tc>
          <w:tcPr>
            <w:tcW w:w="2551" w:type="dxa"/>
            <w:vAlign w:val="center"/>
          </w:tcPr>
          <w:p>
            <w:pPr>
              <w:pStyle w:val="12"/>
            </w:pPr>
            <w:r>
              <w:t>≤10工作日</w:t>
            </w:r>
          </w:p>
        </w:tc>
        <w:tc>
          <w:tcPr>
            <w:tcW w:w="2268" w:type="dxa"/>
            <w:vAlign w:val="center"/>
          </w:tcPr>
          <w:p>
            <w:pPr>
              <w:pStyle w:val="12"/>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实际投入成本</w:t>
            </w:r>
          </w:p>
        </w:tc>
        <w:tc>
          <w:tcPr>
            <w:tcW w:w="2835" w:type="dxa"/>
            <w:vAlign w:val="center"/>
          </w:tcPr>
          <w:p>
            <w:pPr>
              <w:pStyle w:val="12"/>
            </w:pPr>
            <w:r>
              <w:t>实际投入成本低于预算额的比例</w:t>
            </w:r>
          </w:p>
        </w:tc>
        <w:tc>
          <w:tcPr>
            <w:tcW w:w="2551" w:type="dxa"/>
            <w:vAlign w:val="center"/>
          </w:tcPr>
          <w:p>
            <w:pPr>
              <w:pStyle w:val="12"/>
            </w:pPr>
            <w:r>
              <w:t>≤15%</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节约政府资金投入率</w:t>
            </w:r>
          </w:p>
        </w:tc>
        <w:tc>
          <w:tcPr>
            <w:tcW w:w="2835" w:type="dxa"/>
            <w:vAlign w:val="center"/>
          </w:tcPr>
          <w:p>
            <w:pPr>
              <w:pStyle w:val="12"/>
            </w:pPr>
            <w:r>
              <w:t>集中建设节约财政投入比例</w:t>
            </w:r>
          </w:p>
        </w:tc>
        <w:tc>
          <w:tcPr>
            <w:tcW w:w="2551" w:type="dxa"/>
            <w:vAlign w:val="center"/>
          </w:tcPr>
          <w:p>
            <w:pPr>
              <w:pStyle w:val="12"/>
            </w:pPr>
            <w:r>
              <w:t>≥15%</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保障低收入居民入住率</w:t>
            </w:r>
          </w:p>
        </w:tc>
        <w:tc>
          <w:tcPr>
            <w:tcW w:w="2835" w:type="dxa"/>
            <w:vAlign w:val="center"/>
          </w:tcPr>
          <w:p>
            <w:pPr>
              <w:pStyle w:val="12"/>
            </w:pPr>
            <w:r>
              <w:t>保障我县符合居住人群入住率</w:t>
            </w:r>
          </w:p>
        </w:tc>
        <w:tc>
          <w:tcPr>
            <w:tcW w:w="2551" w:type="dxa"/>
            <w:vAlign w:val="center"/>
          </w:tcPr>
          <w:p>
            <w:pPr>
              <w:pStyle w:val="12"/>
            </w:pPr>
            <w:r>
              <w:t>≥70%</w:t>
            </w:r>
          </w:p>
        </w:tc>
        <w:tc>
          <w:tcPr>
            <w:tcW w:w="2268" w:type="dxa"/>
            <w:vAlign w:val="center"/>
          </w:tcPr>
          <w:p>
            <w:pPr>
              <w:pStyle w:val="12"/>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2835" w:type="dxa"/>
            <w:vAlign w:val="center"/>
          </w:tcPr>
          <w:p>
            <w:pPr>
              <w:pStyle w:val="12"/>
            </w:pPr>
            <w:r>
              <w:t>中标企业对资金拨付的满意度</w:t>
            </w:r>
          </w:p>
        </w:tc>
        <w:tc>
          <w:tcPr>
            <w:tcW w:w="2551" w:type="dxa"/>
            <w:vAlign w:val="center"/>
          </w:tcPr>
          <w:p>
            <w:pPr>
              <w:pStyle w:val="12"/>
            </w:pPr>
            <w:r>
              <w:t>≥95%</w:t>
            </w:r>
          </w:p>
        </w:tc>
        <w:tc>
          <w:tcPr>
            <w:tcW w:w="2268" w:type="dxa"/>
            <w:vAlign w:val="center"/>
          </w:tcPr>
          <w:p>
            <w:pPr>
              <w:pStyle w:val="12"/>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16、2022年路灯电费绩效目标表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1.保障县城3100余杆路灯正常运行，为县城居民夜间出行提供保障。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保障用电路灯数量</w:t>
            </w:r>
          </w:p>
        </w:tc>
        <w:tc>
          <w:tcPr>
            <w:tcW w:w="2835" w:type="dxa"/>
            <w:vAlign w:val="center"/>
          </w:tcPr>
          <w:p>
            <w:pPr>
              <w:pStyle w:val="12"/>
            </w:pPr>
            <w:r>
              <w:t>正常照明路灯数量</w:t>
            </w:r>
          </w:p>
        </w:tc>
        <w:tc>
          <w:tcPr>
            <w:tcW w:w="2551" w:type="dxa"/>
            <w:vAlign w:val="center"/>
          </w:tcPr>
          <w:p>
            <w:pPr>
              <w:pStyle w:val="12"/>
            </w:pPr>
            <w:r>
              <w:t>≥3100杆</w:t>
            </w:r>
          </w:p>
        </w:tc>
        <w:tc>
          <w:tcPr>
            <w:tcW w:w="2268" w:type="dxa"/>
            <w:vAlign w:val="center"/>
          </w:tcPr>
          <w:p>
            <w:pPr>
              <w:pStyle w:val="12"/>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设施正常使用率</w:t>
            </w:r>
          </w:p>
        </w:tc>
        <w:tc>
          <w:tcPr>
            <w:tcW w:w="2835" w:type="dxa"/>
            <w:vAlign w:val="center"/>
          </w:tcPr>
          <w:p>
            <w:pPr>
              <w:pStyle w:val="12"/>
            </w:pPr>
            <w:r>
              <w:t>设施维护保证正常使用率</w:t>
            </w:r>
          </w:p>
        </w:tc>
        <w:tc>
          <w:tcPr>
            <w:tcW w:w="2551" w:type="dxa"/>
            <w:vAlign w:val="center"/>
          </w:tcPr>
          <w:p>
            <w:pPr>
              <w:pStyle w:val="12"/>
            </w:pPr>
            <w:r>
              <w:t>≥95%</w:t>
            </w:r>
          </w:p>
        </w:tc>
        <w:tc>
          <w:tcPr>
            <w:tcW w:w="2268" w:type="dxa"/>
            <w:vAlign w:val="center"/>
          </w:tcPr>
          <w:p>
            <w:pPr>
              <w:pStyle w:val="12"/>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设备维修及时率</w:t>
            </w:r>
          </w:p>
        </w:tc>
        <w:tc>
          <w:tcPr>
            <w:tcW w:w="2835" w:type="dxa"/>
            <w:vAlign w:val="center"/>
          </w:tcPr>
          <w:p>
            <w:pPr>
              <w:pStyle w:val="12"/>
            </w:pPr>
            <w:r>
              <w:t>设备故障维修时效</w:t>
            </w:r>
          </w:p>
        </w:tc>
        <w:tc>
          <w:tcPr>
            <w:tcW w:w="2551" w:type="dxa"/>
            <w:vAlign w:val="center"/>
          </w:tcPr>
          <w:p>
            <w:pPr>
              <w:pStyle w:val="12"/>
            </w:pPr>
            <w:r>
              <w:t>≤24小时</w:t>
            </w:r>
          </w:p>
        </w:tc>
        <w:tc>
          <w:tcPr>
            <w:tcW w:w="2268" w:type="dxa"/>
            <w:vAlign w:val="center"/>
          </w:tcPr>
          <w:p>
            <w:pPr>
              <w:pStyle w:val="12"/>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路灯用电总成本</w:t>
            </w:r>
          </w:p>
        </w:tc>
        <w:tc>
          <w:tcPr>
            <w:tcW w:w="2835" w:type="dxa"/>
            <w:vAlign w:val="center"/>
          </w:tcPr>
          <w:p>
            <w:pPr>
              <w:pStyle w:val="12"/>
            </w:pPr>
            <w:r>
              <w:t>路灯用电总成本控制额</w:t>
            </w:r>
          </w:p>
        </w:tc>
        <w:tc>
          <w:tcPr>
            <w:tcW w:w="2551" w:type="dxa"/>
            <w:vAlign w:val="center"/>
          </w:tcPr>
          <w:p>
            <w:pPr>
              <w:pStyle w:val="12"/>
            </w:pPr>
            <w:r>
              <w:t>≤500万元</w:t>
            </w:r>
          </w:p>
        </w:tc>
        <w:tc>
          <w:tcPr>
            <w:tcW w:w="2268" w:type="dxa"/>
            <w:vAlign w:val="center"/>
          </w:tcPr>
          <w:p>
            <w:pPr>
              <w:pStyle w:val="12"/>
            </w:pPr>
            <w:r>
              <w:t>根据以往年度测算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拉动经济提升率</w:t>
            </w:r>
          </w:p>
        </w:tc>
        <w:tc>
          <w:tcPr>
            <w:tcW w:w="2835" w:type="dxa"/>
            <w:vAlign w:val="center"/>
          </w:tcPr>
          <w:p>
            <w:pPr>
              <w:pStyle w:val="12"/>
            </w:pPr>
            <w:r>
              <w:t>延长商户营业时间，提高经济指标额</w:t>
            </w:r>
          </w:p>
        </w:tc>
        <w:tc>
          <w:tcPr>
            <w:tcW w:w="2551" w:type="dxa"/>
            <w:vAlign w:val="center"/>
          </w:tcPr>
          <w:p>
            <w:pPr>
              <w:pStyle w:val="12"/>
            </w:pPr>
            <w:r>
              <w:t>≥20%</w:t>
            </w:r>
          </w:p>
        </w:tc>
        <w:tc>
          <w:tcPr>
            <w:tcW w:w="2268" w:type="dxa"/>
            <w:vAlign w:val="center"/>
          </w:tcPr>
          <w:p>
            <w:pPr>
              <w:pStyle w:val="12"/>
            </w:pPr>
            <w:r>
              <w:t>根据统计数据测算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交通事故下降率（%）</w:t>
            </w:r>
          </w:p>
        </w:tc>
        <w:tc>
          <w:tcPr>
            <w:tcW w:w="2835" w:type="dxa"/>
            <w:vAlign w:val="center"/>
          </w:tcPr>
          <w:p>
            <w:pPr>
              <w:pStyle w:val="12"/>
            </w:pPr>
            <w:r>
              <w:t>交通事故下降率（%）</w:t>
            </w:r>
          </w:p>
        </w:tc>
        <w:tc>
          <w:tcPr>
            <w:tcW w:w="2551" w:type="dxa"/>
            <w:vAlign w:val="center"/>
          </w:tcPr>
          <w:p>
            <w:pPr>
              <w:pStyle w:val="12"/>
            </w:pPr>
            <w:r>
              <w:t>≥30%</w:t>
            </w:r>
          </w:p>
        </w:tc>
        <w:tc>
          <w:tcPr>
            <w:tcW w:w="2268" w:type="dxa"/>
            <w:vAlign w:val="center"/>
          </w:tcPr>
          <w:p>
            <w:pPr>
              <w:pStyle w:val="12"/>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基础设施完好率（%）</w:t>
            </w:r>
          </w:p>
          <w:p>
            <w:pPr>
              <w:pStyle w:val="12"/>
            </w:pPr>
          </w:p>
          <w:p>
            <w:pPr>
              <w:pStyle w:val="12"/>
            </w:pPr>
          </w:p>
        </w:tc>
        <w:tc>
          <w:tcPr>
            <w:tcW w:w="2835" w:type="dxa"/>
            <w:vAlign w:val="center"/>
          </w:tcPr>
          <w:p>
            <w:pPr>
              <w:pStyle w:val="12"/>
            </w:pPr>
            <w:r>
              <w:t>设备完好数量市场价值总额占设备总数量市场价值总额的比率</w:t>
            </w:r>
          </w:p>
        </w:tc>
        <w:tc>
          <w:tcPr>
            <w:tcW w:w="2551" w:type="dxa"/>
            <w:vAlign w:val="center"/>
          </w:tcPr>
          <w:p>
            <w:pPr>
              <w:pStyle w:val="12"/>
            </w:pPr>
            <w:r>
              <w:t>≥95%</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满意群众占全部群众的比例</w:t>
            </w:r>
          </w:p>
        </w:tc>
        <w:tc>
          <w:tcPr>
            <w:tcW w:w="2551" w:type="dxa"/>
            <w:vAlign w:val="center"/>
          </w:tcPr>
          <w:p>
            <w:pPr>
              <w:pStyle w:val="12"/>
            </w:pPr>
            <w:r>
              <w:t>≥95%</w:t>
            </w:r>
          </w:p>
        </w:tc>
        <w:tc>
          <w:tcPr>
            <w:tcW w:w="2268" w:type="dxa"/>
            <w:vAlign w:val="center"/>
          </w:tcPr>
          <w:p>
            <w:pPr>
              <w:pStyle w:val="12"/>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17、2022年马庄棚户区改造项目贷款本金及利息绩效目标表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1.马庄棚户区改造项目贷款本金及利息</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归还贷款利息、贷款</w:t>
            </w:r>
          </w:p>
        </w:tc>
        <w:tc>
          <w:tcPr>
            <w:tcW w:w="2835" w:type="dxa"/>
            <w:vAlign w:val="center"/>
          </w:tcPr>
          <w:p>
            <w:pPr>
              <w:pStyle w:val="12"/>
            </w:pPr>
            <w:r>
              <w:t>归还贷款本金及利息</w:t>
            </w:r>
          </w:p>
        </w:tc>
        <w:tc>
          <w:tcPr>
            <w:tcW w:w="2551" w:type="dxa"/>
            <w:vAlign w:val="center"/>
          </w:tcPr>
          <w:p>
            <w:pPr>
              <w:pStyle w:val="12"/>
            </w:pPr>
            <w:r>
              <w:t>1360万元</w:t>
            </w:r>
          </w:p>
        </w:tc>
        <w:tc>
          <w:tcPr>
            <w:tcW w:w="2268" w:type="dxa"/>
            <w:vAlign w:val="center"/>
          </w:tcPr>
          <w:p>
            <w:pPr>
              <w:pStyle w:val="12"/>
            </w:pPr>
            <w:r>
              <w:t>农发行贷款协议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归还贷款利息、贷款完成率</w:t>
            </w:r>
          </w:p>
        </w:tc>
        <w:tc>
          <w:tcPr>
            <w:tcW w:w="2835" w:type="dxa"/>
            <w:vAlign w:val="center"/>
          </w:tcPr>
          <w:p>
            <w:pPr>
              <w:pStyle w:val="12"/>
            </w:pPr>
            <w:r>
              <w:t>归还贷款利息、贷款完成率</w:t>
            </w:r>
          </w:p>
        </w:tc>
        <w:tc>
          <w:tcPr>
            <w:tcW w:w="2551" w:type="dxa"/>
            <w:vAlign w:val="center"/>
          </w:tcPr>
          <w:p>
            <w:pPr>
              <w:pStyle w:val="12"/>
            </w:pPr>
            <w:r>
              <w:t>≥99%</w:t>
            </w:r>
          </w:p>
        </w:tc>
        <w:tc>
          <w:tcPr>
            <w:tcW w:w="2268" w:type="dxa"/>
            <w:vAlign w:val="center"/>
          </w:tcPr>
          <w:p>
            <w:pPr>
              <w:pStyle w:val="12"/>
            </w:pPr>
            <w:r>
              <w:t>及时还款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偿还贷款本息预算数</w:t>
            </w:r>
          </w:p>
        </w:tc>
        <w:tc>
          <w:tcPr>
            <w:tcW w:w="2835" w:type="dxa"/>
            <w:vAlign w:val="center"/>
          </w:tcPr>
          <w:p>
            <w:pPr>
              <w:pStyle w:val="12"/>
            </w:pPr>
            <w:r>
              <w:t>偿还贷款本息预算数</w:t>
            </w:r>
          </w:p>
        </w:tc>
        <w:tc>
          <w:tcPr>
            <w:tcW w:w="2551" w:type="dxa"/>
            <w:vAlign w:val="center"/>
          </w:tcPr>
          <w:p>
            <w:pPr>
              <w:pStyle w:val="12"/>
            </w:pPr>
            <w:r>
              <w:t>≤1360万元</w:t>
            </w:r>
          </w:p>
        </w:tc>
        <w:tc>
          <w:tcPr>
            <w:tcW w:w="2268" w:type="dxa"/>
            <w:vAlign w:val="center"/>
          </w:tcPr>
          <w:p>
            <w:pPr>
              <w:pStyle w:val="12"/>
            </w:pPr>
            <w:r>
              <w:t>及时还款不产生滞纳金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归还贷款利息、贷款及时率</w:t>
            </w:r>
          </w:p>
        </w:tc>
        <w:tc>
          <w:tcPr>
            <w:tcW w:w="2835" w:type="dxa"/>
            <w:vAlign w:val="center"/>
          </w:tcPr>
          <w:p>
            <w:pPr>
              <w:pStyle w:val="12"/>
            </w:pPr>
            <w:r>
              <w:t>归还贷款利息、贷款及时率</w:t>
            </w:r>
          </w:p>
        </w:tc>
        <w:tc>
          <w:tcPr>
            <w:tcW w:w="2551" w:type="dxa"/>
            <w:vAlign w:val="center"/>
          </w:tcPr>
          <w:p>
            <w:pPr>
              <w:pStyle w:val="12"/>
            </w:pPr>
            <w:r>
              <w:t>≥98%</w:t>
            </w:r>
          </w:p>
        </w:tc>
        <w:tc>
          <w:tcPr>
            <w:tcW w:w="2268" w:type="dxa"/>
            <w:vAlign w:val="center"/>
          </w:tcPr>
          <w:p>
            <w:pPr>
              <w:pStyle w:val="12"/>
            </w:pPr>
            <w:r>
              <w:t>根据还款协议及时还款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为企业节约经营成本金额</w:t>
            </w:r>
          </w:p>
        </w:tc>
        <w:tc>
          <w:tcPr>
            <w:tcW w:w="2835" w:type="dxa"/>
            <w:vAlign w:val="center"/>
          </w:tcPr>
          <w:p>
            <w:pPr>
              <w:pStyle w:val="12"/>
            </w:pPr>
            <w:r>
              <w:t>为企业节约经营成本金额</w:t>
            </w:r>
          </w:p>
        </w:tc>
        <w:tc>
          <w:tcPr>
            <w:tcW w:w="2551" w:type="dxa"/>
            <w:vAlign w:val="center"/>
          </w:tcPr>
          <w:p>
            <w:pPr>
              <w:pStyle w:val="12"/>
            </w:pPr>
            <w:r>
              <w:t>及时还款节约企业经营成本</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贷款违约率</w:t>
            </w:r>
          </w:p>
        </w:tc>
        <w:tc>
          <w:tcPr>
            <w:tcW w:w="2835" w:type="dxa"/>
            <w:vAlign w:val="center"/>
          </w:tcPr>
          <w:p>
            <w:pPr>
              <w:pStyle w:val="12"/>
            </w:pPr>
            <w:r>
              <w:t xml:space="preserve">到期偿还贷款情况，出现违约资金的比率 </w:t>
            </w:r>
          </w:p>
        </w:tc>
        <w:tc>
          <w:tcPr>
            <w:tcW w:w="2551" w:type="dxa"/>
            <w:vAlign w:val="center"/>
          </w:tcPr>
          <w:p>
            <w:pPr>
              <w:pStyle w:val="12"/>
            </w:pPr>
            <w:r>
              <w:t>≤10%</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满意群众占全部群众的比例</w:t>
            </w:r>
          </w:p>
        </w:tc>
        <w:tc>
          <w:tcPr>
            <w:tcW w:w="2551" w:type="dxa"/>
            <w:vAlign w:val="center"/>
          </w:tcPr>
          <w:p>
            <w:pPr>
              <w:pStyle w:val="12"/>
            </w:pPr>
            <w:r>
              <w:t>≥95%</w:t>
            </w:r>
          </w:p>
        </w:tc>
        <w:tc>
          <w:tcPr>
            <w:tcW w:w="2268" w:type="dxa"/>
            <w:vAlign w:val="center"/>
          </w:tcPr>
          <w:p>
            <w:pPr>
              <w:pStyle w:val="12"/>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18、2022年农民工工资应急资金绩效目标表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1.保证金账户不低于500万元应急金，在县城农民工工资形成拖欠时，应急发放农民工工资，保障农民工合法权益不受侵害。</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保证金账户结存额</w:t>
            </w:r>
          </w:p>
        </w:tc>
        <w:tc>
          <w:tcPr>
            <w:tcW w:w="2835" w:type="dxa"/>
            <w:vAlign w:val="center"/>
          </w:tcPr>
          <w:p>
            <w:pPr>
              <w:pStyle w:val="12"/>
            </w:pPr>
            <w:r>
              <w:t>保证金账户结存额</w:t>
            </w:r>
          </w:p>
        </w:tc>
        <w:tc>
          <w:tcPr>
            <w:tcW w:w="2551" w:type="dxa"/>
            <w:vAlign w:val="center"/>
          </w:tcPr>
          <w:p>
            <w:pPr>
              <w:pStyle w:val="12"/>
            </w:pPr>
            <w:r>
              <w:t>≥500万元</w:t>
            </w:r>
          </w:p>
        </w:tc>
        <w:tc>
          <w:tcPr>
            <w:tcW w:w="2268"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群体性事件成功处置率（%）</w:t>
            </w:r>
          </w:p>
        </w:tc>
        <w:tc>
          <w:tcPr>
            <w:tcW w:w="2835" w:type="dxa"/>
            <w:vAlign w:val="center"/>
          </w:tcPr>
          <w:p>
            <w:pPr>
              <w:pStyle w:val="12"/>
            </w:pPr>
            <w:r>
              <w:t>群体性事件成功处置率（%）</w:t>
            </w:r>
          </w:p>
        </w:tc>
        <w:tc>
          <w:tcPr>
            <w:tcW w:w="2551" w:type="dxa"/>
            <w:vAlign w:val="center"/>
          </w:tcPr>
          <w:p>
            <w:pPr>
              <w:pStyle w:val="12"/>
            </w:pPr>
            <w:r>
              <w:t>≥95%</w:t>
            </w:r>
          </w:p>
        </w:tc>
        <w:tc>
          <w:tcPr>
            <w:tcW w:w="2268" w:type="dxa"/>
            <w:vAlign w:val="center"/>
          </w:tcPr>
          <w:p>
            <w:pPr>
              <w:pStyle w:val="12"/>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欠薪事件处置时效</w:t>
            </w:r>
          </w:p>
        </w:tc>
        <w:tc>
          <w:tcPr>
            <w:tcW w:w="2835" w:type="dxa"/>
            <w:vAlign w:val="center"/>
          </w:tcPr>
          <w:p>
            <w:pPr>
              <w:pStyle w:val="12"/>
            </w:pPr>
            <w:r>
              <w:t>欠薪事件处置时长</w:t>
            </w:r>
          </w:p>
        </w:tc>
        <w:tc>
          <w:tcPr>
            <w:tcW w:w="2551" w:type="dxa"/>
            <w:vAlign w:val="center"/>
          </w:tcPr>
          <w:p>
            <w:pPr>
              <w:pStyle w:val="12"/>
            </w:pPr>
            <w:r>
              <w:t>≤15工作日</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应急周转金额控制</w:t>
            </w:r>
          </w:p>
        </w:tc>
        <w:tc>
          <w:tcPr>
            <w:tcW w:w="2835" w:type="dxa"/>
            <w:vAlign w:val="center"/>
          </w:tcPr>
          <w:p>
            <w:pPr>
              <w:pStyle w:val="12"/>
            </w:pPr>
            <w:r>
              <w:t>应急周转金额最低控制</w:t>
            </w:r>
          </w:p>
        </w:tc>
        <w:tc>
          <w:tcPr>
            <w:tcW w:w="2551" w:type="dxa"/>
            <w:vAlign w:val="center"/>
          </w:tcPr>
          <w:p>
            <w:pPr>
              <w:pStyle w:val="12"/>
            </w:pPr>
            <w:r>
              <w:t>500万元</w:t>
            </w:r>
          </w:p>
        </w:tc>
        <w:tc>
          <w:tcPr>
            <w:tcW w:w="2268"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资金发挥的效益</w:t>
            </w:r>
          </w:p>
        </w:tc>
        <w:tc>
          <w:tcPr>
            <w:tcW w:w="2835" w:type="dxa"/>
            <w:vAlign w:val="center"/>
          </w:tcPr>
          <w:p>
            <w:pPr>
              <w:pStyle w:val="12"/>
            </w:pPr>
            <w:r>
              <w:t>实际解决农民工工资，减少农民工经济损失</w:t>
            </w:r>
          </w:p>
        </w:tc>
        <w:tc>
          <w:tcPr>
            <w:tcW w:w="2551" w:type="dxa"/>
            <w:vAlign w:val="center"/>
          </w:tcPr>
          <w:p>
            <w:pPr>
              <w:pStyle w:val="12"/>
            </w:pPr>
            <w:r>
              <w:t>≥95%</w:t>
            </w:r>
          </w:p>
        </w:tc>
        <w:tc>
          <w:tcPr>
            <w:tcW w:w="2268"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群众投诉下降率（%）</w:t>
            </w:r>
          </w:p>
        </w:tc>
        <w:tc>
          <w:tcPr>
            <w:tcW w:w="2835" w:type="dxa"/>
            <w:vAlign w:val="center"/>
          </w:tcPr>
          <w:p>
            <w:pPr>
              <w:pStyle w:val="12"/>
            </w:pPr>
            <w:r>
              <w:t>群众投诉率下降，提升社会稳定</w:t>
            </w:r>
          </w:p>
        </w:tc>
        <w:tc>
          <w:tcPr>
            <w:tcW w:w="2551" w:type="dxa"/>
            <w:vAlign w:val="center"/>
          </w:tcPr>
          <w:p>
            <w:pPr>
              <w:pStyle w:val="12"/>
            </w:pPr>
            <w:r>
              <w:t>≥20%</w:t>
            </w:r>
          </w:p>
        </w:tc>
        <w:tc>
          <w:tcPr>
            <w:tcW w:w="2268" w:type="dxa"/>
            <w:vAlign w:val="center"/>
          </w:tcPr>
          <w:p>
            <w:pPr>
              <w:pStyle w:val="12"/>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农民工满意度</w:t>
            </w:r>
          </w:p>
        </w:tc>
        <w:tc>
          <w:tcPr>
            <w:tcW w:w="2835" w:type="dxa"/>
            <w:vAlign w:val="center"/>
          </w:tcPr>
          <w:p>
            <w:pPr>
              <w:pStyle w:val="12"/>
            </w:pPr>
            <w:r>
              <w:t>满意农民工占全部受理农名工的比例</w:t>
            </w:r>
          </w:p>
        </w:tc>
        <w:tc>
          <w:tcPr>
            <w:tcW w:w="2551" w:type="dxa"/>
            <w:vAlign w:val="center"/>
          </w:tcPr>
          <w:p>
            <w:pPr>
              <w:pStyle w:val="12"/>
            </w:pPr>
            <w:r>
              <w:t>≥95%</w:t>
            </w:r>
          </w:p>
        </w:tc>
        <w:tc>
          <w:tcPr>
            <w:tcW w:w="2268" w:type="dxa"/>
            <w:vAlign w:val="center"/>
          </w:tcPr>
          <w:p>
            <w:pPr>
              <w:pStyle w:val="12"/>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19、2022年生活垃圾焚烧发电费绩效目标表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1.年处理垃圾40000吨以上，合理环保处理生活垃圾，改善生活垃圾对环境的污染，对生活垃圾处理后资源再利用。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垃圾焚烧数量指标</w:t>
            </w:r>
          </w:p>
        </w:tc>
        <w:tc>
          <w:tcPr>
            <w:tcW w:w="2835" w:type="dxa"/>
            <w:vAlign w:val="center"/>
          </w:tcPr>
          <w:p>
            <w:pPr>
              <w:pStyle w:val="12"/>
            </w:pPr>
            <w:r>
              <w:t>垃圾焚烧实际处理量</w:t>
            </w:r>
          </w:p>
        </w:tc>
        <w:tc>
          <w:tcPr>
            <w:tcW w:w="2551" w:type="dxa"/>
            <w:vAlign w:val="center"/>
          </w:tcPr>
          <w:p>
            <w:pPr>
              <w:pStyle w:val="12"/>
            </w:pPr>
            <w:r>
              <w:t>≥40000吨</w:t>
            </w:r>
          </w:p>
        </w:tc>
        <w:tc>
          <w:tcPr>
            <w:tcW w:w="2268"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垃圾焚烧处理后达标率</w:t>
            </w:r>
          </w:p>
        </w:tc>
        <w:tc>
          <w:tcPr>
            <w:tcW w:w="2835" w:type="dxa"/>
            <w:vAlign w:val="center"/>
          </w:tcPr>
          <w:p>
            <w:pPr>
              <w:pStyle w:val="12"/>
            </w:pPr>
            <w:r>
              <w:t>垃圾焚烧处理后达标率</w:t>
            </w:r>
          </w:p>
        </w:tc>
        <w:tc>
          <w:tcPr>
            <w:tcW w:w="2551" w:type="dxa"/>
            <w:vAlign w:val="center"/>
          </w:tcPr>
          <w:p>
            <w:pPr>
              <w:pStyle w:val="12"/>
            </w:pPr>
            <w:r>
              <w:t>≥95%</w:t>
            </w:r>
          </w:p>
        </w:tc>
        <w:tc>
          <w:tcPr>
            <w:tcW w:w="2268" w:type="dxa"/>
            <w:vAlign w:val="center"/>
          </w:tcPr>
          <w:p>
            <w:pPr>
              <w:pStyle w:val="12"/>
            </w:pPr>
            <w:r>
              <w:t>国家标准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资金拨付时效</w:t>
            </w:r>
          </w:p>
        </w:tc>
        <w:tc>
          <w:tcPr>
            <w:tcW w:w="2835" w:type="dxa"/>
            <w:vAlign w:val="center"/>
          </w:tcPr>
          <w:p>
            <w:pPr>
              <w:pStyle w:val="12"/>
            </w:pPr>
            <w:r>
              <w:t>收到财政资金到拨付企业时差</w:t>
            </w:r>
          </w:p>
        </w:tc>
        <w:tc>
          <w:tcPr>
            <w:tcW w:w="2551" w:type="dxa"/>
            <w:vAlign w:val="center"/>
          </w:tcPr>
          <w:p>
            <w:pPr>
              <w:pStyle w:val="12"/>
            </w:pPr>
            <w:r>
              <w:t>≤10工作日</w:t>
            </w:r>
          </w:p>
        </w:tc>
        <w:tc>
          <w:tcPr>
            <w:tcW w:w="2268" w:type="dxa"/>
            <w:vAlign w:val="center"/>
          </w:tcPr>
          <w:p>
            <w:pPr>
              <w:pStyle w:val="12"/>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财政补贴成本差价指标</w:t>
            </w:r>
          </w:p>
        </w:tc>
        <w:tc>
          <w:tcPr>
            <w:tcW w:w="2835" w:type="dxa"/>
            <w:vAlign w:val="center"/>
          </w:tcPr>
          <w:p>
            <w:pPr>
              <w:pStyle w:val="12"/>
            </w:pPr>
            <w:r>
              <w:t>财政补贴比财政投入建设节约率</w:t>
            </w:r>
          </w:p>
        </w:tc>
        <w:tc>
          <w:tcPr>
            <w:tcW w:w="2551" w:type="dxa"/>
            <w:vAlign w:val="center"/>
          </w:tcPr>
          <w:p>
            <w:pPr>
              <w:pStyle w:val="12"/>
            </w:pPr>
            <w:r>
              <w:t>≥30%</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反映生活垃圾分类实施效果</w:t>
            </w:r>
          </w:p>
        </w:tc>
        <w:tc>
          <w:tcPr>
            <w:tcW w:w="2835" w:type="dxa"/>
            <w:vAlign w:val="center"/>
          </w:tcPr>
          <w:p>
            <w:pPr>
              <w:pStyle w:val="12"/>
            </w:pPr>
            <w:r>
              <w:t>反映生活垃圾分类实施效果成效提升率</w:t>
            </w:r>
          </w:p>
        </w:tc>
        <w:tc>
          <w:tcPr>
            <w:tcW w:w="2551" w:type="dxa"/>
            <w:vAlign w:val="center"/>
          </w:tcPr>
          <w:p>
            <w:pPr>
              <w:pStyle w:val="12"/>
            </w:pPr>
            <w:r>
              <w:t>≥20%</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城市生活垃圾处理</w:t>
            </w:r>
          </w:p>
        </w:tc>
        <w:tc>
          <w:tcPr>
            <w:tcW w:w="2835" w:type="dxa"/>
            <w:vAlign w:val="center"/>
          </w:tcPr>
          <w:p>
            <w:pPr>
              <w:pStyle w:val="12"/>
            </w:pPr>
            <w:r>
              <w:t>垃圾集中处理，提升社会形象度</w:t>
            </w:r>
          </w:p>
        </w:tc>
        <w:tc>
          <w:tcPr>
            <w:tcW w:w="2551" w:type="dxa"/>
            <w:vAlign w:val="center"/>
          </w:tcPr>
          <w:p>
            <w:pPr>
              <w:pStyle w:val="12"/>
            </w:pPr>
            <w:r>
              <w:t>≥10%</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生态环境质量改善</w:t>
            </w:r>
          </w:p>
        </w:tc>
        <w:tc>
          <w:tcPr>
            <w:tcW w:w="2835" w:type="dxa"/>
            <w:vAlign w:val="center"/>
          </w:tcPr>
          <w:p>
            <w:pPr>
              <w:pStyle w:val="12"/>
            </w:pPr>
            <w:r>
              <w:t>生态环境质量改善，居民幸福指数提高</w:t>
            </w:r>
          </w:p>
        </w:tc>
        <w:tc>
          <w:tcPr>
            <w:tcW w:w="2551" w:type="dxa"/>
            <w:vAlign w:val="center"/>
          </w:tcPr>
          <w:p>
            <w:pPr>
              <w:pStyle w:val="12"/>
            </w:pPr>
            <w:r>
              <w:t>≥15%</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项目持续发挥作用期限</w:t>
            </w:r>
          </w:p>
        </w:tc>
        <w:tc>
          <w:tcPr>
            <w:tcW w:w="2835" w:type="dxa"/>
            <w:vAlign w:val="center"/>
          </w:tcPr>
          <w:p>
            <w:pPr>
              <w:pStyle w:val="12"/>
            </w:pPr>
            <w:r>
              <w:t>项目持续发挥作用期限</w:t>
            </w:r>
          </w:p>
        </w:tc>
        <w:tc>
          <w:tcPr>
            <w:tcW w:w="2551" w:type="dxa"/>
            <w:vAlign w:val="center"/>
          </w:tcPr>
          <w:p>
            <w:pPr>
              <w:pStyle w:val="12"/>
            </w:pPr>
            <w:r>
              <w:t>≥15年</w:t>
            </w:r>
          </w:p>
        </w:tc>
        <w:tc>
          <w:tcPr>
            <w:tcW w:w="2268" w:type="dxa"/>
            <w:vAlign w:val="center"/>
          </w:tcPr>
          <w:p>
            <w:pPr>
              <w:pStyle w:val="12"/>
            </w:pPr>
            <w:r>
              <w:t>设计标准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2835" w:type="dxa"/>
            <w:vAlign w:val="center"/>
          </w:tcPr>
          <w:p>
            <w:pPr>
              <w:pStyle w:val="12"/>
            </w:pPr>
            <w:r>
              <w:t>企业对资金拨付满意度</w:t>
            </w:r>
          </w:p>
        </w:tc>
        <w:tc>
          <w:tcPr>
            <w:tcW w:w="2551" w:type="dxa"/>
            <w:vAlign w:val="center"/>
          </w:tcPr>
          <w:p>
            <w:pPr>
              <w:pStyle w:val="12"/>
            </w:pPr>
            <w:r>
              <w:t>≥95%</w:t>
            </w:r>
          </w:p>
        </w:tc>
        <w:tc>
          <w:tcPr>
            <w:tcW w:w="2268" w:type="dxa"/>
            <w:vAlign w:val="center"/>
          </w:tcPr>
          <w:p>
            <w:pPr>
              <w:pStyle w:val="12"/>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20、2022年污水处理厂城东污水设施配套管网绩效目标表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1.污水处理厂城东污水设施配套管网农发行本金利息还款307.9万元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归还贷款利息、贷款</w:t>
            </w:r>
          </w:p>
        </w:tc>
        <w:tc>
          <w:tcPr>
            <w:tcW w:w="2835" w:type="dxa"/>
            <w:vAlign w:val="center"/>
          </w:tcPr>
          <w:p>
            <w:pPr>
              <w:pStyle w:val="12"/>
            </w:pPr>
            <w:r>
              <w:t>归还贷款本金及利息</w:t>
            </w:r>
          </w:p>
        </w:tc>
        <w:tc>
          <w:tcPr>
            <w:tcW w:w="2551" w:type="dxa"/>
            <w:vAlign w:val="center"/>
          </w:tcPr>
          <w:p>
            <w:pPr>
              <w:pStyle w:val="12"/>
            </w:pPr>
            <w:r>
              <w:t>307.9万元</w:t>
            </w:r>
          </w:p>
        </w:tc>
        <w:tc>
          <w:tcPr>
            <w:tcW w:w="2268" w:type="dxa"/>
            <w:vAlign w:val="center"/>
          </w:tcPr>
          <w:p>
            <w:pPr>
              <w:pStyle w:val="12"/>
            </w:pPr>
            <w:r>
              <w:t>农发行贷款协议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归还贷款利息、贷款完成率</w:t>
            </w:r>
          </w:p>
        </w:tc>
        <w:tc>
          <w:tcPr>
            <w:tcW w:w="2835" w:type="dxa"/>
            <w:vAlign w:val="center"/>
          </w:tcPr>
          <w:p>
            <w:pPr>
              <w:pStyle w:val="12"/>
            </w:pPr>
            <w:r>
              <w:t>归还贷款利息、贷款完成率</w:t>
            </w:r>
          </w:p>
        </w:tc>
        <w:tc>
          <w:tcPr>
            <w:tcW w:w="2551" w:type="dxa"/>
            <w:vAlign w:val="center"/>
          </w:tcPr>
          <w:p>
            <w:pPr>
              <w:pStyle w:val="12"/>
            </w:pPr>
            <w:r>
              <w:t>≥99%</w:t>
            </w:r>
          </w:p>
        </w:tc>
        <w:tc>
          <w:tcPr>
            <w:tcW w:w="2268" w:type="dxa"/>
            <w:vAlign w:val="center"/>
          </w:tcPr>
          <w:p>
            <w:pPr>
              <w:pStyle w:val="12"/>
            </w:pPr>
            <w:r>
              <w:t>及时还款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偿还贷款本息预算数</w:t>
            </w:r>
          </w:p>
        </w:tc>
        <w:tc>
          <w:tcPr>
            <w:tcW w:w="2835" w:type="dxa"/>
            <w:vAlign w:val="center"/>
          </w:tcPr>
          <w:p>
            <w:pPr>
              <w:pStyle w:val="12"/>
            </w:pPr>
            <w:r>
              <w:t>偿还贷款本息预算数</w:t>
            </w:r>
          </w:p>
        </w:tc>
        <w:tc>
          <w:tcPr>
            <w:tcW w:w="2551" w:type="dxa"/>
            <w:vAlign w:val="center"/>
          </w:tcPr>
          <w:p>
            <w:pPr>
              <w:pStyle w:val="12"/>
            </w:pPr>
            <w:r>
              <w:t>≤307.9万元</w:t>
            </w:r>
          </w:p>
        </w:tc>
        <w:tc>
          <w:tcPr>
            <w:tcW w:w="2268" w:type="dxa"/>
            <w:vAlign w:val="center"/>
          </w:tcPr>
          <w:p>
            <w:pPr>
              <w:pStyle w:val="12"/>
            </w:pPr>
            <w:r>
              <w:t>及时还款不产生滞纳金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归还贷款利息、贷款及时率</w:t>
            </w:r>
          </w:p>
        </w:tc>
        <w:tc>
          <w:tcPr>
            <w:tcW w:w="2835" w:type="dxa"/>
            <w:vAlign w:val="center"/>
          </w:tcPr>
          <w:p>
            <w:pPr>
              <w:pStyle w:val="12"/>
            </w:pPr>
            <w:r>
              <w:t>归还贷款利息、贷款及时率</w:t>
            </w:r>
          </w:p>
        </w:tc>
        <w:tc>
          <w:tcPr>
            <w:tcW w:w="2551" w:type="dxa"/>
            <w:vAlign w:val="center"/>
          </w:tcPr>
          <w:p>
            <w:pPr>
              <w:pStyle w:val="12"/>
            </w:pPr>
            <w:r>
              <w:t>≥98%</w:t>
            </w:r>
          </w:p>
        </w:tc>
        <w:tc>
          <w:tcPr>
            <w:tcW w:w="2268" w:type="dxa"/>
            <w:vAlign w:val="center"/>
          </w:tcPr>
          <w:p>
            <w:pPr>
              <w:pStyle w:val="12"/>
            </w:pPr>
            <w:r>
              <w:t>根据还款协议及时还款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为企业节约经营成本金额</w:t>
            </w:r>
          </w:p>
        </w:tc>
        <w:tc>
          <w:tcPr>
            <w:tcW w:w="2835" w:type="dxa"/>
            <w:vAlign w:val="center"/>
          </w:tcPr>
          <w:p>
            <w:pPr>
              <w:pStyle w:val="12"/>
            </w:pPr>
            <w:r>
              <w:t>为企业节约经营成本金额</w:t>
            </w:r>
          </w:p>
        </w:tc>
        <w:tc>
          <w:tcPr>
            <w:tcW w:w="2551" w:type="dxa"/>
            <w:vAlign w:val="center"/>
          </w:tcPr>
          <w:p>
            <w:pPr>
              <w:pStyle w:val="12"/>
            </w:pPr>
            <w:r>
              <w:t>及时还款节约企业经营成本</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贷款违约率</w:t>
            </w:r>
          </w:p>
        </w:tc>
        <w:tc>
          <w:tcPr>
            <w:tcW w:w="2835" w:type="dxa"/>
            <w:vAlign w:val="center"/>
          </w:tcPr>
          <w:p>
            <w:pPr>
              <w:pStyle w:val="12"/>
            </w:pPr>
            <w:r>
              <w:t>到期偿还贷款情况，出现违约资金的比率</w:t>
            </w:r>
          </w:p>
        </w:tc>
        <w:tc>
          <w:tcPr>
            <w:tcW w:w="2551" w:type="dxa"/>
            <w:vAlign w:val="center"/>
          </w:tcPr>
          <w:p>
            <w:pPr>
              <w:pStyle w:val="12"/>
            </w:pPr>
            <w:r>
              <w:t>≤10%</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满意群众占全部群众的比例</w:t>
            </w:r>
          </w:p>
        </w:tc>
        <w:tc>
          <w:tcPr>
            <w:tcW w:w="2551" w:type="dxa"/>
            <w:vAlign w:val="center"/>
          </w:tcPr>
          <w:p>
            <w:pPr>
              <w:pStyle w:val="12"/>
            </w:pPr>
            <w:r>
              <w:t>≥95%</w:t>
            </w:r>
          </w:p>
        </w:tc>
        <w:tc>
          <w:tcPr>
            <w:tcW w:w="2268" w:type="dxa"/>
            <w:vAlign w:val="center"/>
          </w:tcPr>
          <w:p>
            <w:pPr>
              <w:pStyle w:val="12"/>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21、2022年张二庄、回隆、双井污水处理厂运行费绩效目标表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1.保证乡镇污水日收集处理1.1万吨以上，改善乡镇生态环境及水质量标准。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日污水处理量（立方米）</w:t>
            </w:r>
          </w:p>
        </w:tc>
        <w:tc>
          <w:tcPr>
            <w:tcW w:w="2835" w:type="dxa"/>
            <w:vAlign w:val="center"/>
          </w:tcPr>
          <w:p>
            <w:pPr>
              <w:pStyle w:val="12"/>
            </w:pPr>
            <w:r>
              <w:t>日污水处理量（立方米）</w:t>
            </w:r>
          </w:p>
        </w:tc>
        <w:tc>
          <w:tcPr>
            <w:tcW w:w="2551" w:type="dxa"/>
            <w:vAlign w:val="center"/>
          </w:tcPr>
          <w:p>
            <w:pPr>
              <w:pStyle w:val="12"/>
            </w:pPr>
            <w:r>
              <w:t>≥1.1万吨</w:t>
            </w:r>
          </w:p>
        </w:tc>
        <w:tc>
          <w:tcPr>
            <w:tcW w:w="2268" w:type="dxa"/>
            <w:vAlign w:val="center"/>
          </w:tcPr>
          <w:p>
            <w:pPr>
              <w:pStyle w:val="12"/>
            </w:pPr>
            <w:r>
              <w:t>设计标准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污水的水质提升效率</w:t>
            </w:r>
          </w:p>
        </w:tc>
        <w:tc>
          <w:tcPr>
            <w:tcW w:w="2835" w:type="dxa"/>
            <w:vAlign w:val="center"/>
          </w:tcPr>
          <w:p>
            <w:pPr>
              <w:pStyle w:val="12"/>
            </w:pPr>
            <w:r>
              <w:t>污水处理后水质达标率</w:t>
            </w:r>
          </w:p>
        </w:tc>
        <w:tc>
          <w:tcPr>
            <w:tcW w:w="2551" w:type="dxa"/>
            <w:vAlign w:val="center"/>
          </w:tcPr>
          <w:p>
            <w:pPr>
              <w:pStyle w:val="12"/>
            </w:pPr>
            <w:r>
              <w:t>≥50%</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安全事故报告时限</w:t>
            </w:r>
          </w:p>
        </w:tc>
        <w:tc>
          <w:tcPr>
            <w:tcW w:w="2835" w:type="dxa"/>
            <w:vAlign w:val="center"/>
          </w:tcPr>
          <w:p>
            <w:pPr>
              <w:pStyle w:val="12"/>
            </w:pPr>
            <w:r>
              <w:t>安全事故报告时限</w:t>
            </w:r>
          </w:p>
        </w:tc>
        <w:tc>
          <w:tcPr>
            <w:tcW w:w="2551" w:type="dxa"/>
            <w:vAlign w:val="center"/>
          </w:tcPr>
          <w:p>
            <w:pPr>
              <w:pStyle w:val="12"/>
            </w:pPr>
            <w:r>
              <w:t>≤0.5小时</w:t>
            </w:r>
          </w:p>
        </w:tc>
        <w:tc>
          <w:tcPr>
            <w:tcW w:w="2268" w:type="dxa"/>
            <w:vAlign w:val="center"/>
          </w:tcPr>
          <w:p>
            <w:pPr>
              <w:pStyle w:val="12"/>
            </w:pPr>
            <w:r>
              <w:t>根据实际测算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污水处理单位成本</w:t>
            </w:r>
          </w:p>
        </w:tc>
        <w:tc>
          <w:tcPr>
            <w:tcW w:w="2835" w:type="dxa"/>
            <w:vAlign w:val="center"/>
          </w:tcPr>
          <w:p>
            <w:pPr>
              <w:pStyle w:val="12"/>
            </w:pPr>
            <w:r>
              <w:t>污水处理每吨投资成本</w:t>
            </w:r>
          </w:p>
        </w:tc>
        <w:tc>
          <w:tcPr>
            <w:tcW w:w="2551" w:type="dxa"/>
            <w:vAlign w:val="center"/>
          </w:tcPr>
          <w:p>
            <w:pPr>
              <w:pStyle w:val="12"/>
            </w:pPr>
            <w:r>
              <w:t>≤1.5元</w:t>
            </w:r>
          </w:p>
        </w:tc>
        <w:tc>
          <w:tcPr>
            <w:tcW w:w="2268" w:type="dxa"/>
            <w:vAlign w:val="center"/>
          </w:tcPr>
          <w:p>
            <w:pPr>
              <w:pStyle w:val="12"/>
            </w:pPr>
            <w:r>
              <w:t>污水处理行业标准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2835" w:type="dxa"/>
            <w:vAlign w:val="center"/>
          </w:tcPr>
          <w:p>
            <w:pPr>
              <w:pStyle w:val="12"/>
            </w:pPr>
            <w:r>
              <w:t>经济效益指标</w:t>
            </w:r>
          </w:p>
        </w:tc>
        <w:tc>
          <w:tcPr>
            <w:tcW w:w="2551" w:type="dxa"/>
            <w:vAlign w:val="center"/>
          </w:tcPr>
          <w:p>
            <w:pPr>
              <w:pStyle w:val="12"/>
            </w:pPr>
            <w:r>
              <w:t>≥99%</w:t>
            </w:r>
          </w:p>
        </w:tc>
        <w:tc>
          <w:tcPr>
            <w:tcW w:w="2268" w:type="dxa"/>
            <w:vAlign w:val="center"/>
          </w:tcPr>
          <w:p>
            <w:pPr>
              <w:pStyle w:val="12"/>
            </w:pPr>
            <w:r>
              <w:t>提高企业中水回用率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社会效益指标</w:t>
            </w:r>
          </w:p>
        </w:tc>
        <w:tc>
          <w:tcPr>
            <w:tcW w:w="2835" w:type="dxa"/>
            <w:vAlign w:val="center"/>
          </w:tcPr>
          <w:p>
            <w:pPr>
              <w:pStyle w:val="12"/>
            </w:pPr>
            <w:r>
              <w:t>社会效益指标</w:t>
            </w:r>
          </w:p>
        </w:tc>
        <w:tc>
          <w:tcPr>
            <w:tcW w:w="2551" w:type="dxa"/>
            <w:vAlign w:val="center"/>
          </w:tcPr>
          <w:p>
            <w:pPr>
              <w:pStyle w:val="12"/>
            </w:pPr>
            <w:r>
              <w:t>≥98%</w:t>
            </w:r>
          </w:p>
        </w:tc>
        <w:tc>
          <w:tcPr>
            <w:tcW w:w="2268" w:type="dxa"/>
            <w:vAlign w:val="center"/>
          </w:tcPr>
          <w:p>
            <w:pPr>
              <w:pStyle w:val="12"/>
            </w:pPr>
            <w:r>
              <w:t>补充乡镇地下水源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2835" w:type="dxa"/>
            <w:vAlign w:val="center"/>
          </w:tcPr>
          <w:p>
            <w:pPr>
              <w:pStyle w:val="12"/>
            </w:pPr>
            <w:r>
              <w:t>改善生态环境质量</w:t>
            </w:r>
          </w:p>
        </w:tc>
        <w:tc>
          <w:tcPr>
            <w:tcW w:w="2551" w:type="dxa"/>
            <w:vAlign w:val="center"/>
          </w:tcPr>
          <w:p>
            <w:pPr>
              <w:pStyle w:val="12"/>
            </w:pPr>
            <w:r>
              <w:t>≥95%</w:t>
            </w:r>
          </w:p>
        </w:tc>
        <w:tc>
          <w:tcPr>
            <w:tcW w:w="2268" w:type="dxa"/>
            <w:vAlign w:val="center"/>
          </w:tcPr>
          <w:p>
            <w:pPr>
              <w:pStyle w:val="12"/>
            </w:pPr>
            <w:r>
              <w:t>汇水区或收集量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污水处理持续性</w:t>
            </w:r>
          </w:p>
        </w:tc>
        <w:tc>
          <w:tcPr>
            <w:tcW w:w="2835" w:type="dxa"/>
            <w:vAlign w:val="center"/>
          </w:tcPr>
          <w:p>
            <w:pPr>
              <w:pStyle w:val="12"/>
            </w:pPr>
            <w:r>
              <w:t>污水处理运行持续使用性</w:t>
            </w:r>
          </w:p>
        </w:tc>
        <w:tc>
          <w:tcPr>
            <w:tcW w:w="2551" w:type="dxa"/>
            <w:vAlign w:val="center"/>
          </w:tcPr>
          <w:p>
            <w:pPr>
              <w:pStyle w:val="12"/>
            </w:pPr>
            <w:r>
              <w:t>≥15年</w:t>
            </w:r>
          </w:p>
        </w:tc>
        <w:tc>
          <w:tcPr>
            <w:tcW w:w="2268" w:type="dxa"/>
            <w:vAlign w:val="center"/>
          </w:tcPr>
          <w:p>
            <w:pPr>
              <w:pStyle w:val="12"/>
            </w:pPr>
            <w:r>
              <w:t>服务企业发展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周边满意群众占全部群众的比例</w:t>
            </w:r>
          </w:p>
        </w:tc>
        <w:tc>
          <w:tcPr>
            <w:tcW w:w="2551" w:type="dxa"/>
            <w:vAlign w:val="center"/>
          </w:tcPr>
          <w:p>
            <w:pPr>
              <w:pStyle w:val="12"/>
            </w:pPr>
            <w:r>
              <w:t>≥95%</w:t>
            </w:r>
          </w:p>
        </w:tc>
        <w:tc>
          <w:tcPr>
            <w:tcW w:w="2268" w:type="dxa"/>
            <w:vAlign w:val="center"/>
          </w:tcPr>
          <w:p>
            <w:pPr>
              <w:pStyle w:val="12"/>
            </w:pPr>
            <w:r>
              <w:t>政府工作要求</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2022年，魏县住房和城乡建设局本级安排政府采购预算128.24万元。具体内容见下表。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333001魏县住房和城乡建设局本级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128.24</w:t>
            </w:r>
          </w:p>
        </w:tc>
        <w:tc>
          <w:tcPr>
            <w:tcW w:w="964" w:type="dxa"/>
            <w:vAlign w:val="center"/>
          </w:tcPr>
          <w:p>
            <w:pPr>
              <w:pStyle w:val="15"/>
            </w:pPr>
            <w:r>
              <w:t>128.24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魏县住房和城乡建设局本级小计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128.24</w:t>
            </w:r>
          </w:p>
        </w:tc>
        <w:tc>
          <w:tcPr>
            <w:tcW w:w="964" w:type="dxa"/>
            <w:vAlign w:val="center"/>
          </w:tcPr>
          <w:p>
            <w:pPr>
              <w:pStyle w:val="15"/>
            </w:pPr>
            <w:r>
              <w:t>128.24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2022年公用类项目</w:t>
            </w:r>
          </w:p>
        </w:tc>
        <w:tc>
          <w:tcPr>
            <w:tcW w:w="964" w:type="dxa"/>
            <w:vAlign w:val="center"/>
          </w:tcPr>
          <w:p>
            <w:pPr>
              <w:pStyle w:val="11"/>
            </w:pPr>
            <w:r>
              <w:t>67.64</w:t>
            </w:r>
          </w:p>
        </w:tc>
        <w:tc>
          <w:tcPr>
            <w:tcW w:w="1134" w:type="dxa"/>
            <w:vAlign w:val="center"/>
          </w:tcPr>
          <w:p>
            <w:pPr>
              <w:pStyle w:val="12"/>
            </w:pPr>
            <w:r>
              <w:t>多功能一体机</w:t>
            </w:r>
          </w:p>
        </w:tc>
        <w:tc>
          <w:tcPr>
            <w:tcW w:w="1134" w:type="dxa"/>
            <w:vAlign w:val="center"/>
          </w:tcPr>
          <w:p>
            <w:pPr>
              <w:pStyle w:val="12"/>
            </w:pPr>
            <w:r>
              <w:t>A020204</w:t>
            </w:r>
          </w:p>
        </w:tc>
        <w:tc>
          <w:tcPr>
            <w:tcW w:w="709" w:type="dxa"/>
            <w:vAlign w:val="center"/>
          </w:tcPr>
          <w:p>
            <w:pPr>
              <w:pStyle w:val="13"/>
            </w:pPr>
            <w:r>
              <w:t>万元</w:t>
            </w:r>
          </w:p>
        </w:tc>
        <w:tc>
          <w:tcPr>
            <w:tcW w:w="850" w:type="dxa"/>
            <w:vAlign w:val="center"/>
          </w:tcPr>
          <w:p>
            <w:pPr>
              <w:pStyle w:val="11"/>
            </w:pPr>
            <w:r>
              <w:t>20.64</w:t>
            </w:r>
          </w:p>
        </w:tc>
        <w:tc>
          <w:tcPr>
            <w:tcW w:w="850" w:type="dxa"/>
            <w:vAlign w:val="center"/>
          </w:tcPr>
          <w:p>
            <w:pPr>
              <w:pStyle w:val="11"/>
            </w:pPr>
            <w:r>
              <w:t>1.00</w:t>
            </w:r>
          </w:p>
        </w:tc>
        <w:tc>
          <w:tcPr>
            <w:tcW w:w="964" w:type="dxa"/>
            <w:vAlign w:val="center"/>
          </w:tcPr>
          <w:p>
            <w:pPr>
              <w:pStyle w:val="11"/>
            </w:pPr>
            <w:r>
              <w:t>20.64</w:t>
            </w:r>
          </w:p>
        </w:tc>
        <w:tc>
          <w:tcPr>
            <w:tcW w:w="964" w:type="dxa"/>
            <w:vAlign w:val="center"/>
          </w:tcPr>
          <w:p>
            <w:pPr>
              <w:pStyle w:val="11"/>
            </w:pPr>
            <w:r>
              <w:t>20.64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2022年公用类项目</w:t>
            </w:r>
          </w:p>
        </w:tc>
        <w:tc>
          <w:tcPr>
            <w:tcW w:w="964" w:type="dxa"/>
            <w:vAlign w:val="center"/>
          </w:tcPr>
          <w:p>
            <w:pPr>
              <w:pStyle w:val="11"/>
            </w:pPr>
            <w:r>
              <w:t>67.64</w:t>
            </w:r>
          </w:p>
        </w:tc>
        <w:tc>
          <w:tcPr>
            <w:tcW w:w="1134" w:type="dxa"/>
            <w:vAlign w:val="center"/>
          </w:tcPr>
          <w:p>
            <w:pPr>
              <w:pStyle w:val="12"/>
            </w:pPr>
            <w:r>
              <w:t>其他文教用品</w:t>
            </w:r>
          </w:p>
        </w:tc>
        <w:tc>
          <w:tcPr>
            <w:tcW w:w="1134" w:type="dxa"/>
            <w:vAlign w:val="center"/>
          </w:tcPr>
          <w:p>
            <w:pPr>
              <w:pStyle w:val="12"/>
            </w:pPr>
            <w:r>
              <w:t>A090499</w:t>
            </w:r>
          </w:p>
        </w:tc>
        <w:tc>
          <w:tcPr>
            <w:tcW w:w="709" w:type="dxa"/>
            <w:vAlign w:val="center"/>
          </w:tcPr>
          <w:p>
            <w:pPr>
              <w:pStyle w:val="13"/>
            </w:pPr>
            <w:r>
              <w:t>万元</w:t>
            </w:r>
          </w:p>
        </w:tc>
        <w:tc>
          <w:tcPr>
            <w:tcW w:w="850" w:type="dxa"/>
            <w:vAlign w:val="center"/>
          </w:tcPr>
          <w:p>
            <w:pPr>
              <w:pStyle w:val="11"/>
            </w:pPr>
            <w:r>
              <w:t>47</w:t>
            </w:r>
          </w:p>
        </w:tc>
        <w:tc>
          <w:tcPr>
            <w:tcW w:w="850" w:type="dxa"/>
            <w:vAlign w:val="center"/>
          </w:tcPr>
          <w:p>
            <w:pPr>
              <w:pStyle w:val="11"/>
            </w:pPr>
            <w:r>
              <w:t>1.00</w:t>
            </w:r>
          </w:p>
        </w:tc>
        <w:tc>
          <w:tcPr>
            <w:tcW w:w="964" w:type="dxa"/>
            <w:vAlign w:val="center"/>
          </w:tcPr>
          <w:p>
            <w:pPr>
              <w:pStyle w:val="11"/>
            </w:pPr>
            <w:r>
              <w:t>47.00</w:t>
            </w:r>
          </w:p>
        </w:tc>
        <w:tc>
          <w:tcPr>
            <w:tcW w:w="964" w:type="dxa"/>
            <w:vAlign w:val="center"/>
          </w:tcPr>
          <w:p>
            <w:pPr>
              <w:pStyle w:val="11"/>
            </w:pPr>
            <w:r>
              <w:t>47.00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2022年数字化城管平台运行及光纤费</w:t>
            </w:r>
          </w:p>
        </w:tc>
        <w:tc>
          <w:tcPr>
            <w:tcW w:w="964" w:type="dxa"/>
            <w:vAlign w:val="center"/>
          </w:tcPr>
          <w:p>
            <w:pPr>
              <w:pStyle w:val="11"/>
            </w:pPr>
            <w:r>
              <w:t>92.00</w:t>
            </w:r>
          </w:p>
        </w:tc>
        <w:tc>
          <w:tcPr>
            <w:tcW w:w="1134" w:type="dxa"/>
            <w:vAlign w:val="center"/>
          </w:tcPr>
          <w:p>
            <w:pPr>
              <w:pStyle w:val="12"/>
            </w:pPr>
            <w:r>
              <w:t>软件运维服务</w:t>
            </w:r>
          </w:p>
        </w:tc>
        <w:tc>
          <w:tcPr>
            <w:tcW w:w="1134" w:type="dxa"/>
            <w:vAlign w:val="center"/>
          </w:tcPr>
          <w:p>
            <w:pPr>
              <w:pStyle w:val="12"/>
            </w:pPr>
            <w:r>
              <w:t>C020603</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35.00</w:t>
            </w:r>
          </w:p>
        </w:tc>
        <w:tc>
          <w:tcPr>
            <w:tcW w:w="964" w:type="dxa"/>
            <w:vAlign w:val="center"/>
          </w:tcPr>
          <w:p>
            <w:pPr>
              <w:pStyle w:val="11"/>
            </w:pPr>
            <w:r>
              <w:t>35.00</w:t>
            </w:r>
          </w:p>
        </w:tc>
        <w:tc>
          <w:tcPr>
            <w:tcW w:w="964" w:type="dxa"/>
            <w:vAlign w:val="center"/>
          </w:tcPr>
          <w:p>
            <w:pPr>
              <w:pStyle w:val="11"/>
            </w:pPr>
            <w:r>
              <w:t>35.00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2022年编制绿色建筑专项规划费</w:t>
            </w:r>
          </w:p>
        </w:tc>
        <w:tc>
          <w:tcPr>
            <w:tcW w:w="964" w:type="dxa"/>
            <w:vAlign w:val="center"/>
          </w:tcPr>
          <w:p>
            <w:pPr>
              <w:pStyle w:val="11"/>
            </w:pPr>
            <w:r>
              <w:t>25.60</w:t>
            </w:r>
          </w:p>
        </w:tc>
        <w:tc>
          <w:tcPr>
            <w:tcW w:w="1134" w:type="dxa"/>
            <w:vAlign w:val="center"/>
          </w:tcPr>
          <w:p>
            <w:pPr>
              <w:pStyle w:val="12"/>
            </w:pPr>
            <w:r>
              <w:t>设计前咨询服务</w:t>
            </w:r>
          </w:p>
        </w:tc>
        <w:tc>
          <w:tcPr>
            <w:tcW w:w="1134" w:type="dxa"/>
            <w:vAlign w:val="center"/>
          </w:tcPr>
          <w:p>
            <w:pPr>
              <w:pStyle w:val="12"/>
            </w:pPr>
            <w:r>
              <w:t>C1001</w:t>
            </w:r>
          </w:p>
        </w:tc>
        <w:tc>
          <w:tcPr>
            <w:tcW w:w="709" w:type="dxa"/>
            <w:vAlign w:val="center"/>
          </w:tcPr>
          <w:p>
            <w:pPr>
              <w:pStyle w:val="13"/>
            </w:pPr>
            <w:r>
              <w:t>本</w:t>
            </w:r>
          </w:p>
        </w:tc>
        <w:tc>
          <w:tcPr>
            <w:tcW w:w="850" w:type="dxa"/>
            <w:vAlign w:val="center"/>
          </w:tcPr>
          <w:p>
            <w:pPr>
              <w:pStyle w:val="11"/>
            </w:pPr>
            <w:r>
              <w:t>1</w:t>
            </w:r>
          </w:p>
        </w:tc>
        <w:tc>
          <w:tcPr>
            <w:tcW w:w="850" w:type="dxa"/>
            <w:vAlign w:val="center"/>
          </w:tcPr>
          <w:p>
            <w:pPr>
              <w:pStyle w:val="11"/>
            </w:pPr>
            <w:r>
              <w:t>25.60</w:t>
            </w:r>
          </w:p>
        </w:tc>
        <w:tc>
          <w:tcPr>
            <w:tcW w:w="964" w:type="dxa"/>
            <w:vAlign w:val="center"/>
          </w:tcPr>
          <w:p>
            <w:pPr>
              <w:pStyle w:val="11"/>
            </w:pPr>
            <w:r>
              <w:t>25.60</w:t>
            </w:r>
          </w:p>
        </w:tc>
        <w:tc>
          <w:tcPr>
            <w:tcW w:w="964" w:type="dxa"/>
            <w:vAlign w:val="center"/>
          </w:tcPr>
          <w:p>
            <w:pPr>
              <w:pStyle w:val="11"/>
            </w:pPr>
            <w:r>
              <w:t>25.60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25.60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魏县住房和城乡建设局本级上年末固定资产金额为0.00万元（详见下表）。本年度拟购置固定资产总额为0.00万元，已按要求列入政府采购预算，详见政府采购预算表。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333001魏县住房和城乡建设局本级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7846.70</w:t>
            </w: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2800</w:t>
            </w: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9" w:name="_Toc_4_4_0000000020"/>
      <w:r>
        <w:rPr>
          <w:rFonts w:ascii="方正小标宋_GBK" w:hAnsi="方正小标宋_GBK" w:eastAsia="方正小标宋_GBK" w:cs="方正小标宋_GBK"/>
          <w:color w:val="000000"/>
          <w:sz w:val="44"/>
        </w:rPr>
        <w:t>二、魏县住房和城乡建设局（差额）收支预算</w:t>
      </w:r>
      <w:bookmarkEnd w:id="19"/>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333002魏县住房和城乡建设局（差额）</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384.56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363.72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384.56</w:t>
            </w:r>
          </w:p>
        </w:tc>
        <w:tc>
          <w:tcPr>
            <w:tcW w:w="4535" w:type="dxa"/>
            <w:vAlign w:val="center"/>
          </w:tcPr>
          <w:p>
            <w:pPr>
              <w:pStyle w:val="14"/>
            </w:pPr>
            <w:r>
              <w:t>本年支出合计</w:t>
            </w:r>
          </w:p>
        </w:tc>
        <w:tc>
          <w:tcPr>
            <w:tcW w:w="2126" w:type="dxa"/>
            <w:vAlign w:val="center"/>
          </w:tcPr>
          <w:p>
            <w:pPr>
              <w:pStyle w:val="15"/>
            </w:pPr>
            <w:r>
              <w:t>384.56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384.56</w:t>
            </w:r>
          </w:p>
        </w:tc>
        <w:tc>
          <w:tcPr>
            <w:tcW w:w="4535" w:type="dxa"/>
            <w:vAlign w:val="center"/>
          </w:tcPr>
          <w:p>
            <w:pPr>
              <w:pStyle w:val="14"/>
            </w:pPr>
            <w:r>
              <w:t>支出总计</w:t>
            </w:r>
          </w:p>
        </w:tc>
        <w:tc>
          <w:tcPr>
            <w:tcW w:w="2126" w:type="dxa"/>
            <w:vAlign w:val="center"/>
          </w:tcPr>
          <w:p>
            <w:pPr>
              <w:pStyle w:val="15"/>
            </w:pPr>
            <w:r>
              <w:t>384.56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333002魏县住房和城乡建设局（差额）</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384.56</w:t>
            </w:r>
          </w:p>
        </w:tc>
        <w:tc>
          <w:tcPr>
            <w:tcW w:w="1134" w:type="dxa"/>
            <w:vAlign w:val="center"/>
          </w:tcPr>
          <w:p>
            <w:pPr>
              <w:pStyle w:val="15"/>
            </w:pPr>
            <w:r>
              <w:t>384.56</w:t>
            </w:r>
          </w:p>
        </w:tc>
        <w:tc>
          <w:tcPr>
            <w:tcW w:w="1134" w:type="dxa"/>
            <w:vAlign w:val="center"/>
          </w:tcPr>
          <w:p>
            <w:pPr>
              <w:pStyle w:val="15"/>
            </w:pPr>
            <w:r>
              <w:t>384.56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1.31</w:t>
            </w:r>
          </w:p>
        </w:tc>
        <w:tc>
          <w:tcPr>
            <w:tcW w:w="1134" w:type="dxa"/>
            <w:vAlign w:val="center"/>
          </w:tcPr>
          <w:p>
            <w:pPr>
              <w:pStyle w:val="11"/>
            </w:pPr>
            <w:r>
              <w:t>1.31</w:t>
            </w:r>
          </w:p>
        </w:tc>
        <w:tc>
          <w:tcPr>
            <w:tcW w:w="1134" w:type="dxa"/>
            <w:vAlign w:val="center"/>
          </w:tcPr>
          <w:p>
            <w:pPr>
              <w:pStyle w:val="11"/>
            </w:pPr>
            <w:r>
              <w:t>1.31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1.31</w:t>
            </w:r>
          </w:p>
        </w:tc>
        <w:tc>
          <w:tcPr>
            <w:tcW w:w="1134" w:type="dxa"/>
            <w:vAlign w:val="center"/>
          </w:tcPr>
          <w:p>
            <w:pPr>
              <w:pStyle w:val="11"/>
            </w:pPr>
            <w:r>
              <w:t>1.31</w:t>
            </w:r>
          </w:p>
        </w:tc>
        <w:tc>
          <w:tcPr>
            <w:tcW w:w="1134" w:type="dxa"/>
            <w:vAlign w:val="center"/>
          </w:tcPr>
          <w:p>
            <w:pPr>
              <w:pStyle w:val="11"/>
            </w:pPr>
            <w:r>
              <w:t>1.31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1.31</w:t>
            </w:r>
          </w:p>
        </w:tc>
        <w:tc>
          <w:tcPr>
            <w:tcW w:w="1134" w:type="dxa"/>
            <w:vAlign w:val="center"/>
          </w:tcPr>
          <w:p>
            <w:pPr>
              <w:pStyle w:val="11"/>
            </w:pPr>
            <w:r>
              <w:t>1.31</w:t>
            </w:r>
          </w:p>
        </w:tc>
        <w:tc>
          <w:tcPr>
            <w:tcW w:w="1134" w:type="dxa"/>
            <w:vAlign w:val="center"/>
          </w:tcPr>
          <w:p>
            <w:pPr>
              <w:pStyle w:val="11"/>
            </w:pPr>
            <w:r>
              <w:t>1.31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19.53</w:t>
            </w:r>
          </w:p>
        </w:tc>
        <w:tc>
          <w:tcPr>
            <w:tcW w:w="1134" w:type="dxa"/>
            <w:vAlign w:val="center"/>
          </w:tcPr>
          <w:p>
            <w:pPr>
              <w:pStyle w:val="11"/>
            </w:pPr>
            <w:r>
              <w:t>19.53</w:t>
            </w:r>
          </w:p>
        </w:tc>
        <w:tc>
          <w:tcPr>
            <w:tcW w:w="1134" w:type="dxa"/>
            <w:vAlign w:val="center"/>
          </w:tcPr>
          <w:p>
            <w:pPr>
              <w:pStyle w:val="11"/>
            </w:pPr>
            <w:r>
              <w:t>19.53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19.53</w:t>
            </w:r>
          </w:p>
        </w:tc>
        <w:tc>
          <w:tcPr>
            <w:tcW w:w="1134" w:type="dxa"/>
            <w:vAlign w:val="center"/>
          </w:tcPr>
          <w:p>
            <w:pPr>
              <w:pStyle w:val="11"/>
            </w:pPr>
            <w:r>
              <w:t>19.53</w:t>
            </w:r>
          </w:p>
        </w:tc>
        <w:tc>
          <w:tcPr>
            <w:tcW w:w="1134" w:type="dxa"/>
            <w:vAlign w:val="center"/>
          </w:tcPr>
          <w:p>
            <w:pPr>
              <w:pStyle w:val="11"/>
            </w:pPr>
            <w:r>
              <w:t>19.53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19.53</w:t>
            </w:r>
          </w:p>
        </w:tc>
        <w:tc>
          <w:tcPr>
            <w:tcW w:w="1134" w:type="dxa"/>
            <w:vAlign w:val="center"/>
          </w:tcPr>
          <w:p>
            <w:pPr>
              <w:pStyle w:val="11"/>
            </w:pPr>
            <w:r>
              <w:t>19.53</w:t>
            </w:r>
          </w:p>
        </w:tc>
        <w:tc>
          <w:tcPr>
            <w:tcW w:w="1134" w:type="dxa"/>
            <w:vAlign w:val="center"/>
          </w:tcPr>
          <w:p>
            <w:pPr>
              <w:pStyle w:val="11"/>
            </w:pPr>
            <w:r>
              <w:t>19.53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363.72</w:t>
            </w:r>
          </w:p>
        </w:tc>
        <w:tc>
          <w:tcPr>
            <w:tcW w:w="1134" w:type="dxa"/>
            <w:vAlign w:val="center"/>
          </w:tcPr>
          <w:p>
            <w:pPr>
              <w:pStyle w:val="11"/>
            </w:pPr>
            <w:r>
              <w:t>363.72</w:t>
            </w:r>
          </w:p>
        </w:tc>
        <w:tc>
          <w:tcPr>
            <w:tcW w:w="1134" w:type="dxa"/>
            <w:vAlign w:val="center"/>
          </w:tcPr>
          <w:p>
            <w:pPr>
              <w:pStyle w:val="11"/>
            </w:pPr>
            <w:r>
              <w:t>363.72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21201</w:t>
            </w:r>
          </w:p>
        </w:tc>
        <w:tc>
          <w:tcPr>
            <w:tcW w:w="1559" w:type="dxa"/>
            <w:vAlign w:val="center"/>
          </w:tcPr>
          <w:p>
            <w:pPr>
              <w:pStyle w:val="12"/>
            </w:pPr>
            <w:r>
              <w:t>城乡社区管理事务</w:t>
            </w:r>
          </w:p>
        </w:tc>
        <w:tc>
          <w:tcPr>
            <w:tcW w:w="1134" w:type="dxa"/>
            <w:vAlign w:val="center"/>
          </w:tcPr>
          <w:p>
            <w:pPr>
              <w:pStyle w:val="11"/>
            </w:pPr>
            <w:r>
              <w:t>363.72</w:t>
            </w:r>
          </w:p>
        </w:tc>
        <w:tc>
          <w:tcPr>
            <w:tcW w:w="1134" w:type="dxa"/>
            <w:vAlign w:val="center"/>
          </w:tcPr>
          <w:p>
            <w:pPr>
              <w:pStyle w:val="11"/>
            </w:pPr>
            <w:r>
              <w:t>363.72</w:t>
            </w:r>
          </w:p>
        </w:tc>
        <w:tc>
          <w:tcPr>
            <w:tcW w:w="1134" w:type="dxa"/>
            <w:vAlign w:val="center"/>
          </w:tcPr>
          <w:p>
            <w:pPr>
              <w:pStyle w:val="11"/>
            </w:pPr>
            <w:r>
              <w:t>363.72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2120101</w:t>
            </w:r>
          </w:p>
        </w:tc>
        <w:tc>
          <w:tcPr>
            <w:tcW w:w="1559" w:type="dxa"/>
            <w:vAlign w:val="center"/>
          </w:tcPr>
          <w:p>
            <w:pPr>
              <w:pStyle w:val="12"/>
            </w:pPr>
            <w:r>
              <w:t>行政运行</w:t>
            </w:r>
          </w:p>
        </w:tc>
        <w:tc>
          <w:tcPr>
            <w:tcW w:w="1134" w:type="dxa"/>
            <w:vAlign w:val="center"/>
          </w:tcPr>
          <w:p>
            <w:pPr>
              <w:pStyle w:val="11"/>
            </w:pPr>
            <w:r>
              <w:t>363.72</w:t>
            </w:r>
          </w:p>
        </w:tc>
        <w:tc>
          <w:tcPr>
            <w:tcW w:w="1134" w:type="dxa"/>
            <w:vAlign w:val="center"/>
          </w:tcPr>
          <w:p>
            <w:pPr>
              <w:pStyle w:val="11"/>
            </w:pPr>
            <w:r>
              <w:t>363.72</w:t>
            </w:r>
          </w:p>
        </w:tc>
        <w:tc>
          <w:tcPr>
            <w:tcW w:w="1134" w:type="dxa"/>
            <w:vAlign w:val="center"/>
          </w:tcPr>
          <w:p>
            <w:pPr>
              <w:pStyle w:val="11"/>
            </w:pPr>
            <w:r>
              <w:t>363.72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333002魏县住房和城乡建设局（差额）</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384.56</w:t>
            </w:r>
          </w:p>
        </w:tc>
        <w:tc>
          <w:tcPr>
            <w:tcW w:w="1361" w:type="dxa"/>
            <w:vAlign w:val="center"/>
          </w:tcPr>
          <w:p>
            <w:pPr>
              <w:pStyle w:val="15"/>
            </w:pPr>
            <w:r>
              <w:t>384.56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1.31</w:t>
            </w:r>
          </w:p>
        </w:tc>
        <w:tc>
          <w:tcPr>
            <w:tcW w:w="1361" w:type="dxa"/>
            <w:vAlign w:val="center"/>
          </w:tcPr>
          <w:p>
            <w:pPr>
              <w:pStyle w:val="11"/>
            </w:pPr>
            <w:r>
              <w:t>1.31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1.31</w:t>
            </w:r>
          </w:p>
        </w:tc>
        <w:tc>
          <w:tcPr>
            <w:tcW w:w="1361" w:type="dxa"/>
            <w:vAlign w:val="center"/>
          </w:tcPr>
          <w:p>
            <w:pPr>
              <w:pStyle w:val="11"/>
            </w:pPr>
            <w:r>
              <w:t>1.31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1.31</w:t>
            </w:r>
          </w:p>
        </w:tc>
        <w:tc>
          <w:tcPr>
            <w:tcW w:w="1361" w:type="dxa"/>
            <w:vAlign w:val="center"/>
          </w:tcPr>
          <w:p>
            <w:pPr>
              <w:pStyle w:val="11"/>
            </w:pPr>
            <w:r>
              <w:t>1.31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19.53</w:t>
            </w:r>
          </w:p>
        </w:tc>
        <w:tc>
          <w:tcPr>
            <w:tcW w:w="1361" w:type="dxa"/>
            <w:vAlign w:val="center"/>
          </w:tcPr>
          <w:p>
            <w:pPr>
              <w:pStyle w:val="11"/>
            </w:pPr>
            <w:r>
              <w:t>19.53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19.53</w:t>
            </w:r>
          </w:p>
        </w:tc>
        <w:tc>
          <w:tcPr>
            <w:tcW w:w="1361" w:type="dxa"/>
            <w:vAlign w:val="center"/>
          </w:tcPr>
          <w:p>
            <w:pPr>
              <w:pStyle w:val="11"/>
            </w:pPr>
            <w:r>
              <w:t>19.53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19.53</w:t>
            </w:r>
          </w:p>
        </w:tc>
        <w:tc>
          <w:tcPr>
            <w:tcW w:w="1361" w:type="dxa"/>
            <w:vAlign w:val="center"/>
          </w:tcPr>
          <w:p>
            <w:pPr>
              <w:pStyle w:val="11"/>
            </w:pPr>
            <w:r>
              <w:t>19.53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363.72</w:t>
            </w:r>
          </w:p>
        </w:tc>
        <w:tc>
          <w:tcPr>
            <w:tcW w:w="1361" w:type="dxa"/>
            <w:vAlign w:val="center"/>
          </w:tcPr>
          <w:p>
            <w:pPr>
              <w:pStyle w:val="11"/>
            </w:pPr>
            <w:r>
              <w:t>363.72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21201</w:t>
            </w:r>
          </w:p>
        </w:tc>
        <w:tc>
          <w:tcPr>
            <w:tcW w:w="4535" w:type="dxa"/>
            <w:vAlign w:val="center"/>
          </w:tcPr>
          <w:p>
            <w:pPr>
              <w:pStyle w:val="12"/>
            </w:pPr>
            <w:r>
              <w:t>城乡社区管理事务</w:t>
            </w:r>
          </w:p>
        </w:tc>
        <w:tc>
          <w:tcPr>
            <w:tcW w:w="1361" w:type="dxa"/>
            <w:vAlign w:val="center"/>
          </w:tcPr>
          <w:p>
            <w:pPr>
              <w:pStyle w:val="11"/>
            </w:pPr>
            <w:r>
              <w:t>363.72</w:t>
            </w:r>
          </w:p>
        </w:tc>
        <w:tc>
          <w:tcPr>
            <w:tcW w:w="1361" w:type="dxa"/>
            <w:vAlign w:val="center"/>
          </w:tcPr>
          <w:p>
            <w:pPr>
              <w:pStyle w:val="11"/>
            </w:pPr>
            <w:r>
              <w:t>363.72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2120101</w:t>
            </w:r>
          </w:p>
        </w:tc>
        <w:tc>
          <w:tcPr>
            <w:tcW w:w="4535" w:type="dxa"/>
            <w:vAlign w:val="center"/>
          </w:tcPr>
          <w:p>
            <w:pPr>
              <w:pStyle w:val="12"/>
            </w:pPr>
            <w:r>
              <w:t>行政运行</w:t>
            </w:r>
          </w:p>
        </w:tc>
        <w:tc>
          <w:tcPr>
            <w:tcW w:w="1361" w:type="dxa"/>
            <w:vAlign w:val="center"/>
          </w:tcPr>
          <w:p>
            <w:pPr>
              <w:pStyle w:val="11"/>
            </w:pPr>
            <w:r>
              <w:t>363.72</w:t>
            </w:r>
          </w:p>
        </w:tc>
        <w:tc>
          <w:tcPr>
            <w:tcW w:w="1361" w:type="dxa"/>
            <w:vAlign w:val="center"/>
          </w:tcPr>
          <w:p>
            <w:pPr>
              <w:pStyle w:val="11"/>
            </w:pPr>
            <w:r>
              <w:t>363.72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333002魏县住房和城乡建设局（差额）</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384.56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1.31</w:t>
            </w:r>
          </w:p>
        </w:tc>
        <w:tc>
          <w:tcPr>
            <w:tcW w:w="1474" w:type="dxa"/>
            <w:vAlign w:val="center"/>
          </w:tcPr>
          <w:p>
            <w:pPr>
              <w:pStyle w:val="11"/>
            </w:pPr>
            <w:r>
              <w:t>1.31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19.53</w:t>
            </w:r>
          </w:p>
        </w:tc>
        <w:tc>
          <w:tcPr>
            <w:tcW w:w="1474" w:type="dxa"/>
            <w:vAlign w:val="center"/>
          </w:tcPr>
          <w:p>
            <w:pPr>
              <w:pStyle w:val="11"/>
            </w:pPr>
            <w:r>
              <w:t>19.53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363.72</w:t>
            </w:r>
          </w:p>
        </w:tc>
        <w:tc>
          <w:tcPr>
            <w:tcW w:w="1474" w:type="dxa"/>
            <w:vAlign w:val="center"/>
          </w:tcPr>
          <w:p>
            <w:pPr>
              <w:pStyle w:val="11"/>
            </w:pPr>
            <w:r>
              <w:t>363.72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384.56</w:t>
            </w:r>
          </w:p>
        </w:tc>
        <w:tc>
          <w:tcPr>
            <w:tcW w:w="3402" w:type="dxa"/>
            <w:vAlign w:val="center"/>
          </w:tcPr>
          <w:p>
            <w:pPr>
              <w:pStyle w:val="14"/>
            </w:pPr>
            <w:r>
              <w:t>本年支出合计</w:t>
            </w:r>
          </w:p>
        </w:tc>
        <w:tc>
          <w:tcPr>
            <w:tcW w:w="1474" w:type="dxa"/>
            <w:vAlign w:val="center"/>
          </w:tcPr>
          <w:p>
            <w:pPr>
              <w:pStyle w:val="15"/>
            </w:pPr>
            <w:r>
              <w:t>384.56</w:t>
            </w:r>
          </w:p>
        </w:tc>
        <w:tc>
          <w:tcPr>
            <w:tcW w:w="1474" w:type="dxa"/>
            <w:vAlign w:val="center"/>
          </w:tcPr>
          <w:p>
            <w:pPr>
              <w:pStyle w:val="15"/>
            </w:pPr>
            <w:r>
              <w:t>384.56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384.56</w:t>
            </w:r>
          </w:p>
        </w:tc>
        <w:tc>
          <w:tcPr>
            <w:tcW w:w="3402" w:type="dxa"/>
            <w:vAlign w:val="center"/>
          </w:tcPr>
          <w:p>
            <w:pPr>
              <w:pStyle w:val="14"/>
            </w:pPr>
            <w:r>
              <w:t>支出总计</w:t>
            </w:r>
          </w:p>
        </w:tc>
        <w:tc>
          <w:tcPr>
            <w:tcW w:w="1474" w:type="dxa"/>
            <w:vAlign w:val="center"/>
          </w:tcPr>
          <w:p>
            <w:pPr>
              <w:pStyle w:val="15"/>
            </w:pPr>
            <w:r>
              <w:t>384.56</w:t>
            </w:r>
          </w:p>
        </w:tc>
        <w:tc>
          <w:tcPr>
            <w:tcW w:w="1474" w:type="dxa"/>
            <w:vAlign w:val="center"/>
          </w:tcPr>
          <w:p>
            <w:pPr>
              <w:pStyle w:val="15"/>
            </w:pPr>
            <w:r>
              <w:t>384.56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333002魏县住房和城乡建设局（差额）</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384.56</w:t>
            </w:r>
          </w:p>
        </w:tc>
        <w:tc>
          <w:tcPr>
            <w:tcW w:w="2551" w:type="dxa"/>
            <w:vAlign w:val="center"/>
          </w:tcPr>
          <w:p>
            <w:pPr>
              <w:pStyle w:val="15"/>
            </w:pPr>
            <w:r>
              <w:t>384.56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1.31</w:t>
            </w:r>
          </w:p>
        </w:tc>
        <w:tc>
          <w:tcPr>
            <w:tcW w:w="2551" w:type="dxa"/>
            <w:vAlign w:val="center"/>
          </w:tcPr>
          <w:p>
            <w:pPr>
              <w:pStyle w:val="11"/>
            </w:pPr>
            <w:r>
              <w:t>1.31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1.31</w:t>
            </w:r>
          </w:p>
        </w:tc>
        <w:tc>
          <w:tcPr>
            <w:tcW w:w="2551" w:type="dxa"/>
            <w:vAlign w:val="center"/>
          </w:tcPr>
          <w:p>
            <w:pPr>
              <w:pStyle w:val="11"/>
            </w:pPr>
            <w:r>
              <w:t>1.31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1.31</w:t>
            </w:r>
          </w:p>
        </w:tc>
        <w:tc>
          <w:tcPr>
            <w:tcW w:w="2551" w:type="dxa"/>
            <w:vAlign w:val="center"/>
          </w:tcPr>
          <w:p>
            <w:pPr>
              <w:pStyle w:val="11"/>
            </w:pPr>
            <w:r>
              <w:t>1.31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19.53</w:t>
            </w:r>
          </w:p>
        </w:tc>
        <w:tc>
          <w:tcPr>
            <w:tcW w:w="2551" w:type="dxa"/>
            <w:vAlign w:val="center"/>
          </w:tcPr>
          <w:p>
            <w:pPr>
              <w:pStyle w:val="11"/>
            </w:pPr>
            <w:r>
              <w:t>19.53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19.53</w:t>
            </w:r>
          </w:p>
        </w:tc>
        <w:tc>
          <w:tcPr>
            <w:tcW w:w="2551" w:type="dxa"/>
            <w:vAlign w:val="center"/>
          </w:tcPr>
          <w:p>
            <w:pPr>
              <w:pStyle w:val="11"/>
            </w:pPr>
            <w:r>
              <w:t>19.53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19.53</w:t>
            </w:r>
          </w:p>
        </w:tc>
        <w:tc>
          <w:tcPr>
            <w:tcW w:w="2551" w:type="dxa"/>
            <w:vAlign w:val="center"/>
          </w:tcPr>
          <w:p>
            <w:pPr>
              <w:pStyle w:val="11"/>
            </w:pPr>
            <w:r>
              <w:t>19.53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363.72</w:t>
            </w:r>
          </w:p>
        </w:tc>
        <w:tc>
          <w:tcPr>
            <w:tcW w:w="2551" w:type="dxa"/>
            <w:vAlign w:val="center"/>
          </w:tcPr>
          <w:p>
            <w:pPr>
              <w:pStyle w:val="11"/>
            </w:pPr>
            <w:r>
              <w:t>363.72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21201</w:t>
            </w:r>
          </w:p>
        </w:tc>
        <w:tc>
          <w:tcPr>
            <w:tcW w:w="4535" w:type="dxa"/>
            <w:vAlign w:val="center"/>
          </w:tcPr>
          <w:p>
            <w:pPr>
              <w:pStyle w:val="12"/>
            </w:pPr>
            <w:r>
              <w:t>城乡社区管理事务</w:t>
            </w:r>
          </w:p>
        </w:tc>
        <w:tc>
          <w:tcPr>
            <w:tcW w:w="2551" w:type="dxa"/>
            <w:vAlign w:val="center"/>
          </w:tcPr>
          <w:p>
            <w:pPr>
              <w:pStyle w:val="11"/>
            </w:pPr>
            <w:r>
              <w:t>363.72</w:t>
            </w:r>
          </w:p>
        </w:tc>
        <w:tc>
          <w:tcPr>
            <w:tcW w:w="2551" w:type="dxa"/>
            <w:vAlign w:val="center"/>
          </w:tcPr>
          <w:p>
            <w:pPr>
              <w:pStyle w:val="11"/>
            </w:pPr>
            <w:r>
              <w:t>363.72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2120101</w:t>
            </w:r>
          </w:p>
        </w:tc>
        <w:tc>
          <w:tcPr>
            <w:tcW w:w="4535" w:type="dxa"/>
            <w:vAlign w:val="center"/>
          </w:tcPr>
          <w:p>
            <w:pPr>
              <w:pStyle w:val="12"/>
            </w:pPr>
            <w:r>
              <w:t>行政运行</w:t>
            </w:r>
          </w:p>
        </w:tc>
        <w:tc>
          <w:tcPr>
            <w:tcW w:w="2551" w:type="dxa"/>
            <w:vAlign w:val="center"/>
          </w:tcPr>
          <w:p>
            <w:pPr>
              <w:pStyle w:val="11"/>
            </w:pPr>
            <w:r>
              <w:t>363.72</w:t>
            </w:r>
          </w:p>
        </w:tc>
        <w:tc>
          <w:tcPr>
            <w:tcW w:w="2551" w:type="dxa"/>
            <w:vAlign w:val="center"/>
          </w:tcPr>
          <w:p>
            <w:pPr>
              <w:pStyle w:val="11"/>
            </w:pPr>
            <w:r>
              <w:t>363.72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333002魏县住房和城乡建设局（差额）</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384.56</w:t>
            </w:r>
          </w:p>
        </w:tc>
        <w:tc>
          <w:tcPr>
            <w:tcW w:w="2551" w:type="dxa"/>
            <w:vAlign w:val="center"/>
          </w:tcPr>
          <w:p>
            <w:pPr>
              <w:pStyle w:val="15"/>
            </w:pPr>
            <w:r>
              <w:t>355.86</w:t>
            </w:r>
          </w:p>
        </w:tc>
        <w:tc>
          <w:tcPr>
            <w:tcW w:w="2551" w:type="dxa"/>
            <w:vAlign w:val="center"/>
          </w:tcPr>
          <w:p>
            <w:pPr>
              <w:pStyle w:val="15"/>
            </w:pPr>
            <w:r>
              <w:t>28.70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354.55</w:t>
            </w:r>
          </w:p>
        </w:tc>
        <w:tc>
          <w:tcPr>
            <w:tcW w:w="2551" w:type="dxa"/>
            <w:vAlign w:val="center"/>
          </w:tcPr>
          <w:p>
            <w:pPr>
              <w:pStyle w:val="11"/>
            </w:pPr>
            <w:r>
              <w:t>354.55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219.50</w:t>
            </w:r>
          </w:p>
        </w:tc>
        <w:tc>
          <w:tcPr>
            <w:tcW w:w="2551" w:type="dxa"/>
            <w:vAlign w:val="center"/>
          </w:tcPr>
          <w:p>
            <w:pPr>
              <w:pStyle w:val="11"/>
            </w:pPr>
            <w:r>
              <w:t>219.50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24.06</w:t>
            </w:r>
          </w:p>
        </w:tc>
        <w:tc>
          <w:tcPr>
            <w:tcW w:w="2551" w:type="dxa"/>
            <w:vAlign w:val="center"/>
          </w:tcPr>
          <w:p>
            <w:pPr>
              <w:pStyle w:val="11"/>
            </w:pPr>
            <w:r>
              <w:t>24.06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34.13</w:t>
            </w:r>
          </w:p>
        </w:tc>
        <w:tc>
          <w:tcPr>
            <w:tcW w:w="2551" w:type="dxa"/>
            <w:vAlign w:val="center"/>
          </w:tcPr>
          <w:p>
            <w:pPr>
              <w:pStyle w:val="11"/>
            </w:pPr>
            <w:r>
              <w:t>34.13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17.06</w:t>
            </w:r>
          </w:p>
        </w:tc>
        <w:tc>
          <w:tcPr>
            <w:tcW w:w="2551" w:type="dxa"/>
            <w:vAlign w:val="center"/>
          </w:tcPr>
          <w:p>
            <w:pPr>
              <w:pStyle w:val="11"/>
            </w:pPr>
            <w:r>
              <w:t>17.06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19.53</w:t>
            </w:r>
          </w:p>
        </w:tc>
        <w:tc>
          <w:tcPr>
            <w:tcW w:w="2551" w:type="dxa"/>
            <w:vAlign w:val="center"/>
          </w:tcPr>
          <w:p>
            <w:pPr>
              <w:pStyle w:val="11"/>
            </w:pPr>
            <w:r>
              <w:t>19.53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40.27</w:t>
            </w:r>
          </w:p>
        </w:tc>
        <w:tc>
          <w:tcPr>
            <w:tcW w:w="2551" w:type="dxa"/>
            <w:vAlign w:val="center"/>
          </w:tcPr>
          <w:p>
            <w:pPr>
              <w:pStyle w:val="11"/>
            </w:pPr>
            <w:r>
              <w:t>40.27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28.70</w:t>
            </w:r>
          </w:p>
        </w:tc>
        <w:tc>
          <w:tcPr>
            <w:tcW w:w="2551" w:type="dxa"/>
            <w:vAlign w:val="center"/>
          </w:tcPr>
          <w:p>
            <w:pPr>
              <w:pStyle w:val="11"/>
            </w:pPr>
          </w:p>
        </w:tc>
        <w:tc>
          <w:tcPr>
            <w:tcW w:w="2551" w:type="dxa"/>
            <w:vAlign w:val="center"/>
          </w:tcPr>
          <w:p>
            <w:pPr>
              <w:pStyle w:val="11"/>
            </w:pPr>
            <w:r>
              <w:t>28.70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28.70</w:t>
            </w:r>
          </w:p>
        </w:tc>
        <w:tc>
          <w:tcPr>
            <w:tcW w:w="2551" w:type="dxa"/>
            <w:vAlign w:val="center"/>
          </w:tcPr>
          <w:p>
            <w:pPr>
              <w:pStyle w:val="11"/>
            </w:pPr>
          </w:p>
        </w:tc>
        <w:tc>
          <w:tcPr>
            <w:tcW w:w="2551" w:type="dxa"/>
            <w:vAlign w:val="center"/>
          </w:tcPr>
          <w:p>
            <w:pPr>
              <w:pStyle w:val="11"/>
            </w:pPr>
            <w:r>
              <w:t>28.70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1.31</w:t>
            </w:r>
          </w:p>
        </w:tc>
        <w:tc>
          <w:tcPr>
            <w:tcW w:w="2551" w:type="dxa"/>
            <w:vAlign w:val="center"/>
          </w:tcPr>
          <w:p>
            <w:pPr>
              <w:pStyle w:val="11"/>
            </w:pPr>
            <w:r>
              <w:t>1.31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1.31</w:t>
            </w:r>
          </w:p>
        </w:tc>
        <w:tc>
          <w:tcPr>
            <w:tcW w:w="2551" w:type="dxa"/>
            <w:vAlign w:val="center"/>
          </w:tcPr>
          <w:p>
            <w:pPr>
              <w:pStyle w:val="11"/>
            </w:pPr>
            <w:r>
              <w:t>1.31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333002魏县住房和城乡建设局（差额）</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333002魏县住房和城乡建设局（差额）</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333002魏县住房和城乡建设局（差额）</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魏县住房和城乡建设局（差额）2022年单位预算信息公开情况说明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按照《预算法》、《地方预决算公开操作规程》和《关于进一步推进预算公开工作的实施意见》规定，现将魏县住房和城乡建设局（差额）2022年单位预算公开如下：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根据《魏县住房和城乡建设局职能配置、内设机构和人员编制方案》规定，住建局的主要职责是：贯彻落实党中央、省、市、县关于城乡建设工作的方针政策和决策部署，坚持和加强党对城乡建设工作的集中统一领导；贯彻执行国家、省、市有关城乡建设的方针、政策和法律、法规；负责推行工程建设标准，组织实施工程建设实施阶段的国家标准、全国统一的行业标准及工程建设地方标准；负责建筑市场的监督管理；负责建筑工程质量安全监管；负责房地产市场的监督管理；指导城乡建设工作；指导村镇建设；负责民用建筑节能、墙体材料革新和工业废渣综合利用管理工作；负责全县建设工程抗震设防工作；开展城乡建设方面的对外交流与合作；负责全县房屋建筑和市政基础设施建设领域清欠工作的协调督导，指导全县房屋建筑和市政基础设施建设领域拖欠工程款和农民工工资的整体工作；负责全县建立和完善住房保障体系的指导工作，编制保障性住房年度计划；负责全县房产交易市场管理；负责拟定房屋交易、房屋租赁、房地产评估价与经纪管理、物业管理的规章制度并监督实施，指导监督房屋产权管理等工作；负责全县房屋安全鉴定管理和住宅室内装饰装修管理工作；负责指导全县住宅专项维修资金的管理工作；组织开展全县人民防空信息化建设，指导各地人民防空信息系统建设、使用、维护和管理，组织开展人民防空警报体系建设和警报试鸣工作；负责县中心城区的城市综合管理工作；负责全县范围内燃气、污水处理，以及中心城区供热、垃圾处理等市政公用事业及相关经营活动特许经营的管理；负责县中心城区市政设施管理工作；负责县中心城区的园林绿化管理工作；负责指导协调县中心城区的市容市貌、城市环境综合整治工作和城市管理重大活动；承办县人大代表建议和县政协提案工作，完成县委、县政府交办的其他任务。</w:t>
      </w:r>
    </w:p>
    <w:p>
      <w:pPr>
        <w:pStyle w:val="2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魏县住房和城乡建设局（差额）</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财政性资金定额或定项补助</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r>
        <w:t>按照预算管理有关规定，目前我县部门预算的编制实行综合预算制度，即全部收入和支出都反映的预算中。</w:t>
      </w:r>
    </w:p>
    <w:p>
      <w:pPr>
        <w:pStyle w:val="26"/>
      </w:pPr>
      <w:r>
        <w:t>1、收入说明：2022 年收入预算共计</w:t>
      </w:r>
      <w:r>
        <w:rPr>
          <w:rFonts w:hint="eastAsia"/>
          <w:lang w:val="en-US" w:eastAsia="zh-CN"/>
        </w:rPr>
        <w:t>384.56</w:t>
      </w:r>
      <w:r>
        <w:t>万元，全部为财政拨款收入。</w:t>
      </w:r>
    </w:p>
    <w:p>
      <w:pPr>
        <w:pStyle w:val="26"/>
      </w:pPr>
      <w:r>
        <w:t>2、支出说明：2022年支出预算共计</w:t>
      </w:r>
      <w:r>
        <w:rPr>
          <w:rFonts w:hint="eastAsia"/>
          <w:lang w:val="en-US" w:eastAsia="zh-CN"/>
        </w:rPr>
        <w:t>384.56</w:t>
      </w:r>
      <w:r>
        <w:t>万元。其中，人员经费支出预算</w:t>
      </w:r>
      <w:r>
        <w:rPr>
          <w:rFonts w:hint="eastAsia"/>
          <w:lang w:val="en-US" w:eastAsia="zh-CN"/>
        </w:rPr>
        <w:t>355.86</w:t>
      </w:r>
      <w:r>
        <w:t>万元，公用经费支出预算</w:t>
      </w:r>
      <w:r>
        <w:rPr>
          <w:rFonts w:hint="eastAsia"/>
          <w:lang w:val="en-US" w:eastAsia="zh-CN"/>
        </w:rPr>
        <w:t>28.7</w:t>
      </w:r>
      <w:r>
        <w:t>万元，项目支出</w:t>
      </w:r>
      <w:r>
        <w:rPr>
          <w:rFonts w:hint="eastAsia"/>
          <w:lang w:val="en-US" w:eastAsia="zh-CN"/>
        </w:rPr>
        <w:t>0</w:t>
      </w:r>
      <w:r>
        <w:t>万元。</w:t>
      </w:r>
    </w:p>
    <w:p>
      <w:pPr>
        <w:pStyle w:val="26"/>
      </w:pPr>
      <w:r>
        <w:t>3、比上年增减情况：经过对比测算，2022年预算收支比2021年</w:t>
      </w:r>
      <w:r>
        <w:rPr>
          <w:rFonts w:hint="eastAsia"/>
          <w:lang w:eastAsia="zh-CN"/>
        </w:rPr>
        <w:t>增加</w:t>
      </w:r>
      <w:r>
        <w:rPr>
          <w:rFonts w:hint="eastAsia"/>
          <w:lang w:val="en-US" w:eastAsia="zh-CN"/>
        </w:rPr>
        <w:t>23.2</w:t>
      </w:r>
      <w:r>
        <w:t>万元。主要是：2022年项目安排减少，</w:t>
      </w:r>
      <w:r>
        <w:rPr>
          <w:rFonts w:hint="eastAsia"/>
          <w:lang w:eastAsia="zh-CN"/>
        </w:rPr>
        <w:t>人员工资调整增加支出</w:t>
      </w:r>
      <w:r>
        <w:t>。</w:t>
      </w:r>
    </w:p>
    <w:p>
      <w:pPr>
        <w:spacing w:before="10" w:after="10"/>
        <w:ind w:firstLine="640"/>
        <w:outlineLvl w:val="5"/>
      </w:pPr>
      <w:r>
        <w:rPr>
          <w:rFonts w:ascii="黑体" w:hAnsi="黑体" w:eastAsia="黑体" w:cs="黑体"/>
          <w:color w:val="000000"/>
          <w:sz w:val="32"/>
        </w:rPr>
        <w:t>三、机关运行经费安排情况</w:t>
      </w:r>
    </w:p>
    <w:p>
      <w:pPr>
        <w:pStyle w:val="27"/>
      </w:pPr>
      <w:r>
        <w:t>机关运行经费共计安排</w:t>
      </w:r>
      <w:r>
        <w:rPr>
          <w:rFonts w:hint="eastAsia"/>
          <w:lang w:val="en-US" w:eastAsia="zh-CN"/>
        </w:rPr>
        <w:t>28.7</w:t>
      </w:r>
      <w:r>
        <w:t>万元。机关运行经费主要用于保证正常办公的基本需要和维持单位日常业务运转，包括：办公费、邮电费、差旅费、福利费、手续费、公务接待费、工会经费、公务用车运行维护费和离退休干部经费。</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2022年，财政拨款“三公”经费预算安排0万元，其中因公出国(境)费0万元；公务用车购置及运维费0万元(其中：公务用车购置费为0万元，公务用车运行费0万元)；公务接待费0万元。与2021年相比，因公出国(境)费降低0万元,与上年持平；公务用车运行费降低0万元，与上年持平，原因是公车改革后，单位公务用车运行费大幅降低；公务接待费减少0万元，与上持平。主要原因是我单位根据单位业务需要，按照政府过“紧日子”思想和上级有关要求，强化“三公”经费等一般性支出管理，未安排相关经费预算。</w:t>
      </w:r>
    </w:p>
    <w:p>
      <w:pPr>
        <w:numPr>
          <w:ilvl w:val="0"/>
          <w:numId w:val="2"/>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numPr>
          <w:numId w:val="0"/>
        </w:numPr>
        <w:spacing w:before="10" w:after="10"/>
        <w:outlineLvl w:val="5"/>
        <w:rPr>
          <w:rFonts w:ascii="黑体" w:hAnsi="黑体" w:eastAsia="黑体" w:cs="黑体"/>
          <w:color w:val="000000"/>
          <w:sz w:val="32"/>
        </w:rPr>
      </w:pPr>
    </w:p>
    <w:p>
      <w:pPr>
        <w:numPr>
          <w:numId w:val="0"/>
        </w:numPr>
        <w:spacing w:before="10" w:after="10"/>
        <w:outlineLvl w:val="5"/>
        <w:rPr>
          <w:rFonts w:hint="default" w:ascii="黑体" w:hAnsi="黑体" w:eastAsia="黑体" w:cs="黑体"/>
          <w:color w:val="000000"/>
          <w:sz w:val="32"/>
          <w:lang w:val="en-US" w:eastAsia="zh-CN"/>
        </w:rPr>
        <w:sectPr>
          <w:pgSz w:w="16840" w:h="11900" w:orient="landscape"/>
          <w:pgMar w:top="1361" w:right="1020" w:bottom="1361" w:left="1020" w:header="720" w:footer="720" w:gutter="0"/>
          <w:cols w:space="720" w:num="1"/>
        </w:sectPr>
      </w:pPr>
      <w:r>
        <w:rPr>
          <w:rFonts w:hint="eastAsia" w:ascii="黑体" w:hAnsi="黑体" w:eastAsia="黑体" w:cs="黑体"/>
          <w:color w:val="000000"/>
          <w:sz w:val="32"/>
          <w:lang w:val="en-US" w:eastAsia="zh-CN"/>
        </w:rPr>
        <w:t xml:space="preserve"> </w:t>
      </w:r>
      <w:r>
        <w:rPr>
          <w:rFonts w:hint="eastAsia" w:ascii="黑体" w:hAnsi="黑体" w:eastAsia="黑体" w:cs="黑体"/>
          <w:b w:val="0"/>
          <w:bCs w:val="0"/>
          <w:color w:val="000000"/>
          <w:sz w:val="28"/>
          <w:szCs w:val="28"/>
          <w:lang w:val="en-US" w:eastAsia="zh-CN"/>
        </w:rPr>
        <w:t xml:space="preserve">   无，不涉及。</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2022年，魏县住房和城乡建设局（差额）安排政府采购预算28.70万元。具体内容见下表。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333002魏县住房和城乡建设局（差额）</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28.70</w:t>
            </w:r>
          </w:p>
        </w:tc>
        <w:tc>
          <w:tcPr>
            <w:tcW w:w="964" w:type="dxa"/>
            <w:vAlign w:val="center"/>
          </w:tcPr>
          <w:p>
            <w:pPr>
              <w:pStyle w:val="15"/>
            </w:pPr>
            <w:r>
              <w:t>28.70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魏县住房和城乡建设局（差额）小计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28.70</w:t>
            </w:r>
          </w:p>
        </w:tc>
        <w:tc>
          <w:tcPr>
            <w:tcW w:w="964" w:type="dxa"/>
            <w:vAlign w:val="center"/>
          </w:tcPr>
          <w:p>
            <w:pPr>
              <w:pStyle w:val="15"/>
            </w:pPr>
            <w:r>
              <w:t>28.70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2022年公用类项目</w:t>
            </w:r>
          </w:p>
        </w:tc>
        <w:tc>
          <w:tcPr>
            <w:tcW w:w="964" w:type="dxa"/>
            <w:vAlign w:val="center"/>
          </w:tcPr>
          <w:p>
            <w:pPr>
              <w:pStyle w:val="11"/>
            </w:pPr>
            <w:r>
              <w:t>28.70</w:t>
            </w:r>
          </w:p>
        </w:tc>
        <w:tc>
          <w:tcPr>
            <w:tcW w:w="1134" w:type="dxa"/>
            <w:vAlign w:val="center"/>
          </w:tcPr>
          <w:p>
            <w:pPr>
              <w:pStyle w:val="12"/>
            </w:pPr>
            <w:r>
              <w:t>台式计算机</w:t>
            </w:r>
          </w:p>
        </w:tc>
        <w:tc>
          <w:tcPr>
            <w:tcW w:w="1134" w:type="dxa"/>
            <w:vAlign w:val="center"/>
          </w:tcPr>
          <w:p>
            <w:pPr>
              <w:pStyle w:val="12"/>
            </w:pPr>
            <w:r>
              <w:t>A02010104</w:t>
            </w:r>
          </w:p>
        </w:tc>
        <w:tc>
          <w:tcPr>
            <w:tcW w:w="709" w:type="dxa"/>
            <w:vAlign w:val="center"/>
          </w:tcPr>
          <w:p>
            <w:pPr>
              <w:pStyle w:val="13"/>
            </w:pPr>
            <w:r>
              <w:t>台</w:t>
            </w:r>
          </w:p>
        </w:tc>
        <w:tc>
          <w:tcPr>
            <w:tcW w:w="850" w:type="dxa"/>
            <w:vAlign w:val="center"/>
          </w:tcPr>
          <w:p>
            <w:pPr>
              <w:pStyle w:val="11"/>
            </w:pPr>
            <w:r>
              <w:t>82</w:t>
            </w:r>
          </w:p>
        </w:tc>
        <w:tc>
          <w:tcPr>
            <w:tcW w:w="850" w:type="dxa"/>
            <w:vAlign w:val="center"/>
          </w:tcPr>
          <w:p>
            <w:pPr>
              <w:pStyle w:val="11"/>
            </w:pPr>
            <w:r>
              <w:t>0.35</w:t>
            </w:r>
          </w:p>
        </w:tc>
        <w:tc>
          <w:tcPr>
            <w:tcW w:w="964" w:type="dxa"/>
            <w:vAlign w:val="center"/>
          </w:tcPr>
          <w:p>
            <w:pPr>
              <w:pStyle w:val="11"/>
            </w:pPr>
            <w:r>
              <w:t>28.70</w:t>
            </w:r>
          </w:p>
        </w:tc>
        <w:tc>
          <w:tcPr>
            <w:tcW w:w="964" w:type="dxa"/>
            <w:vAlign w:val="center"/>
          </w:tcPr>
          <w:p>
            <w:pPr>
              <w:pStyle w:val="11"/>
            </w:pPr>
            <w:r>
              <w:t>28.70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魏县住房和城乡建设局（差额）上年末固定资产金额为0.00万元（详见下表）。本年度拟购置固定资产总额为0.00万元，已按要求列入政府采购预算，详见政府采购预算表。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333002魏县住房和城乡建设局（差额）</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0" w:name="_Toc_4_4_0000000021"/>
      <w:r>
        <w:rPr>
          <w:rFonts w:ascii="方正小标宋_GBK" w:hAnsi="方正小标宋_GBK" w:eastAsia="方正小标宋_GBK" w:cs="方正小标宋_GBK"/>
          <w:color w:val="000000"/>
          <w:sz w:val="44"/>
        </w:rPr>
        <w:t>三、魏县污水处理厂收支预算</w:t>
      </w:r>
      <w:bookmarkEnd w:id="2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333003魏县污水处理厂</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p>
        </w:tc>
        <w:tc>
          <w:tcPr>
            <w:tcW w:w="4535" w:type="dxa"/>
            <w:vAlign w:val="center"/>
          </w:tcPr>
          <w:p>
            <w:pPr>
              <w:pStyle w:val="14"/>
            </w:pPr>
            <w:r>
              <w:t>本年支出合计</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p>
        </w:tc>
        <w:tc>
          <w:tcPr>
            <w:tcW w:w="4535" w:type="dxa"/>
            <w:vAlign w:val="center"/>
          </w:tcPr>
          <w:p>
            <w:pPr>
              <w:pStyle w:val="14"/>
            </w:pPr>
            <w:r>
              <w:t>支出总计</w:t>
            </w:r>
          </w:p>
        </w:tc>
        <w:tc>
          <w:tcPr>
            <w:tcW w:w="2126"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333003魏县污水处理厂</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p>
        </w:tc>
        <w:tc>
          <w:tcPr>
            <w:tcW w:w="992" w:type="dxa"/>
            <w:vAlign w:val="center"/>
          </w:tcPr>
          <w:p>
            <w:pPr>
              <w:pStyle w:val="12"/>
            </w:pPr>
          </w:p>
        </w:tc>
        <w:tc>
          <w:tcPr>
            <w:tcW w:w="1559" w:type="dxa"/>
            <w:vAlign w:val="center"/>
          </w:tcPr>
          <w:p>
            <w:pPr>
              <w:pStyle w:val="12"/>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333003魏县污水处理厂</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992" w:type="dxa"/>
            <w:vAlign w:val="center"/>
          </w:tcPr>
          <w:p>
            <w:pPr>
              <w:pStyle w:val="12"/>
            </w:pPr>
          </w:p>
        </w:tc>
        <w:tc>
          <w:tcPr>
            <w:tcW w:w="4535" w:type="dxa"/>
            <w:vAlign w:val="center"/>
          </w:tcPr>
          <w:p>
            <w:pPr>
              <w:pStyle w:val="12"/>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333003魏县污水处理厂</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p>
        </w:tc>
        <w:tc>
          <w:tcPr>
            <w:tcW w:w="3402" w:type="dxa"/>
            <w:vAlign w:val="center"/>
          </w:tcPr>
          <w:p>
            <w:pPr>
              <w:pStyle w:val="14"/>
            </w:pPr>
            <w:r>
              <w:t>本年支出合计</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p>
        </w:tc>
        <w:tc>
          <w:tcPr>
            <w:tcW w:w="3402" w:type="dxa"/>
            <w:vAlign w:val="center"/>
          </w:tcPr>
          <w:p>
            <w:pPr>
              <w:pStyle w:val="14"/>
            </w:pPr>
            <w:r>
              <w:t>支出总计</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333003魏县污水处理厂</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333003魏县污水处理厂</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333003魏县污水处理厂</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333003魏县污水处理厂</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333003魏县污水处理厂</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魏县污水处理厂2022年单位预算信息公开情况说明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按照《预算法》、《地方预决算公开操作规程》和《关于进一步推进预算公开工作的实施意见》规定，现将魏县污水处理厂2022年单位预算公开如下：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rPr>
          <w:rFonts w:hint="eastAsia" w:eastAsia="方正仿宋_GBK"/>
          <w:lang w:eastAsia="zh-CN"/>
        </w:rPr>
      </w:pPr>
      <w:r>
        <w:rPr>
          <w:rFonts w:hint="eastAsia"/>
          <w:lang w:eastAsia="zh-CN"/>
        </w:rPr>
        <w:t>污水处理厂正常运转。</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魏县污水处理厂</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其他</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单位预算的编制实行综合预算管理，即全部收入和支出都反映在</w:t>
      </w:r>
      <w:r>
        <w:rPr>
          <w:rFonts w:hint="eastAsia" w:eastAsia="方正仿宋_GBK"/>
          <w:color w:val="000000"/>
          <w:sz w:val="28"/>
          <w:lang w:eastAsia="zh-CN"/>
        </w:rPr>
        <w:t>部门</w:t>
      </w:r>
      <w:r>
        <w:rPr>
          <w:rFonts w:eastAsia="方正仿宋_GBK"/>
          <w:color w:val="000000"/>
          <w:sz w:val="28"/>
        </w:rPr>
        <w:t>预算中。</w:t>
      </w:r>
    </w:p>
    <w:p>
      <w:pPr>
        <w:pStyle w:val="26"/>
      </w:pPr>
    </w:p>
    <w:p>
      <w:pPr>
        <w:spacing w:before="10" w:after="10"/>
        <w:ind w:firstLine="640"/>
        <w:outlineLvl w:val="5"/>
      </w:pPr>
      <w:r>
        <w:rPr>
          <w:rFonts w:ascii="黑体" w:hAnsi="黑体" w:eastAsia="黑体" w:cs="黑体"/>
          <w:color w:val="000000"/>
          <w:sz w:val="32"/>
        </w:rPr>
        <w:t>三、机关运行经费安排情况</w:t>
      </w:r>
    </w:p>
    <w:p>
      <w:pPr>
        <w:pStyle w:val="27"/>
        <w:rPr>
          <w:rFonts w:hint="eastAsia" w:eastAsia="方正仿宋_GBK"/>
          <w:lang w:eastAsia="zh-CN"/>
        </w:rPr>
      </w:pPr>
      <w:r>
        <w:rPr>
          <w:rFonts w:hint="eastAsia"/>
          <w:lang w:eastAsia="zh-CN"/>
        </w:rPr>
        <w:t>不涉及</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rPr>
          <w:rFonts w:hint="eastAsia" w:eastAsia="方正仿宋_GBK"/>
          <w:lang w:eastAsia="zh-CN"/>
        </w:rPr>
      </w:pPr>
      <w:r>
        <w:rPr>
          <w:rFonts w:hint="eastAsia"/>
          <w:lang w:eastAsia="zh-CN"/>
        </w:rPr>
        <w:t>不涉及</w:t>
      </w:r>
    </w:p>
    <w:p>
      <w:pPr>
        <w:numPr>
          <w:ilvl w:val="0"/>
          <w:numId w:val="2"/>
        </w:numPr>
        <w:spacing w:before="10" w:after="10"/>
        <w:ind w:left="0" w:leftChars="0" w:firstLine="640" w:firstLineChars="0"/>
        <w:outlineLvl w:val="5"/>
        <w:rPr>
          <w:rFonts w:ascii="黑体" w:hAnsi="黑体" w:eastAsia="黑体" w:cs="黑体"/>
          <w:color w:val="000000"/>
          <w:sz w:val="32"/>
        </w:rPr>
      </w:pPr>
      <w:r>
        <w:rPr>
          <w:rFonts w:ascii="黑体" w:hAnsi="黑体" w:eastAsia="黑体" w:cs="黑体"/>
          <w:color w:val="000000"/>
          <w:sz w:val="32"/>
        </w:rPr>
        <w:t>预算绩效信息</w:t>
      </w:r>
    </w:p>
    <w:p>
      <w:pPr>
        <w:numPr>
          <w:numId w:val="0"/>
        </w:numPr>
        <w:spacing w:before="10" w:after="10"/>
        <w:outlineLvl w:val="5"/>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不涉及</w:t>
      </w:r>
    </w:p>
    <w:p>
      <w:pPr>
        <w:numPr>
          <w:numId w:val="0"/>
        </w:numPr>
        <w:spacing w:before="10" w:after="10"/>
        <w:outlineLvl w:val="5"/>
        <w:rPr>
          <w:rFonts w:hint="default" w:ascii="黑体" w:hAnsi="黑体" w:eastAsia="黑体" w:cs="黑体"/>
          <w:color w:val="000000"/>
          <w:sz w:val="32"/>
          <w:lang w:val="en-US" w:eastAsia="zh-CN"/>
        </w:rPr>
        <w:sectPr>
          <w:pgSz w:w="16840" w:h="11900" w:orient="landscape"/>
          <w:pgMar w:top="1361" w:right="1020" w:bottom="1361" w:left="1020" w:header="720" w:footer="720" w:gutter="0"/>
          <w:cols w:space="720" w:num="1"/>
        </w:sectPr>
      </w:pPr>
      <w:r>
        <w:rPr>
          <w:rFonts w:hint="eastAsia" w:ascii="黑体" w:hAnsi="黑体" w:eastAsia="黑体" w:cs="黑体"/>
          <w:color w:val="000000"/>
          <w:sz w:val="32"/>
          <w:lang w:val="en-US" w:eastAsia="zh-CN"/>
        </w:rPr>
        <w:t xml:space="preserve">  </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2022年，魏县污水处理厂安排政府采购预算0.00万元。具体内容见下表。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333003魏县污水处理厂</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魏县污水处理厂上年末固定资产金额为0.00万元（详见下表）。本年度拟购置固定资产总额为0.00万元，已按要求列入政府采购预算，详见政府采购预算表。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333003魏县污水处理厂</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1" w:name="_Toc_4_4_0000000022"/>
      <w:r>
        <w:rPr>
          <w:rFonts w:ascii="方正小标宋_GBK" w:hAnsi="方正小标宋_GBK" w:eastAsia="方正小标宋_GBK" w:cs="方正小标宋_GBK"/>
          <w:color w:val="000000"/>
          <w:sz w:val="44"/>
        </w:rPr>
        <w:t>四、魏祠公园收支预算</w:t>
      </w:r>
      <w:bookmarkEnd w:id="21"/>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333004魏祠公园</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p>
        </w:tc>
        <w:tc>
          <w:tcPr>
            <w:tcW w:w="4535" w:type="dxa"/>
            <w:vAlign w:val="center"/>
          </w:tcPr>
          <w:p>
            <w:pPr>
              <w:pStyle w:val="14"/>
            </w:pPr>
            <w:r>
              <w:t>本年支出合计</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p>
        </w:tc>
        <w:tc>
          <w:tcPr>
            <w:tcW w:w="4535" w:type="dxa"/>
            <w:vAlign w:val="center"/>
          </w:tcPr>
          <w:p>
            <w:pPr>
              <w:pStyle w:val="14"/>
            </w:pPr>
            <w:r>
              <w:t>支出总计</w:t>
            </w:r>
          </w:p>
        </w:tc>
        <w:tc>
          <w:tcPr>
            <w:tcW w:w="2126"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333004魏祠公园</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p>
        </w:tc>
        <w:tc>
          <w:tcPr>
            <w:tcW w:w="992" w:type="dxa"/>
            <w:vAlign w:val="center"/>
          </w:tcPr>
          <w:p>
            <w:pPr>
              <w:pStyle w:val="12"/>
            </w:pPr>
          </w:p>
        </w:tc>
        <w:tc>
          <w:tcPr>
            <w:tcW w:w="1559" w:type="dxa"/>
            <w:vAlign w:val="center"/>
          </w:tcPr>
          <w:p>
            <w:pPr>
              <w:pStyle w:val="12"/>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333004魏祠公园</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992" w:type="dxa"/>
            <w:vAlign w:val="center"/>
          </w:tcPr>
          <w:p>
            <w:pPr>
              <w:pStyle w:val="12"/>
            </w:pPr>
          </w:p>
        </w:tc>
        <w:tc>
          <w:tcPr>
            <w:tcW w:w="4535" w:type="dxa"/>
            <w:vAlign w:val="center"/>
          </w:tcPr>
          <w:p>
            <w:pPr>
              <w:pStyle w:val="12"/>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333004魏祠公园</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p>
        </w:tc>
        <w:tc>
          <w:tcPr>
            <w:tcW w:w="3402" w:type="dxa"/>
            <w:vAlign w:val="center"/>
          </w:tcPr>
          <w:p>
            <w:pPr>
              <w:pStyle w:val="14"/>
            </w:pPr>
            <w:r>
              <w:t>本年支出合计</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p>
        </w:tc>
        <w:tc>
          <w:tcPr>
            <w:tcW w:w="3402" w:type="dxa"/>
            <w:vAlign w:val="center"/>
          </w:tcPr>
          <w:p>
            <w:pPr>
              <w:pStyle w:val="14"/>
            </w:pPr>
            <w:r>
              <w:t>支出总计</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333004魏祠公园</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333004魏祠公园</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333004魏祠公园</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333004魏祠公园</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333004魏祠公园</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魏祠公园2022年单位预算信息公开情况说明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按照《预算法》、《地方预决算公开操作规程》和《关于进一步推进预算公开工作的实施意见》规定，现将魏祠公园2022年单位预算公开如下：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rPr>
          <w:rFonts w:hint="eastAsia" w:eastAsia="方正仿宋_GBK"/>
          <w:lang w:eastAsia="zh-CN"/>
        </w:rPr>
      </w:pPr>
      <w:r>
        <w:rPr>
          <w:rFonts w:hint="eastAsia"/>
          <w:lang w:eastAsia="zh-CN"/>
        </w:rPr>
        <w:t>魏祠公园运行管理。</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魏祠公园</w:t>
            </w:r>
          </w:p>
        </w:tc>
        <w:tc>
          <w:tcPr>
            <w:tcW w:w="1843" w:type="dxa"/>
            <w:vAlign w:val="center"/>
          </w:tcPr>
          <w:p>
            <w:pPr>
              <w:pStyle w:val="13"/>
            </w:pPr>
            <w:r>
              <w:t>事业</w:t>
            </w:r>
          </w:p>
        </w:tc>
        <w:tc>
          <w:tcPr>
            <w:tcW w:w="2126" w:type="dxa"/>
            <w:vAlign w:val="center"/>
          </w:tcPr>
          <w:p>
            <w:pPr>
              <w:pStyle w:val="13"/>
            </w:pPr>
            <w:r>
              <w:t>副科级</w:t>
            </w:r>
          </w:p>
        </w:tc>
        <w:tc>
          <w:tcPr>
            <w:tcW w:w="3827" w:type="dxa"/>
            <w:vAlign w:val="center"/>
          </w:tcPr>
          <w:p>
            <w:pPr>
              <w:pStyle w:val="13"/>
            </w:pPr>
            <w:r>
              <w:t>其他</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w:t>
      </w:r>
      <w:r>
        <w:rPr>
          <w:rFonts w:hint="eastAsia" w:eastAsia="方正仿宋_GBK"/>
          <w:color w:val="000000"/>
          <w:sz w:val="28"/>
          <w:lang w:eastAsia="zh-CN"/>
        </w:rPr>
        <w:t>住建局部门</w:t>
      </w:r>
      <w:r>
        <w:rPr>
          <w:rFonts w:eastAsia="方正仿宋_GBK"/>
          <w:color w:val="000000"/>
          <w:sz w:val="28"/>
        </w:rPr>
        <w:t>预算中。</w:t>
      </w:r>
    </w:p>
    <w:p>
      <w:pPr>
        <w:pStyle w:val="26"/>
      </w:pPr>
    </w:p>
    <w:p>
      <w:pPr>
        <w:spacing w:before="10" w:after="10"/>
        <w:ind w:firstLine="640"/>
        <w:outlineLvl w:val="5"/>
      </w:pPr>
      <w:r>
        <w:rPr>
          <w:rFonts w:ascii="黑体" w:hAnsi="黑体" w:eastAsia="黑体" w:cs="黑体"/>
          <w:color w:val="000000"/>
          <w:sz w:val="32"/>
        </w:rPr>
        <w:t>三、机关运行经费安排情况</w:t>
      </w:r>
    </w:p>
    <w:p>
      <w:pPr>
        <w:pStyle w:val="27"/>
        <w:rPr>
          <w:rFonts w:hint="eastAsia" w:eastAsia="方正仿宋_GBK"/>
          <w:lang w:eastAsia="zh-CN"/>
        </w:rPr>
      </w:pPr>
      <w:r>
        <w:rPr>
          <w:rFonts w:hint="eastAsia"/>
          <w:lang w:eastAsia="zh-CN"/>
        </w:rPr>
        <w:t>不涉及</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7"/>
      </w:pPr>
      <w:r>
        <w:rPr>
          <w:rFonts w:hint="eastAsia"/>
          <w:lang w:eastAsia="zh-CN"/>
        </w:rPr>
        <w:t>不涉及</w:t>
      </w:r>
    </w:p>
    <w:p>
      <w:pPr>
        <w:numPr>
          <w:ilvl w:val="0"/>
          <w:numId w:val="3"/>
        </w:numPr>
        <w:spacing w:before="10" w:after="10"/>
        <w:ind w:firstLine="640"/>
        <w:outlineLvl w:val="5"/>
        <w:rPr>
          <w:rFonts w:hint="eastAsia" w:eastAsia="方正仿宋_GBK"/>
          <w:lang w:eastAsia="zh-CN"/>
        </w:rPr>
      </w:pPr>
      <w:r>
        <w:rPr>
          <w:rFonts w:ascii="黑体" w:hAnsi="黑体" w:eastAsia="黑体" w:cs="黑体"/>
          <w:color w:val="000000"/>
          <w:sz w:val="32"/>
        </w:rPr>
        <w:t>预算绩效信息</w:t>
      </w:r>
    </w:p>
    <w:p>
      <w:pPr>
        <w:numPr>
          <w:numId w:val="0"/>
        </w:numPr>
        <w:spacing w:before="10" w:after="10"/>
        <w:ind w:firstLine="720" w:firstLineChars="300"/>
        <w:outlineLvl w:val="5"/>
        <w:rPr>
          <w:rFonts w:hint="eastAsia" w:eastAsia="方正仿宋_GBK"/>
          <w:lang w:eastAsia="zh-CN"/>
        </w:rPr>
      </w:pPr>
      <w:r>
        <w:rPr>
          <w:rFonts w:hint="eastAsia"/>
          <w:lang w:eastAsia="zh-CN"/>
        </w:rPr>
        <w:t>不涉及</w:t>
      </w:r>
    </w:p>
    <w:p>
      <w:pPr>
        <w:numPr>
          <w:numId w:val="0"/>
        </w:numPr>
        <w:spacing w:before="10" w:after="10"/>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2022年，魏祠公园安排政府采购预算0.00万元。具体内容见下表。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333004魏祠公园</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魏祠公园上年末固定资产金额为0.00万元（详见下表）。本年度拟购置固定资产总额为0.00万元，已按要求列入政府采购预算，详见政府采购预算表。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333004魏祠公园</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bookmarkStart w:id="22" w:name="_GoBack"/>
      <w:bookmarkEnd w:id="22"/>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322C5F"/>
    <w:multiLevelType w:val="singleLevel"/>
    <w:tmpl w:val="CE322C5F"/>
    <w:lvl w:ilvl="0" w:tentative="0">
      <w:start w:val="5"/>
      <w:numFmt w:val="chineseCounting"/>
      <w:suff w:val="nothing"/>
      <w:lvlText w:val="%1、"/>
      <w:lvlJc w:val="left"/>
      <w:rPr>
        <w:rFonts w:hint="eastAsia"/>
      </w:rPr>
    </w:lvl>
  </w:abstractNum>
  <w:abstractNum w:abstractNumId="1">
    <w:nsid w:val="D522388B"/>
    <w:multiLevelType w:val="singleLevel"/>
    <w:tmpl w:val="D522388B"/>
    <w:lvl w:ilvl="0" w:tentative="0">
      <w:start w:val="2"/>
      <w:numFmt w:val="chineseCounting"/>
      <w:suff w:val="space"/>
      <w:lvlText w:val="第%1部分"/>
      <w:lvlJc w:val="left"/>
      <w:rPr>
        <w:rFonts w:hint="eastAsia"/>
      </w:rPr>
    </w:lvl>
  </w:abstractNum>
  <w:abstractNum w:abstractNumId="2">
    <w:nsid w:val="0CB02362"/>
    <w:multiLevelType w:val="singleLevel"/>
    <w:tmpl w:val="0CB02362"/>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D32725"/>
    <w:rsid w:val="00024D2D"/>
    <w:rsid w:val="00D32725"/>
    <w:rsid w:val="583F4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uiPriority w:val="99"/>
    <w:pPr>
      <w:tabs>
        <w:tab w:val="center" w:pos="4153"/>
        <w:tab w:val="right" w:pos="8306"/>
      </w:tabs>
      <w:snapToGrid w:val="0"/>
    </w:pPr>
    <w:rPr>
      <w:sz w:val="18"/>
      <w:szCs w:val="18"/>
    </w:rPr>
  </w:style>
  <w:style w:type="paragraph" w:styleId="3">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uiPriority w:val="99"/>
    <w:rPr>
      <w:rFonts w:eastAsia="Times New Roman"/>
      <w:sz w:val="18"/>
      <w:szCs w:val="18"/>
      <w:lang w:eastAsia="uk-UA"/>
    </w:rPr>
  </w:style>
  <w:style w:type="character" w:customStyle="1" w:styleId="34">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numbering" Target="numbering.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4" Type="http://schemas.openxmlformats.org/officeDocument/2006/relationships/fontTable" Target="fontTable.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2022-03-07T08:34:46Z</dcterms:created>
  <dcterms:modified xsi:type="dcterms:W3CDTF">2022-03-07T00:34:46Z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2022-03-07T08:34:37Z</dcterms:created>
  <dcterms:modified xsi:type="dcterms:W3CDTF">2022-03-07T00:34:37Z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2022-03-07T08:34:51Z</dcterms:created>
  <dcterms:modified xsi:type="dcterms:W3CDTF">2022-03-07T00:34:51Z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2022-03-07T08:34:45Z</dcterms:created>
  <dcterms:modified xsi:type="dcterms:W3CDTF">2022-03-07T00:34:45Z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2022-03-07T08:34:47Z</dcterms:created>
  <dcterms:modified xsi:type="dcterms:W3CDTF">2022-03-07T00:34:47Z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2022-03-07T08:34:46Z</dcterms:created>
  <dcterms:modified xsi:type="dcterms:W3CDTF">2022-03-07T00:34:46Z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2022-03-07T08:34:46Z</dcterms:created>
  <dcterms:modified xsi:type="dcterms:W3CDTF">2022-03-07T00:34:46Z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2022-03-07T08:34:38Z</dcterms:created>
  <dcterms:modified xsi:type="dcterms:W3CDTF">2022-03-07T00:34:38Z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2022-03-07T08:34:55Z</dcterms:created>
  <dcterms:modified xsi:type="dcterms:W3CDTF">2022-03-07T00:34:55Z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2022-03-07T08:34:47Z</dcterms:created>
  <dcterms:modified xsi:type="dcterms:W3CDTF">2022-03-07T00:34:47Z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2022-03-07T08:34:45Z</dcterms:created>
  <dcterms:modified xsi:type="dcterms:W3CDTF">2022-03-07T00:34:45Z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2022-03-07T08:34:43Z</dcterms:created>
  <dcterms:modified xsi:type="dcterms:W3CDTF">2022-03-07T00:34:43Z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2022-03-07T08:34:38Z</dcterms:created>
  <dcterms:modified xsi:type="dcterms:W3CDTF">2022-03-07T00:34:38Z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2022-03-07T08:34:37Z</dcterms:created>
  <dcterms:modified xsi:type="dcterms:W3CDTF">2022-03-07T00:34:37Z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2022-03-07T08:34:35Z</dcterms:created>
  <dcterms:modified xsi:type="dcterms:W3CDTF">2022-03-07T00:34:35Z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2022-03-07T08:34:48Z</dcterms:created>
  <dcterms:modified xsi:type="dcterms:W3CDTF">2022-03-07T00:34:47Z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2022-03-07T08:34:47Z</dcterms:created>
  <dcterms:modified xsi:type="dcterms:W3CDTF">2022-03-07T00:34:47Z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2022-03-07T08:34:46Z</dcterms:created>
  <dcterms:modified xsi:type="dcterms:W3CDTF">2022-03-07T00:34:46Z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2022-03-07T08:34:39Z</dcterms:created>
  <dcterms:modified xsi:type="dcterms:W3CDTF">2022-03-07T00:34:39Z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2022-03-07T08:34:39Z</dcterms:created>
  <dcterms:modified xsi:type="dcterms:W3CDTF">2022-03-07T00:34:39Z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2022-03-07T08:34:46Z</dcterms:created>
  <dcterms:modified xsi:type="dcterms:W3CDTF">2022-03-07T00:34:46Z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2022-03-07T08:34:45Z</dcterms:created>
  <dcterms:modified xsi:type="dcterms:W3CDTF">2022-03-07T00:34:45Z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2022-03-07T08:34:39Z</dcterms:created>
  <dcterms:modified xsi:type="dcterms:W3CDTF">2022-03-07T00:34:38Z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2022-03-07T08:34:38Z</dcterms:created>
  <dcterms:modified xsi:type="dcterms:W3CDTF">2022-03-07T00:34:38Z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2022-03-07T08:34:37Z</dcterms:created>
  <dcterms:modified xsi:type="dcterms:W3CDTF">2022-03-07T00:34:37Z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2022-03-07T08:34:57Z</dcterms:created>
  <dcterms:modified xsi:type="dcterms:W3CDTF">2022-03-07T00:34:57Z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2022-03-07T08:34:36Z</dcterms:created>
  <dcterms:modified xsi:type="dcterms:W3CDTF">2022-03-07T00:34:36Z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2022-03-07T08:34:46Z</dcterms:created>
  <dcterms:modified xsi:type="dcterms:W3CDTF">2022-03-07T00:34:46Z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2022-03-07T08:34:48Z</dcterms:created>
  <dcterms:modified xsi:type="dcterms:W3CDTF">2022-03-07T00:34:48Z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2022-03-07T08:34:47Z</dcterms:created>
  <dcterms:modified xsi:type="dcterms:W3CDTF">2022-03-07T00:34:47Z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2022-03-07T08:34:37Z</dcterms:created>
  <dcterms:modified xsi:type="dcterms:W3CDTF">2022-03-07T00:34:37Z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2022-03-07T08:34:45Z</dcterms:created>
  <dcterms:modified xsi:type="dcterms:W3CDTF">2022-03-07T00:34:45Z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2022-03-07T08:34:47Z</dcterms:created>
  <dcterms:modified xsi:type="dcterms:W3CDTF">2022-03-07T00:34:47Z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2022-03-07T08:34:46Z</dcterms:created>
  <dcterms:modified xsi:type="dcterms:W3CDTF">2022-03-07T00:34:46Z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2022-03-07T08:34:40Z</dcterms:created>
  <dcterms:modified xsi:type="dcterms:W3CDTF">2022-03-07T00:34:40Z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2022-03-07T08:34:39Z</dcterms:created>
  <dcterms:modified xsi:type="dcterms:W3CDTF">2022-03-07T00:34:39Z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2022-03-07T08:34:37Z</dcterms:created>
  <dcterms:modified xsi:type="dcterms:W3CDTF">2022-03-07T00:34:37Z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2022-03-07T08:34:39Z</dcterms:created>
  <dcterms:modified xsi:type="dcterms:W3CDTF">2022-03-07T00:34:39Z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2022-03-07T08:34:38Z</dcterms:created>
  <dcterms:modified xsi:type="dcterms:W3CDTF">2022-03-07T00:34:38Z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2022-03-07T08:34:58Z</dcterms:created>
  <dcterms:modified xsi:type="dcterms:W3CDTF">2022-03-07T00:34:58Z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2022-03-07T08:34:37Z</dcterms:created>
  <dcterms:modified xsi:type="dcterms:W3CDTF">2022-03-07T00:34:37Z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2022-03-07T08:34:51Z</dcterms:created>
  <dcterms:modified xsi:type="dcterms:W3CDTF">2022-03-07T00:34:51Z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2022-03-07T08:34:45Z</dcterms:created>
  <dcterms:modified xsi:type="dcterms:W3CDTF">2022-03-07T00:34:45Z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2022-03-07T08:34:36Z</dcterms:created>
  <dcterms:modified xsi:type="dcterms:W3CDTF">2022-03-07T00:34:36Z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2022-03-07T08:34:47Z</dcterms:created>
  <dcterms:modified xsi:type="dcterms:W3CDTF">2022-03-07T00:34:47Z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2022-03-07T08:34:47Z</dcterms:created>
  <dcterms:modified xsi:type="dcterms:W3CDTF">2022-03-07T00:34:47Z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2022-03-07T08:34:38Z</dcterms:created>
  <dcterms:modified xsi:type="dcterms:W3CDTF">2022-03-07T00:34:38Z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2022-03-07T08:34:54Z</dcterms:created>
  <dcterms:modified xsi:type="dcterms:W3CDTF">2022-03-07T00:34:54Z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2022-03-07T08:34:45Z</dcterms:created>
  <dcterms:modified xsi:type="dcterms:W3CDTF">2022-03-07T00:34:45Z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2022-03-07T08:34:39Z</dcterms:created>
  <dcterms:modified xsi:type="dcterms:W3CDTF">2022-03-07T00:34:39Z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2022-03-07T08:34:39Z</dcterms:created>
  <dcterms:modified xsi:type="dcterms:W3CDTF">2022-03-07T00:34:39Z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2022-03-07T08:34:37Z</dcterms:created>
  <dcterms:modified xsi:type="dcterms:W3CDTF">2022-03-07T00:34:37Z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2022-03-07T08:34:38Z</dcterms:created>
  <dcterms:modified xsi:type="dcterms:W3CDTF">2022-03-07T00:34:38Z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491876C-1501-4CDF-805E-54F9CAD39EC7}">
  <ds:schemaRefs/>
</ds:datastoreItem>
</file>

<file path=customXml/itemProps100.xml><?xml version="1.0" encoding="utf-8"?>
<ds:datastoreItem xmlns:ds="http://schemas.openxmlformats.org/officeDocument/2006/customXml" ds:itemID="{774B3D81-DA56-4A65-A2C1-CE99804E0F0D}">
  <ds:schemaRefs/>
</ds:datastoreItem>
</file>

<file path=customXml/itemProps101.xml><?xml version="1.0" encoding="utf-8"?>
<ds:datastoreItem xmlns:ds="http://schemas.openxmlformats.org/officeDocument/2006/customXml" ds:itemID="{AECC220D-C81E-4DAD-9915-38176C87C451}">
  <ds:schemaRefs/>
</ds:datastoreItem>
</file>

<file path=customXml/itemProps102.xml><?xml version="1.0" encoding="utf-8"?>
<ds:datastoreItem xmlns:ds="http://schemas.openxmlformats.org/officeDocument/2006/customXml" ds:itemID="{7D6970E8-66F7-4774-9F5A-6D9AD8FD7C6A}">
  <ds:schemaRefs/>
</ds:datastoreItem>
</file>

<file path=customXml/itemProps103.xml><?xml version="1.0" encoding="utf-8"?>
<ds:datastoreItem xmlns:ds="http://schemas.openxmlformats.org/officeDocument/2006/customXml" ds:itemID="{1703DC96-DB06-4F30-81D5-DBC148FEC834}">
  <ds:schemaRefs/>
</ds:datastoreItem>
</file>

<file path=customXml/itemProps104.xml><?xml version="1.0" encoding="utf-8"?>
<ds:datastoreItem xmlns:ds="http://schemas.openxmlformats.org/officeDocument/2006/customXml" ds:itemID="{D930988E-F4C8-4EC0-824F-F97579AC39E1}">
  <ds:schemaRefs/>
</ds:datastoreItem>
</file>

<file path=customXml/itemProps105.xml><?xml version="1.0" encoding="utf-8"?>
<ds:datastoreItem xmlns:ds="http://schemas.openxmlformats.org/officeDocument/2006/customXml" ds:itemID="{B1F22576-1879-4B80-B697-0A932FCFA270}">
  <ds:schemaRefs/>
</ds:datastoreItem>
</file>

<file path=customXml/itemProps106.xml><?xml version="1.0" encoding="utf-8"?>
<ds:datastoreItem xmlns:ds="http://schemas.openxmlformats.org/officeDocument/2006/customXml" ds:itemID="{344937D3-77E4-43F8-B08D-A2B52D3AB7E0}">
  <ds:schemaRefs/>
</ds:datastoreItem>
</file>

<file path=customXml/itemProps107.xml><?xml version="1.0" encoding="utf-8"?>
<ds:datastoreItem xmlns:ds="http://schemas.openxmlformats.org/officeDocument/2006/customXml" ds:itemID="{63886C37-21B6-4E2A-9111-3B3EB348F5D4}">
  <ds:schemaRefs/>
</ds:datastoreItem>
</file>

<file path=customXml/itemProps11.xml><?xml version="1.0" encoding="utf-8"?>
<ds:datastoreItem xmlns:ds="http://schemas.openxmlformats.org/officeDocument/2006/customXml" ds:itemID="{0E02BC2C-62AB-43D7-B21C-9688DDEAA1AC}">
  <ds:schemaRefs/>
</ds:datastoreItem>
</file>

<file path=customXml/itemProps12.xml><?xml version="1.0" encoding="utf-8"?>
<ds:datastoreItem xmlns:ds="http://schemas.openxmlformats.org/officeDocument/2006/customXml" ds:itemID="{D6D8105C-9BB1-4CC3-B3E3-6B1D13A9558A}">
  <ds:schemaRefs/>
</ds:datastoreItem>
</file>

<file path=customXml/itemProps13.xml><?xml version="1.0" encoding="utf-8"?>
<ds:datastoreItem xmlns:ds="http://schemas.openxmlformats.org/officeDocument/2006/customXml" ds:itemID="{E16D989F-76FA-472C-A247-82AACFA19618}">
  <ds:schemaRefs/>
</ds:datastoreItem>
</file>

<file path=customXml/itemProps14.xml><?xml version="1.0" encoding="utf-8"?>
<ds:datastoreItem xmlns:ds="http://schemas.openxmlformats.org/officeDocument/2006/customXml" ds:itemID="{5DE4220C-BE87-4428-9D53-890157C1E069}">
  <ds:schemaRefs/>
</ds:datastoreItem>
</file>

<file path=customXml/itemProps15.xml><?xml version="1.0" encoding="utf-8"?>
<ds:datastoreItem xmlns:ds="http://schemas.openxmlformats.org/officeDocument/2006/customXml" ds:itemID="{740DFE2F-721F-4647-81B0-4670DE2C40B8}">
  <ds:schemaRefs/>
</ds:datastoreItem>
</file>

<file path=customXml/itemProps16.xml><?xml version="1.0" encoding="utf-8"?>
<ds:datastoreItem xmlns:ds="http://schemas.openxmlformats.org/officeDocument/2006/customXml" ds:itemID="{A6EDC729-2D90-4AF4-BB64-D0758ED3AE43}">
  <ds:schemaRefs/>
</ds:datastoreItem>
</file>

<file path=customXml/itemProps17.xml><?xml version="1.0" encoding="utf-8"?>
<ds:datastoreItem xmlns:ds="http://schemas.openxmlformats.org/officeDocument/2006/customXml" ds:itemID="{74DF107E-0236-4187-8F4A-027A42FE1D95}">
  <ds:schemaRefs/>
</ds:datastoreItem>
</file>

<file path=customXml/itemProps18.xml><?xml version="1.0" encoding="utf-8"?>
<ds:datastoreItem xmlns:ds="http://schemas.openxmlformats.org/officeDocument/2006/customXml" ds:itemID="{16ABA4C7-FD92-4D02-9A2C-049D8F04039C}">
  <ds:schemaRefs/>
</ds:datastoreItem>
</file>

<file path=customXml/itemProps19.xml><?xml version="1.0" encoding="utf-8"?>
<ds:datastoreItem xmlns:ds="http://schemas.openxmlformats.org/officeDocument/2006/customXml" ds:itemID="{953F4F04-CFF1-48E1-92F6-8B1EC41FC126}">
  <ds:schemaRefs/>
</ds:datastoreItem>
</file>

<file path=customXml/itemProps2.xml><?xml version="1.0" encoding="utf-8"?>
<ds:datastoreItem xmlns:ds="http://schemas.openxmlformats.org/officeDocument/2006/customXml" ds:itemID="{473C3813-6C75-4D0B-9A30-0B2C8748B71A}">
  <ds:schemaRefs/>
</ds:datastoreItem>
</file>

<file path=customXml/itemProps20.xml><?xml version="1.0" encoding="utf-8"?>
<ds:datastoreItem xmlns:ds="http://schemas.openxmlformats.org/officeDocument/2006/customXml" ds:itemID="{36197C05-C76C-41E0-86BD-D14D5141C398}">
  <ds:schemaRefs/>
</ds:datastoreItem>
</file>

<file path=customXml/itemProps21.xml><?xml version="1.0" encoding="utf-8"?>
<ds:datastoreItem xmlns:ds="http://schemas.openxmlformats.org/officeDocument/2006/customXml" ds:itemID="{1241D78C-91D6-4EEE-86B3-6C7A6BE934A0}">
  <ds:schemaRefs/>
</ds:datastoreItem>
</file>

<file path=customXml/itemProps22.xml><?xml version="1.0" encoding="utf-8"?>
<ds:datastoreItem xmlns:ds="http://schemas.openxmlformats.org/officeDocument/2006/customXml" ds:itemID="{353E7A04-1B37-4897-8070-F9E85BC4282E}">
  <ds:schemaRefs/>
</ds:datastoreItem>
</file>

<file path=customXml/itemProps23.xml><?xml version="1.0" encoding="utf-8"?>
<ds:datastoreItem xmlns:ds="http://schemas.openxmlformats.org/officeDocument/2006/customXml" ds:itemID="{EB2CB2CF-CD3D-45B4-B1FE-C68D33E19551}">
  <ds:schemaRefs/>
</ds:datastoreItem>
</file>

<file path=customXml/itemProps24.xml><?xml version="1.0" encoding="utf-8"?>
<ds:datastoreItem xmlns:ds="http://schemas.openxmlformats.org/officeDocument/2006/customXml" ds:itemID="{114308E4-4437-41A3-89D0-E21899CF815C}">
  <ds:schemaRefs/>
</ds:datastoreItem>
</file>

<file path=customXml/itemProps25.xml><?xml version="1.0" encoding="utf-8"?>
<ds:datastoreItem xmlns:ds="http://schemas.openxmlformats.org/officeDocument/2006/customXml" ds:itemID="{53A33A73-0982-4AC5-9080-9322117101C1}">
  <ds:schemaRefs/>
</ds:datastoreItem>
</file>

<file path=customXml/itemProps26.xml><?xml version="1.0" encoding="utf-8"?>
<ds:datastoreItem xmlns:ds="http://schemas.openxmlformats.org/officeDocument/2006/customXml" ds:itemID="{46346CCE-02FC-4D59-8F70-54ED3B20B56A}">
  <ds:schemaRefs/>
</ds:datastoreItem>
</file>

<file path=customXml/itemProps27.xml><?xml version="1.0" encoding="utf-8"?>
<ds:datastoreItem xmlns:ds="http://schemas.openxmlformats.org/officeDocument/2006/customXml" ds:itemID="{C9182C9D-6CFB-4893-8B85-B286BDE2FC8C}">
  <ds:schemaRefs/>
</ds:datastoreItem>
</file>

<file path=customXml/itemProps28.xml><?xml version="1.0" encoding="utf-8"?>
<ds:datastoreItem xmlns:ds="http://schemas.openxmlformats.org/officeDocument/2006/customXml" ds:itemID="{522DF864-0741-4BCF-BD23-97953A2BE617}">
  <ds:schemaRefs/>
</ds:datastoreItem>
</file>

<file path=customXml/itemProps29.xml><?xml version="1.0" encoding="utf-8"?>
<ds:datastoreItem xmlns:ds="http://schemas.openxmlformats.org/officeDocument/2006/customXml" ds:itemID="{349CF718-8FF2-4B90-B89A-B666A8C2EF8E}">
  <ds:schemaRefs/>
</ds:datastoreItem>
</file>

<file path=customXml/itemProps3.xml><?xml version="1.0" encoding="utf-8"?>
<ds:datastoreItem xmlns:ds="http://schemas.openxmlformats.org/officeDocument/2006/customXml" ds:itemID="{3C220D6D-20AC-47D6-A1FA-41E5069730F9}">
  <ds:schemaRefs/>
</ds:datastoreItem>
</file>

<file path=customXml/itemProps30.xml><?xml version="1.0" encoding="utf-8"?>
<ds:datastoreItem xmlns:ds="http://schemas.openxmlformats.org/officeDocument/2006/customXml" ds:itemID="{897CFC44-EB5B-4F87-B868-B38914D3950F}">
  <ds:schemaRefs/>
</ds:datastoreItem>
</file>

<file path=customXml/itemProps31.xml><?xml version="1.0" encoding="utf-8"?>
<ds:datastoreItem xmlns:ds="http://schemas.openxmlformats.org/officeDocument/2006/customXml" ds:itemID="{8473F6E8-5D17-451C-A708-D6DAA91884A6}">
  <ds:schemaRefs/>
</ds:datastoreItem>
</file>

<file path=customXml/itemProps32.xml><?xml version="1.0" encoding="utf-8"?>
<ds:datastoreItem xmlns:ds="http://schemas.openxmlformats.org/officeDocument/2006/customXml" ds:itemID="{B55E0E68-87CE-4E3C-A0D2-6813E8837648}">
  <ds:schemaRefs/>
</ds:datastoreItem>
</file>

<file path=customXml/itemProps33.xml><?xml version="1.0" encoding="utf-8"?>
<ds:datastoreItem xmlns:ds="http://schemas.openxmlformats.org/officeDocument/2006/customXml" ds:itemID="{DF394292-DD42-46E7-A8AB-8A75E87C620F}">
  <ds:schemaRefs/>
</ds:datastoreItem>
</file>

<file path=customXml/itemProps34.xml><?xml version="1.0" encoding="utf-8"?>
<ds:datastoreItem xmlns:ds="http://schemas.openxmlformats.org/officeDocument/2006/customXml" ds:itemID="{99C8E1B5-01DC-4D97-B3D8-5E3FE9C5E201}">
  <ds:schemaRefs/>
</ds:datastoreItem>
</file>

<file path=customXml/itemProps35.xml><?xml version="1.0" encoding="utf-8"?>
<ds:datastoreItem xmlns:ds="http://schemas.openxmlformats.org/officeDocument/2006/customXml" ds:itemID="{759F4F17-CE31-46C2-9371-16EDBE3BF6F6}">
  <ds:schemaRefs/>
</ds:datastoreItem>
</file>

<file path=customXml/itemProps36.xml><?xml version="1.0" encoding="utf-8"?>
<ds:datastoreItem xmlns:ds="http://schemas.openxmlformats.org/officeDocument/2006/customXml" ds:itemID="{B6E498D7-2B0F-498C-B41B-D1FBE9206208}">
  <ds:schemaRefs/>
</ds:datastoreItem>
</file>

<file path=customXml/itemProps37.xml><?xml version="1.0" encoding="utf-8"?>
<ds:datastoreItem xmlns:ds="http://schemas.openxmlformats.org/officeDocument/2006/customXml" ds:itemID="{9F1842D5-F88C-42FA-B126-B85E6CFD64EE}">
  <ds:schemaRefs/>
</ds:datastoreItem>
</file>

<file path=customXml/itemProps38.xml><?xml version="1.0" encoding="utf-8"?>
<ds:datastoreItem xmlns:ds="http://schemas.openxmlformats.org/officeDocument/2006/customXml" ds:itemID="{A98929C4-7D7D-44B5-99BB-723E8893A8E1}">
  <ds:schemaRefs/>
</ds:datastoreItem>
</file>

<file path=customXml/itemProps39.xml><?xml version="1.0" encoding="utf-8"?>
<ds:datastoreItem xmlns:ds="http://schemas.openxmlformats.org/officeDocument/2006/customXml" ds:itemID="{BBB93F26-7947-4CF3-9FCA-7C2D16698EDF}">
  <ds:schemaRefs/>
</ds:datastoreItem>
</file>

<file path=customXml/itemProps4.xml><?xml version="1.0" encoding="utf-8"?>
<ds:datastoreItem xmlns:ds="http://schemas.openxmlformats.org/officeDocument/2006/customXml" ds:itemID="{1F97F72D-07AE-42BA-82AE-4A583AF8CC52}">
  <ds:schemaRefs/>
</ds:datastoreItem>
</file>

<file path=customXml/itemProps40.xml><?xml version="1.0" encoding="utf-8"?>
<ds:datastoreItem xmlns:ds="http://schemas.openxmlformats.org/officeDocument/2006/customXml" ds:itemID="{5D8F26D1-DC1A-45B0-87C3-1107B269853F}">
  <ds:schemaRefs/>
</ds:datastoreItem>
</file>

<file path=customXml/itemProps41.xml><?xml version="1.0" encoding="utf-8"?>
<ds:datastoreItem xmlns:ds="http://schemas.openxmlformats.org/officeDocument/2006/customXml" ds:itemID="{EC39255E-1E3F-40F5-8A72-6FC03B0A8AA3}">
  <ds:schemaRefs/>
</ds:datastoreItem>
</file>

<file path=customXml/itemProps42.xml><?xml version="1.0" encoding="utf-8"?>
<ds:datastoreItem xmlns:ds="http://schemas.openxmlformats.org/officeDocument/2006/customXml" ds:itemID="{752AE8D8-DE7E-4F41-8BC4-5DD8A88ED1B2}">
  <ds:schemaRefs/>
</ds:datastoreItem>
</file>

<file path=customXml/itemProps43.xml><?xml version="1.0" encoding="utf-8"?>
<ds:datastoreItem xmlns:ds="http://schemas.openxmlformats.org/officeDocument/2006/customXml" ds:itemID="{D35948A2-8662-4A0E-AF52-105E16B30538}">
  <ds:schemaRefs/>
</ds:datastoreItem>
</file>

<file path=customXml/itemProps44.xml><?xml version="1.0" encoding="utf-8"?>
<ds:datastoreItem xmlns:ds="http://schemas.openxmlformats.org/officeDocument/2006/customXml" ds:itemID="{FB837C4F-A734-4DCB-A650-358B3A5B426F}">
  <ds:schemaRefs/>
</ds:datastoreItem>
</file>

<file path=customXml/itemProps45.xml><?xml version="1.0" encoding="utf-8"?>
<ds:datastoreItem xmlns:ds="http://schemas.openxmlformats.org/officeDocument/2006/customXml" ds:itemID="{E1510393-7F9D-452C-883E-30CE99C091BA}">
  <ds:schemaRefs/>
</ds:datastoreItem>
</file>

<file path=customXml/itemProps46.xml><?xml version="1.0" encoding="utf-8"?>
<ds:datastoreItem xmlns:ds="http://schemas.openxmlformats.org/officeDocument/2006/customXml" ds:itemID="{1B65A3E8-2B83-470F-8F93-49B80BA9CBFA}">
  <ds:schemaRefs/>
</ds:datastoreItem>
</file>

<file path=customXml/itemProps47.xml><?xml version="1.0" encoding="utf-8"?>
<ds:datastoreItem xmlns:ds="http://schemas.openxmlformats.org/officeDocument/2006/customXml" ds:itemID="{06C58B6A-4062-47B1-AAE0-B3D35D1AA590}">
  <ds:schemaRefs/>
</ds:datastoreItem>
</file>

<file path=customXml/itemProps48.xml><?xml version="1.0" encoding="utf-8"?>
<ds:datastoreItem xmlns:ds="http://schemas.openxmlformats.org/officeDocument/2006/customXml" ds:itemID="{0BFCA71D-1ED8-464E-8438-63E902CBE458}">
  <ds:schemaRefs/>
</ds:datastoreItem>
</file>

<file path=customXml/itemProps49.xml><?xml version="1.0" encoding="utf-8"?>
<ds:datastoreItem xmlns:ds="http://schemas.openxmlformats.org/officeDocument/2006/customXml" ds:itemID="{379B0F0D-F421-4632-9AC6-EF787E216EDE}">
  <ds:schemaRefs/>
</ds:datastoreItem>
</file>

<file path=customXml/itemProps5.xml><?xml version="1.0" encoding="utf-8"?>
<ds:datastoreItem xmlns:ds="http://schemas.openxmlformats.org/officeDocument/2006/customXml" ds:itemID="{8B00CC06-69B0-4904-88C0-E98B2C298D85}">
  <ds:schemaRefs/>
</ds:datastoreItem>
</file>

<file path=customXml/itemProps50.xml><?xml version="1.0" encoding="utf-8"?>
<ds:datastoreItem xmlns:ds="http://schemas.openxmlformats.org/officeDocument/2006/customXml" ds:itemID="{BDA709CA-479C-4F4F-BC3E-6FDB2778E454}">
  <ds:schemaRefs/>
</ds:datastoreItem>
</file>

<file path=customXml/itemProps51.xml><?xml version="1.0" encoding="utf-8"?>
<ds:datastoreItem xmlns:ds="http://schemas.openxmlformats.org/officeDocument/2006/customXml" ds:itemID="{F9A7388B-DA6D-4C32-9A67-51E7BE707907}">
  <ds:schemaRefs/>
</ds:datastoreItem>
</file>

<file path=customXml/itemProps52.xml><?xml version="1.0" encoding="utf-8"?>
<ds:datastoreItem xmlns:ds="http://schemas.openxmlformats.org/officeDocument/2006/customXml" ds:itemID="{64E008FA-49F5-4C86-BBA9-9B934C44F777}">
  <ds:schemaRefs/>
</ds:datastoreItem>
</file>

<file path=customXml/itemProps53.xml><?xml version="1.0" encoding="utf-8"?>
<ds:datastoreItem xmlns:ds="http://schemas.openxmlformats.org/officeDocument/2006/customXml" ds:itemID="{DB5C016E-705B-4663-99C7-6094A90A66C5}">
  <ds:schemaRefs/>
</ds:datastoreItem>
</file>

<file path=customXml/itemProps54.xml><?xml version="1.0" encoding="utf-8"?>
<ds:datastoreItem xmlns:ds="http://schemas.openxmlformats.org/officeDocument/2006/customXml" ds:itemID="{FA8057E2-256A-4B11-82F4-8DB7C4B443D5}">
  <ds:schemaRefs/>
</ds:datastoreItem>
</file>

<file path=customXml/itemProps55.xml><?xml version="1.0" encoding="utf-8"?>
<ds:datastoreItem xmlns:ds="http://schemas.openxmlformats.org/officeDocument/2006/customXml" ds:itemID="{385450AF-E4FD-4F26-9B3F-D1D374901CEA}">
  <ds:schemaRefs/>
</ds:datastoreItem>
</file>

<file path=customXml/itemProps56.xml><?xml version="1.0" encoding="utf-8"?>
<ds:datastoreItem xmlns:ds="http://schemas.openxmlformats.org/officeDocument/2006/customXml" ds:itemID="{3BE0BAD4-FA5C-496A-8CDB-B4060EED0046}">
  <ds:schemaRefs/>
</ds:datastoreItem>
</file>

<file path=customXml/itemProps57.xml><?xml version="1.0" encoding="utf-8"?>
<ds:datastoreItem xmlns:ds="http://schemas.openxmlformats.org/officeDocument/2006/customXml" ds:itemID="{0896784D-1C06-4CBE-89C9-936D543F9BC2}">
  <ds:schemaRefs/>
</ds:datastoreItem>
</file>

<file path=customXml/itemProps58.xml><?xml version="1.0" encoding="utf-8"?>
<ds:datastoreItem xmlns:ds="http://schemas.openxmlformats.org/officeDocument/2006/customXml" ds:itemID="{678F76E1-9430-4972-9EB6-391DEED773DA}">
  <ds:schemaRefs/>
</ds:datastoreItem>
</file>

<file path=customXml/itemProps59.xml><?xml version="1.0" encoding="utf-8"?>
<ds:datastoreItem xmlns:ds="http://schemas.openxmlformats.org/officeDocument/2006/customXml" ds:itemID="{E0F5F973-17BF-4AB5-98C5-4508BA6563A9}">
  <ds:schemaRefs/>
</ds:datastoreItem>
</file>

<file path=customXml/itemProps6.xml><?xml version="1.0" encoding="utf-8"?>
<ds:datastoreItem xmlns:ds="http://schemas.openxmlformats.org/officeDocument/2006/customXml" ds:itemID="{72DB02BA-E9A0-4905-A33B-47C1F58A8208}">
  <ds:schemaRefs/>
</ds:datastoreItem>
</file>

<file path=customXml/itemProps60.xml><?xml version="1.0" encoding="utf-8"?>
<ds:datastoreItem xmlns:ds="http://schemas.openxmlformats.org/officeDocument/2006/customXml" ds:itemID="{32E8C18C-0683-416F-9E1C-E05756A342B4}">
  <ds:schemaRefs/>
</ds:datastoreItem>
</file>

<file path=customXml/itemProps61.xml><?xml version="1.0" encoding="utf-8"?>
<ds:datastoreItem xmlns:ds="http://schemas.openxmlformats.org/officeDocument/2006/customXml" ds:itemID="{302E7101-5108-4A8D-95FF-0BAFF416740D}">
  <ds:schemaRefs/>
</ds:datastoreItem>
</file>

<file path=customXml/itemProps62.xml><?xml version="1.0" encoding="utf-8"?>
<ds:datastoreItem xmlns:ds="http://schemas.openxmlformats.org/officeDocument/2006/customXml" ds:itemID="{9545C8E6-2056-458D-8E4D-45F2CB6B4196}">
  <ds:schemaRefs/>
</ds:datastoreItem>
</file>

<file path=customXml/itemProps63.xml><?xml version="1.0" encoding="utf-8"?>
<ds:datastoreItem xmlns:ds="http://schemas.openxmlformats.org/officeDocument/2006/customXml" ds:itemID="{59E41FB9-5370-4FF5-8D50-5FFD4A408DC3}">
  <ds:schemaRefs/>
</ds:datastoreItem>
</file>

<file path=customXml/itemProps64.xml><?xml version="1.0" encoding="utf-8"?>
<ds:datastoreItem xmlns:ds="http://schemas.openxmlformats.org/officeDocument/2006/customXml" ds:itemID="{7CF70B62-6494-4A3B-9D46-0515273655B7}">
  <ds:schemaRefs/>
</ds:datastoreItem>
</file>

<file path=customXml/itemProps65.xml><?xml version="1.0" encoding="utf-8"?>
<ds:datastoreItem xmlns:ds="http://schemas.openxmlformats.org/officeDocument/2006/customXml" ds:itemID="{069D1172-79F3-4823-B24E-AF0B37DCBE3A}">
  <ds:schemaRefs/>
</ds:datastoreItem>
</file>

<file path=customXml/itemProps66.xml><?xml version="1.0" encoding="utf-8"?>
<ds:datastoreItem xmlns:ds="http://schemas.openxmlformats.org/officeDocument/2006/customXml" ds:itemID="{C58BBE37-A3F2-4421-A7EB-F6587562039D}">
  <ds:schemaRefs/>
</ds:datastoreItem>
</file>

<file path=customXml/itemProps67.xml><?xml version="1.0" encoding="utf-8"?>
<ds:datastoreItem xmlns:ds="http://schemas.openxmlformats.org/officeDocument/2006/customXml" ds:itemID="{4EFA2CFA-18BA-43B0-87B8-9D46DDFEBA08}">
  <ds:schemaRefs/>
</ds:datastoreItem>
</file>

<file path=customXml/itemProps68.xml><?xml version="1.0" encoding="utf-8"?>
<ds:datastoreItem xmlns:ds="http://schemas.openxmlformats.org/officeDocument/2006/customXml" ds:itemID="{AB7ACDE4-0D57-4895-B6CA-C58F40FC8D3F}">
  <ds:schemaRefs/>
</ds:datastoreItem>
</file>

<file path=customXml/itemProps69.xml><?xml version="1.0" encoding="utf-8"?>
<ds:datastoreItem xmlns:ds="http://schemas.openxmlformats.org/officeDocument/2006/customXml" ds:itemID="{0A79CD04-370B-4A02-99B3-5955746D8C86}">
  <ds:schemaRefs/>
</ds:datastoreItem>
</file>

<file path=customXml/itemProps7.xml><?xml version="1.0" encoding="utf-8"?>
<ds:datastoreItem xmlns:ds="http://schemas.openxmlformats.org/officeDocument/2006/customXml" ds:itemID="{80F06D9D-00A9-45E5-B0B9-BF01357522CF}">
  <ds:schemaRefs/>
</ds:datastoreItem>
</file>

<file path=customXml/itemProps70.xml><?xml version="1.0" encoding="utf-8"?>
<ds:datastoreItem xmlns:ds="http://schemas.openxmlformats.org/officeDocument/2006/customXml" ds:itemID="{83795721-EEC3-49DD-BC5D-90A6AAEB1946}">
  <ds:schemaRefs/>
</ds:datastoreItem>
</file>

<file path=customXml/itemProps71.xml><?xml version="1.0" encoding="utf-8"?>
<ds:datastoreItem xmlns:ds="http://schemas.openxmlformats.org/officeDocument/2006/customXml" ds:itemID="{ACCFD3CA-B3B8-48CB-8DCE-D100A7650961}">
  <ds:schemaRefs/>
</ds:datastoreItem>
</file>

<file path=customXml/itemProps72.xml><?xml version="1.0" encoding="utf-8"?>
<ds:datastoreItem xmlns:ds="http://schemas.openxmlformats.org/officeDocument/2006/customXml" ds:itemID="{C0F8FCA4-E2E8-41F5-8E4D-894E8109A11E}">
  <ds:schemaRefs/>
</ds:datastoreItem>
</file>

<file path=customXml/itemProps73.xml><?xml version="1.0" encoding="utf-8"?>
<ds:datastoreItem xmlns:ds="http://schemas.openxmlformats.org/officeDocument/2006/customXml" ds:itemID="{DEE3C579-01C0-4DDF-93AA-34E17744C4A8}">
  <ds:schemaRefs/>
</ds:datastoreItem>
</file>

<file path=customXml/itemProps74.xml><?xml version="1.0" encoding="utf-8"?>
<ds:datastoreItem xmlns:ds="http://schemas.openxmlformats.org/officeDocument/2006/customXml" ds:itemID="{45BFBB2A-5D34-4988-AFED-BC3655EC9115}">
  <ds:schemaRefs/>
</ds:datastoreItem>
</file>

<file path=customXml/itemProps75.xml><?xml version="1.0" encoding="utf-8"?>
<ds:datastoreItem xmlns:ds="http://schemas.openxmlformats.org/officeDocument/2006/customXml" ds:itemID="{A271711C-28EA-41E0-8531-9AA4B9F9AED1}">
  <ds:schemaRefs/>
</ds:datastoreItem>
</file>

<file path=customXml/itemProps76.xml><?xml version="1.0" encoding="utf-8"?>
<ds:datastoreItem xmlns:ds="http://schemas.openxmlformats.org/officeDocument/2006/customXml" ds:itemID="{CF786C33-E5BF-48B5-A9C7-999236E5DB7F}">
  <ds:schemaRefs/>
</ds:datastoreItem>
</file>

<file path=customXml/itemProps77.xml><?xml version="1.0" encoding="utf-8"?>
<ds:datastoreItem xmlns:ds="http://schemas.openxmlformats.org/officeDocument/2006/customXml" ds:itemID="{B8BB3D17-1FE6-44A2-AB39-0FF427EB9953}">
  <ds:schemaRefs/>
</ds:datastoreItem>
</file>

<file path=customXml/itemProps78.xml><?xml version="1.0" encoding="utf-8"?>
<ds:datastoreItem xmlns:ds="http://schemas.openxmlformats.org/officeDocument/2006/customXml" ds:itemID="{E404F6D1-9BBE-4920-9A78-EE8315E12007}">
  <ds:schemaRefs/>
</ds:datastoreItem>
</file>

<file path=customXml/itemProps79.xml><?xml version="1.0" encoding="utf-8"?>
<ds:datastoreItem xmlns:ds="http://schemas.openxmlformats.org/officeDocument/2006/customXml" ds:itemID="{9A8B8B91-6B0C-4F9A-BC28-A42FB4A31687}">
  <ds:schemaRefs/>
</ds:datastoreItem>
</file>

<file path=customXml/itemProps8.xml><?xml version="1.0" encoding="utf-8"?>
<ds:datastoreItem xmlns:ds="http://schemas.openxmlformats.org/officeDocument/2006/customXml" ds:itemID="{6E08D082-2FFF-43C2-B491-FB813E110E5D}">
  <ds:schemaRefs/>
</ds:datastoreItem>
</file>

<file path=customXml/itemProps80.xml><?xml version="1.0" encoding="utf-8"?>
<ds:datastoreItem xmlns:ds="http://schemas.openxmlformats.org/officeDocument/2006/customXml" ds:itemID="{7EAED5A6-B648-46C3-9F98-1D71FFC8178C}">
  <ds:schemaRefs/>
</ds:datastoreItem>
</file>

<file path=customXml/itemProps81.xml><?xml version="1.0" encoding="utf-8"?>
<ds:datastoreItem xmlns:ds="http://schemas.openxmlformats.org/officeDocument/2006/customXml" ds:itemID="{7569742C-63F8-4FD6-BE72-BB8D06F5E2AD}">
  <ds:schemaRefs/>
</ds:datastoreItem>
</file>

<file path=customXml/itemProps82.xml><?xml version="1.0" encoding="utf-8"?>
<ds:datastoreItem xmlns:ds="http://schemas.openxmlformats.org/officeDocument/2006/customXml" ds:itemID="{1D87661A-3FDB-4FB8-9661-B462F3478DEF}">
  <ds:schemaRefs/>
</ds:datastoreItem>
</file>

<file path=customXml/itemProps83.xml><?xml version="1.0" encoding="utf-8"?>
<ds:datastoreItem xmlns:ds="http://schemas.openxmlformats.org/officeDocument/2006/customXml" ds:itemID="{6337806E-68DF-4671-B15B-DD4393555D4A}">
  <ds:schemaRefs/>
</ds:datastoreItem>
</file>

<file path=customXml/itemProps84.xml><?xml version="1.0" encoding="utf-8"?>
<ds:datastoreItem xmlns:ds="http://schemas.openxmlformats.org/officeDocument/2006/customXml" ds:itemID="{7459B226-9318-43FA-84C8-CA39D315D292}">
  <ds:schemaRefs/>
</ds:datastoreItem>
</file>

<file path=customXml/itemProps85.xml><?xml version="1.0" encoding="utf-8"?>
<ds:datastoreItem xmlns:ds="http://schemas.openxmlformats.org/officeDocument/2006/customXml" ds:itemID="{313997B1-17DA-4A39-8DD0-9ED564EED0F1}">
  <ds:schemaRefs/>
</ds:datastoreItem>
</file>

<file path=customXml/itemProps86.xml><?xml version="1.0" encoding="utf-8"?>
<ds:datastoreItem xmlns:ds="http://schemas.openxmlformats.org/officeDocument/2006/customXml" ds:itemID="{41C1DFAF-8F11-4782-A38B-2D8E8B03D573}">
  <ds:schemaRefs/>
</ds:datastoreItem>
</file>

<file path=customXml/itemProps87.xml><?xml version="1.0" encoding="utf-8"?>
<ds:datastoreItem xmlns:ds="http://schemas.openxmlformats.org/officeDocument/2006/customXml" ds:itemID="{351F348B-20EE-448F-B024-2C00C766DDB6}">
  <ds:schemaRefs/>
</ds:datastoreItem>
</file>

<file path=customXml/itemProps88.xml><?xml version="1.0" encoding="utf-8"?>
<ds:datastoreItem xmlns:ds="http://schemas.openxmlformats.org/officeDocument/2006/customXml" ds:itemID="{3146A78F-2B5A-40BB-86CC-FBA776009AB9}">
  <ds:schemaRefs/>
</ds:datastoreItem>
</file>

<file path=customXml/itemProps89.xml><?xml version="1.0" encoding="utf-8"?>
<ds:datastoreItem xmlns:ds="http://schemas.openxmlformats.org/officeDocument/2006/customXml" ds:itemID="{F98D87AF-EF89-4934-8907-49640264F3E8}">
  <ds:schemaRefs/>
</ds:datastoreItem>
</file>

<file path=customXml/itemProps9.xml><?xml version="1.0" encoding="utf-8"?>
<ds:datastoreItem xmlns:ds="http://schemas.openxmlformats.org/officeDocument/2006/customXml" ds:itemID="{A80DCC8F-55CE-4770-8BD5-F77F6B9E4B90}">
  <ds:schemaRefs/>
</ds:datastoreItem>
</file>

<file path=customXml/itemProps90.xml><?xml version="1.0" encoding="utf-8"?>
<ds:datastoreItem xmlns:ds="http://schemas.openxmlformats.org/officeDocument/2006/customXml" ds:itemID="{AB069D24-27B5-43F0-8A7D-5CE5A3A7BBC2}">
  <ds:schemaRefs/>
</ds:datastoreItem>
</file>

<file path=customXml/itemProps91.xml><?xml version="1.0" encoding="utf-8"?>
<ds:datastoreItem xmlns:ds="http://schemas.openxmlformats.org/officeDocument/2006/customXml" ds:itemID="{5563A09B-AC59-45BB-81B3-FA73AD70C5A8}">
  <ds:schemaRefs/>
</ds:datastoreItem>
</file>

<file path=customXml/itemProps92.xml><?xml version="1.0" encoding="utf-8"?>
<ds:datastoreItem xmlns:ds="http://schemas.openxmlformats.org/officeDocument/2006/customXml" ds:itemID="{3458F1AD-4EFC-40CB-903D-5FA101A38E81}">
  <ds:schemaRefs/>
</ds:datastoreItem>
</file>

<file path=customXml/itemProps93.xml><?xml version="1.0" encoding="utf-8"?>
<ds:datastoreItem xmlns:ds="http://schemas.openxmlformats.org/officeDocument/2006/customXml" ds:itemID="{27A3BCEF-3488-4BC8-91F0-FFE58CE6DB98}">
  <ds:schemaRefs/>
</ds:datastoreItem>
</file>

<file path=customXml/itemProps94.xml><?xml version="1.0" encoding="utf-8"?>
<ds:datastoreItem xmlns:ds="http://schemas.openxmlformats.org/officeDocument/2006/customXml" ds:itemID="{4A9E2B22-CEFD-414B-9EDF-F7A5683678D9}">
  <ds:schemaRefs/>
</ds:datastoreItem>
</file>

<file path=customXml/itemProps95.xml><?xml version="1.0" encoding="utf-8"?>
<ds:datastoreItem xmlns:ds="http://schemas.openxmlformats.org/officeDocument/2006/customXml" ds:itemID="{159ED001-E71E-4E62-BB59-427D2E946BB1}">
  <ds:schemaRefs/>
</ds:datastoreItem>
</file>

<file path=customXml/itemProps96.xml><?xml version="1.0" encoding="utf-8"?>
<ds:datastoreItem xmlns:ds="http://schemas.openxmlformats.org/officeDocument/2006/customXml" ds:itemID="{4CBD6308-D73E-4EED-ADB1-2D7A287E6019}">
  <ds:schemaRefs/>
</ds:datastoreItem>
</file>

<file path=customXml/itemProps97.xml><?xml version="1.0" encoding="utf-8"?>
<ds:datastoreItem xmlns:ds="http://schemas.openxmlformats.org/officeDocument/2006/customXml" ds:itemID="{032D16EB-2E2E-4BCA-BD0E-606FFE476661}">
  <ds:schemaRefs/>
</ds:datastoreItem>
</file>

<file path=customXml/itemProps98.xml><?xml version="1.0" encoding="utf-8"?>
<ds:datastoreItem xmlns:ds="http://schemas.openxmlformats.org/officeDocument/2006/customXml" ds:itemID="{CA2DC958-94FD-4BDE-9F0D-286D70FA39EA}">
  <ds:schemaRefs/>
</ds:datastoreItem>
</file>

<file path=customXml/itemProps99.xml><?xml version="1.0" encoding="utf-8"?>
<ds:datastoreItem xmlns:ds="http://schemas.openxmlformats.org/officeDocument/2006/customXml" ds:itemID="{E2D9EF11-3660-43A5-BE7A-9BB6CFE76EB6}">
  <ds:schemaRefs/>
</ds:datastoreItem>
</file>

<file path=docProps/app.xml><?xml version="1.0" encoding="utf-8"?>
<Properties xmlns="http://schemas.openxmlformats.org/officeDocument/2006/extended-properties" xmlns:vt="http://schemas.openxmlformats.org/officeDocument/2006/docPropsVTypes">
  <Template>Normal.dotm</Template>
  <Pages>136</Pages>
  <Words>8933</Words>
  <Characters>50923</Characters>
  <Lines>424</Lines>
  <Paragraphs>119</Paragraphs>
  <TotalTime>1</TotalTime>
  <ScaleCrop>false</ScaleCrop>
  <LinksUpToDate>false</LinksUpToDate>
  <CharactersWithSpaces>59737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2022-03-07T00:36:00Z</dcterms:created>
  <dc:creator>Administrator</dc:creator>
  <cp:lastModifiedBy>Administrator</cp:lastModifiedBy>
  <dcterms:modified xsi:type="dcterms:W3CDTF">2022-03-11T00:40:26Z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E7DB489C68324EB6B8405DE7DF3E1A34</vt:lpwstr>
  </property>
</Properties>
</file>