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一、中共魏县县委网络安全和信息化委员会办公室本级收支预算</w:t>
      </w:r>
      <w:r>
        <w:tab/>
      </w:r>
      <w:r>
        <w:fldChar w:fldCharType="begin"/>
      </w:r>
      <w:r>
        <w:instrText xml:space="preserve">PAGEREF _Toc_4_4_0000000019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292.34</w:t>
            </w:r>
          </w:p>
        </w:tc>
        <w:tc>
          <w:tcPr>
            <w:tcW w:w="4535" w:type="dxa"/>
            <w:vAlign w:val="center"/>
          </w:tcPr>
          <w:p>
            <w:pPr>
              <w:pStyle w:val="12"/>
            </w:pPr>
            <w:r>
              <w:t>一、一般公共服务支出</w:t>
            </w:r>
          </w:p>
        </w:tc>
        <w:tc>
          <w:tcPr>
            <w:tcW w:w="2126" w:type="dxa"/>
            <w:vAlign w:val="center"/>
          </w:tcPr>
          <w:p>
            <w:pPr>
              <w:pStyle w:val="11"/>
            </w:pPr>
            <w:r>
              <w:t>288.06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292.34</w:t>
            </w:r>
          </w:p>
        </w:tc>
        <w:tc>
          <w:tcPr>
            <w:tcW w:w="4535" w:type="dxa"/>
            <w:vAlign w:val="center"/>
          </w:tcPr>
          <w:p>
            <w:pPr>
              <w:pStyle w:val="14"/>
            </w:pPr>
            <w:r>
              <w:t>本年支出合计</w:t>
            </w:r>
          </w:p>
        </w:tc>
        <w:tc>
          <w:tcPr>
            <w:tcW w:w="2126" w:type="dxa"/>
            <w:vAlign w:val="center"/>
          </w:tcPr>
          <w:p>
            <w:pPr>
              <w:pStyle w:val="15"/>
            </w:pPr>
            <w:r>
              <w:t>292.34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292.34</w:t>
            </w:r>
          </w:p>
        </w:tc>
        <w:tc>
          <w:tcPr>
            <w:tcW w:w="4535" w:type="dxa"/>
            <w:vAlign w:val="center"/>
          </w:tcPr>
          <w:p>
            <w:pPr>
              <w:pStyle w:val="14"/>
            </w:pPr>
            <w:r>
              <w:t>支出总计</w:t>
            </w:r>
          </w:p>
        </w:tc>
        <w:tc>
          <w:tcPr>
            <w:tcW w:w="2126" w:type="dxa"/>
            <w:vAlign w:val="center"/>
          </w:tcPr>
          <w:p>
            <w:pPr>
              <w:pStyle w:val="15"/>
            </w:pPr>
            <w:r>
              <w:t>292.34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292.34</w:t>
            </w:r>
          </w:p>
        </w:tc>
        <w:tc>
          <w:tcPr>
            <w:tcW w:w="1134" w:type="dxa"/>
            <w:vAlign w:val="center"/>
          </w:tcPr>
          <w:p>
            <w:pPr>
              <w:pStyle w:val="15"/>
            </w:pPr>
            <w:r>
              <w:t>292.34</w:t>
            </w:r>
          </w:p>
        </w:tc>
        <w:tc>
          <w:tcPr>
            <w:tcW w:w="1134" w:type="dxa"/>
            <w:vAlign w:val="center"/>
          </w:tcPr>
          <w:p>
            <w:pPr>
              <w:pStyle w:val="15"/>
            </w:pPr>
            <w:r>
              <w:t>292.34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288.06</w:t>
            </w:r>
          </w:p>
        </w:tc>
        <w:tc>
          <w:tcPr>
            <w:tcW w:w="1134" w:type="dxa"/>
            <w:vAlign w:val="center"/>
          </w:tcPr>
          <w:p>
            <w:pPr>
              <w:pStyle w:val="11"/>
            </w:pPr>
            <w:r>
              <w:t>288.06</w:t>
            </w:r>
          </w:p>
        </w:tc>
        <w:tc>
          <w:tcPr>
            <w:tcW w:w="1134" w:type="dxa"/>
            <w:vAlign w:val="center"/>
          </w:tcPr>
          <w:p>
            <w:pPr>
              <w:pStyle w:val="11"/>
            </w:pPr>
            <w:r>
              <w:t>288.06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20137</w:t>
            </w:r>
          </w:p>
        </w:tc>
        <w:tc>
          <w:tcPr>
            <w:tcW w:w="1559" w:type="dxa"/>
            <w:vAlign w:val="center"/>
          </w:tcPr>
          <w:p>
            <w:pPr>
              <w:pStyle w:val="12"/>
            </w:pPr>
            <w:r>
              <w:t>网信事务</w:t>
            </w:r>
          </w:p>
        </w:tc>
        <w:tc>
          <w:tcPr>
            <w:tcW w:w="1134" w:type="dxa"/>
            <w:vAlign w:val="center"/>
          </w:tcPr>
          <w:p>
            <w:pPr>
              <w:pStyle w:val="11"/>
            </w:pPr>
            <w:r>
              <w:t>288.06</w:t>
            </w:r>
          </w:p>
        </w:tc>
        <w:tc>
          <w:tcPr>
            <w:tcW w:w="1134" w:type="dxa"/>
            <w:vAlign w:val="center"/>
          </w:tcPr>
          <w:p>
            <w:pPr>
              <w:pStyle w:val="11"/>
            </w:pPr>
            <w:r>
              <w:t>288.06</w:t>
            </w:r>
          </w:p>
        </w:tc>
        <w:tc>
          <w:tcPr>
            <w:tcW w:w="1134" w:type="dxa"/>
            <w:vAlign w:val="center"/>
          </w:tcPr>
          <w:p>
            <w:pPr>
              <w:pStyle w:val="11"/>
            </w:pPr>
            <w:r>
              <w:t>288.06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2013701</w:t>
            </w:r>
          </w:p>
        </w:tc>
        <w:tc>
          <w:tcPr>
            <w:tcW w:w="1559" w:type="dxa"/>
            <w:vAlign w:val="center"/>
          </w:tcPr>
          <w:p>
            <w:pPr>
              <w:pStyle w:val="12"/>
            </w:pPr>
            <w:r>
              <w:t>行政运行</w:t>
            </w:r>
          </w:p>
        </w:tc>
        <w:tc>
          <w:tcPr>
            <w:tcW w:w="1134" w:type="dxa"/>
            <w:vAlign w:val="center"/>
          </w:tcPr>
          <w:p>
            <w:pPr>
              <w:pStyle w:val="11"/>
            </w:pPr>
            <w:r>
              <w:t>81.46</w:t>
            </w:r>
          </w:p>
        </w:tc>
        <w:tc>
          <w:tcPr>
            <w:tcW w:w="1134" w:type="dxa"/>
            <w:vAlign w:val="center"/>
          </w:tcPr>
          <w:p>
            <w:pPr>
              <w:pStyle w:val="11"/>
            </w:pPr>
            <w:r>
              <w:t>81.46</w:t>
            </w:r>
          </w:p>
        </w:tc>
        <w:tc>
          <w:tcPr>
            <w:tcW w:w="1134" w:type="dxa"/>
            <w:vAlign w:val="center"/>
          </w:tcPr>
          <w:p>
            <w:pPr>
              <w:pStyle w:val="11"/>
            </w:pPr>
            <w:r>
              <w:t>81.46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2013704</w:t>
            </w:r>
          </w:p>
        </w:tc>
        <w:tc>
          <w:tcPr>
            <w:tcW w:w="1559" w:type="dxa"/>
            <w:vAlign w:val="center"/>
          </w:tcPr>
          <w:p>
            <w:pPr>
              <w:pStyle w:val="12"/>
            </w:pPr>
            <w:r>
              <w:t>信息安全事务</w:t>
            </w:r>
          </w:p>
        </w:tc>
        <w:tc>
          <w:tcPr>
            <w:tcW w:w="1134" w:type="dxa"/>
            <w:vAlign w:val="center"/>
          </w:tcPr>
          <w:p>
            <w:pPr>
              <w:pStyle w:val="11"/>
            </w:pPr>
            <w:r>
              <w:t>111.60</w:t>
            </w:r>
          </w:p>
        </w:tc>
        <w:tc>
          <w:tcPr>
            <w:tcW w:w="1134" w:type="dxa"/>
            <w:vAlign w:val="center"/>
          </w:tcPr>
          <w:p>
            <w:pPr>
              <w:pStyle w:val="11"/>
            </w:pPr>
            <w:r>
              <w:t>111.60</w:t>
            </w:r>
          </w:p>
        </w:tc>
        <w:tc>
          <w:tcPr>
            <w:tcW w:w="1134" w:type="dxa"/>
            <w:vAlign w:val="center"/>
          </w:tcPr>
          <w:p>
            <w:pPr>
              <w:pStyle w:val="11"/>
            </w:pPr>
            <w:r>
              <w:t>111.60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2013799</w:t>
            </w:r>
          </w:p>
        </w:tc>
        <w:tc>
          <w:tcPr>
            <w:tcW w:w="1559" w:type="dxa"/>
            <w:vAlign w:val="center"/>
          </w:tcPr>
          <w:p>
            <w:pPr>
              <w:pStyle w:val="12"/>
            </w:pPr>
            <w:r>
              <w:t>其他网信事务支出</w:t>
            </w:r>
          </w:p>
        </w:tc>
        <w:tc>
          <w:tcPr>
            <w:tcW w:w="1134" w:type="dxa"/>
            <w:vAlign w:val="center"/>
          </w:tcPr>
          <w:p>
            <w:pPr>
              <w:pStyle w:val="11"/>
            </w:pPr>
            <w:r>
              <w:t>95.00</w:t>
            </w:r>
          </w:p>
        </w:tc>
        <w:tc>
          <w:tcPr>
            <w:tcW w:w="1134" w:type="dxa"/>
            <w:vAlign w:val="center"/>
          </w:tcPr>
          <w:p>
            <w:pPr>
              <w:pStyle w:val="11"/>
            </w:pPr>
            <w:r>
              <w:t>95.00</w:t>
            </w:r>
          </w:p>
        </w:tc>
        <w:tc>
          <w:tcPr>
            <w:tcW w:w="1134" w:type="dxa"/>
            <w:vAlign w:val="center"/>
          </w:tcPr>
          <w:p>
            <w:pPr>
              <w:pStyle w:val="11"/>
            </w:pPr>
            <w:r>
              <w:t>95.00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292.34</w:t>
            </w:r>
          </w:p>
        </w:tc>
        <w:tc>
          <w:tcPr>
            <w:tcW w:w="1361" w:type="dxa"/>
            <w:vAlign w:val="center"/>
          </w:tcPr>
          <w:p>
            <w:pPr>
              <w:pStyle w:val="15"/>
            </w:pPr>
            <w:r>
              <w:t>85.74</w:t>
            </w:r>
          </w:p>
        </w:tc>
        <w:tc>
          <w:tcPr>
            <w:tcW w:w="1361" w:type="dxa"/>
            <w:vAlign w:val="center"/>
          </w:tcPr>
          <w:p>
            <w:pPr>
              <w:pStyle w:val="15"/>
            </w:pPr>
            <w:r>
              <w:t>206.60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288.06</w:t>
            </w:r>
          </w:p>
        </w:tc>
        <w:tc>
          <w:tcPr>
            <w:tcW w:w="1361" w:type="dxa"/>
            <w:vAlign w:val="center"/>
          </w:tcPr>
          <w:p>
            <w:pPr>
              <w:pStyle w:val="11"/>
            </w:pPr>
            <w:r>
              <w:t>81.46</w:t>
            </w:r>
          </w:p>
        </w:tc>
        <w:tc>
          <w:tcPr>
            <w:tcW w:w="1361" w:type="dxa"/>
            <w:vAlign w:val="center"/>
          </w:tcPr>
          <w:p>
            <w:pPr>
              <w:pStyle w:val="11"/>
            </w:pPr>
            <w:r>
              <w:t>206.60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20137</w:t>
            </w:r>
          </w:p>
        </w:tc>
        <w:tc>
          <w:tcPr>
            <w:tcW w:w="4535" w:type="dxa"/>
            <w:vAlign w:val="center"/>
          </w:tcPr>
          <w:p>
            <w:pPr>
              <w:pStyle w:val="12"/>
            </w:pPr>
            <w:r>
              <w:t>网信事务</w:t>
            </w:r>
          </w:p>
        </w:tc>
        <w:tc>
          <w:tcPr>
            <w:tcW w:w="1361" w:type="dxa"/>
            <w:vAlign w:val="center"/>
          </w:tcPr>
          <w:p>
            <w:pPr>
              <w:pStyle w:val="11"/>
            </w:pPr>
            <w:r>
              <w:t>288.06</w:t>
            </w:r>
          </w:p>
        </w:tc>
        <w:tc>
          <w:tcPr>
            <w:tcW w:w="1361" w:type="dxa"/>
            <w:vAlign w:val="center"/>
          </w:tcPr>
          <w:p>
            <w:pPr>
              <w:pStyle w:val="11"/>
            </w:pPr>
            <w:r>
              <w:t>81.46</w:t>
            </w:r>
          </w:p>
        </w:tc>
        <w:tc>
          <w:tcPr>
            <w:tcW w:w="1361" w:type="dxa"/>
            <w:vAlign w:val="center"/>
          </w:tcPr>
          <w:p>
            <w:pPr>
              <w:pStyle w:val="11"/>
            </w:pPr>
            <w:r>
              <w:t>206.60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2013701</w:t>
            </w:r>
          </w:p>
        </w:tc>
        <w:tc>
          <w:tcPr>
            <w:tcW w:w="4535" w:type="dxa"/>
            <w:vAlign w:val="center"/>
          </w:tcPr>
          <w:p>
            <w:pPr>
              <w:pStyle w:val="12"/>
            </w:pPr>
            <w:r>
              <w:t>行政运行</w:t>
            </w:r>
          </w:p>
        </w:tc>
        <w:tc>
          <w:tcPr>
            <w:tcW w:w="1361" w:type="dxa"/>
            <w:vAlign w:val="center"/>
          </w:tcPr>
          <w:p>
            <w:pPr>
              <w:pStyle w:val="11"/>
            </w:pPr>
            <w:r>
              <w:t>81.46</w:t>
            </w:r>
          </w:p>
        </w:tc>
        <w:tc>
          <w:tcPr>
            <w:tcW w:w="1361" w:type="dxa"/>
            <w:vAlign w:val="center"/>
          </w:tcPr>
          <w:p>
            <w:pPr>
              <w:pStyle w:val="11"/>
            </w:pPr>
            <w:r>
              <w:t>81.46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2013704</w:t>
            </w:r>
          </w:p>
        </w:tc>
        <w:tc>
          <w:tcPr>
            <w:tcW w:w="4535" w:type="dxa"/>
            <w:vAlign w:val="center"/>
          </w:tcPr>
          <w:p>
            <w:pPr>
              <w:pStyle w:val="12"/>
            </w:pPr>
            <w:r>
              <w:t>信息安全事务</w:t>
            </w:r>
          </w:p>
        </w:tc>
        <w:tc>
          <w:tcPr>
            <w:tcW w:w="1361" w:type="dxa"/>
            <w:vAlign w:val="center"/>
          </w:tcPr>
          <w:p>
            <w:pPr>
              <w:pStyle w:val="11"/>
            </w:pPr>
            <w:r>
              <w:t>111.60</w:t>
            </w:r>
          </w:p>
        </w:tc>
        <w:tc>
          <w:tcPr>
            <w:tcW w:w="1361" w:type="dxa"/>
            <w:vAlign w:val="center"/>
          </w:tcPr>
          <w:p>
            <w:pPr>
              <w:pStyle w:val="11"/>
            </w:pPr>
          </w:p>
        </w:tc>
        <w:tc>
          <w:tcPr>
            <w:tcW w:w="1361" w:type="dxa"/>
            <w:vAlign w:val="center"/>
          </w:tcPr>
          <w:p>
            <w:pPr>
              <w:pStyle w:val="11"/>
            </w:pPr>
            <w:r>
              <w:t>111.60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2013799</w:t>
            </w:r>
          </w:p>
        </w:tc>
        <w:tc>
          <w:tcPr>
            <w:tcW w:w="4535" w:type="dxa"/>
            <w:vAlign w:val="center"/>
          </w:tcPr>
          <w:p>
            <w:pPr>
              <w:pStyle w:val="12"/>
            </w:pPr>
            <w:r>
              <w:t>其他网信事务支出</w:t>
            </w:r>
          </w:p>
        </w:tc>
        <w:tc>
          <w:tcPr>
            <w:tcW w:w="1361" w:type="dxa"/>
            <w:vAlign w:val="center"/>
          </w:tcPr>
          <w:p>
            <w:pPr>
              <w:pStyle w:val="11"/>
            </w:pPr>
            <w:r>
              <w:t>95.00</w:t>
            </w:r>
          </w:p>
        </w:tc>
        <w:tc>
          <w:tcPr>
            <w:tcW w:w="1361" w:type="dxa"/>
            <w:vAlign w:val="center"/>
          </w:tcPr>
          <w:p>
            <w:pPr>
              <w:pStyle w:val="11"/>
            </w:pPr>
          </w:p>
        </w:tc>
        <w:tc>
          <w:tcPr>
            <w:tcW w:w="1361" w:type="dxa"/>
            <w:vAlign w:val="center"/>
          </w:tcPr>
          <w:p>
            <w:pPr>
              <w:pStyle w:val="11"/>
            </w:pPr>
            <w:r>
              <w:t>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4.28</w:t>
            </w:r>
          </w:p>
        </w:tc>
        <w:tc>
          <w:tcPr>
            <w:tcW w:w="1361" w:type="dxa"/>
            <w:vAlign w:val="center"/>
          </w:tcPr>
          <w:p>
            <w:pPr>
              <w:pStyle w:val="11"/>
            </w:pPr>
            <w:r>
              <w:t>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4.28</w:t>
            </w:r>
          </w:p>
        </w:tc>
        <w:tc>
          <w:tcPr>
            <w:tcW w:w="1361" w:type="dxa"/>
            <w:vAlign w:val="center"/>
          </w:tcPr>
          <w:p>
            <w:pPr>
              <w:pStyle w:val="11"/>
            </w:pPr>
            <w:r>
              <w:t>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4.28</w:t>
            </w:r>
          </w:p>
        </w:tc>
        <w:tc>
          <w:tcPr>
            <w:tcW w:w="1361" w:type="dxa"/>
            <w:vAlign w:val="center"/>
          </w:tcPr>
          <w:p>
            <w:pPr>
              <w:pStyle w:val="11"/>
            </w:pPr>
            <w:r>
              <w:t>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292.34</w:t>
            </w:r>
          </w:p>
        </w:tc>
        <w:tc>
          <w:tcPr>
            <w:tcW w:w="3402" w:type="dxa"/>
            <w:vAlign w:val="center"/>
          </w:tcPr>
          <w:p>
            <w:pPr>
              <w:pStyle w:val="12"/>
            </w:pPr>
            <w:r>
              <w:t>一、一般公共服务支出</w:t>
            </w:r>
          </w:p>
        </w:tc>
        <w:tc>
          <w:tcPr>
            <w:tcW w:w="1474" w:type="dxa"/>
            <w:vAlign w:val="center"/>
          </w:tcPr>
          <w:p>
            <w:pPr>
              <w:pStyle w:val="11"/>
            </w:pPr>
            <w:r>
              <w:t>288.06</w:t>
            </w:r>
          </w:p>
        </w:tc>
        <w:tc>
          <w:tcPr>
            <w:tcW w:w="1474" w:type="dxa"/>
            <w:vAlign w:val="center"/>
          </w:tcPr>
          <w:p>
            <w:pPr>
              <w:pStyle w:val="11"/>
            </w:pPr>
            <w:r>
              <w:t>288.06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4.28</w:t>
            </w:r>
          </w:p>
        </w:tc>
        <w:tc>
          <w:tcPr>
            <w:tcW w:w="1474" w:type="dxa"/>
            <w:vAlign w:val="center"/>
          </w:tcPr>
          <w:p>
            <w:pPr>
              <w:pStyle w:val="11"/>
            </w:pPr>
            <w:r>
              <w:t>4.28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292.34</w:t>
            </w:r>
          </w:p>
        </w:tc>
        <w:tc>
          <w:tcPr>
            <w:tcW w:w="3402" w:type="dxa"/>
            <w:vAlign w:val="center"/>
          </w:tcPr>
          <w:p>
            <w:pPr>
              <w:pStyle w:val="14"/>
            </w:pPr>
            <w:r>
              <w:t>本年支出合计</w:t>
            </w:r>
          </w:p>
        </w:tc>
        <w:tc>
          <w:tcPr>
            <w:tcW w:w="1474" w:type="dxa"/>
            <w:vAlign w:val="center"/>
          </w:tcPr>
          <w:p>
            <w:pPr>
              <w:pStyle w:val="15"/>
            </w:pPr>
            <w:r>
              <w:t>292.34</w:t>
            </w:r>
          </w:p>
        </w:tc>
        <w:tc>
          <w:tcPr>
            <w:tcW w:w="1474" w:type="dxa"/>
            <w:vAlign w:val="center"/>
          </w:tcPr>
          <w:p>
            <w:pPr>
              <w:pStyle w:val="15"/>
            </w:pPr>
            <w:r>
              <w:t>292.34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292.34</w:t>
            </w:r>
          </w:p>
        </w:tc>
        <w:tc>
          <w:tcPr>
            <w:tcW w:w="3402" w:type="dxa"/>
            <w:vAlign w:val="center"/>
          </w:tcPr>
          <w:p>
            <w:pPr>
              <w:pStyle w:val="14"/>
            </w:pPr>
            <w:r>
              <w:t>支出总计</w:t>
            </w:r>
          </w:p>
        </w:tc>
        <w:tc>
          <w:tcPr>
            <w:tcW w:w="1474" w:type="dxa"/>
            <w:vAlign w:val="center"/>
          </w:tcPr>
          <w:p>
            <w:pPr>
              <w:pStyle w:val="15"/>
            </w:pPr>
            <w:r>
              <w:t>292.34</w:t>
            </w:r>
          </w:p>
        </w:tc>
        <w:tc>
          <w:tcPr>
            <w:tcW w:w="1474" w:type="dxa"/>
            <w:vAlign w:val="center"/>
          </w:tcPr>
          <w:p>
            <w:pPr>
              <w:pStyle w:val="15"/>
            </w:pPr>
            <w:r>
              <w:t>292.34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292.34</w:t>
            </w:r>
          </w:p>
        </w:tc>
        <w:tc>
          <w:tcPr>
            <w:tcW w:w="2551" w:type="dxa"/>
            <w:vAlign w:val="center"/>
          </w:tcPr>
          <w:p>
            <w:pPr>
              <w:pStyle w:val="15"/>
            </w:pPr>
            <w:r>
              <w:t>85.74</w:t>
            </w:r>
          </w:p>
        </w:tc>
        <w:tc>
          <w:tcPr>
            <w:tcW w:w="2551" w:type="dxa"/>
            <w:vAlign w:val="center"/>
          </w:tcPr>
          <w:p>
            <w:pPr>
              <w:pStyle w:val="15"/>
            </w:pPr>
            <w:r>
              <w:t>206.60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288.06</w:t>
            </w:r>
          </w:p>
        </w:tc>
        <w:tc>
          <w:tcPr>
            <w:tcW w:w="2551" w:type="dxa"/>
            <w:vAlign w:val="center"/>
          </w:tcPr>
          <w:p>
            <w:pPr>
              <w:pStyle w:val="11"/>
            </w:pPr>
            <w:r>
              <w:t>81.46</w:t>
            </w:r>
          </w:p>
        </w:tc>
        <w:tc>
          <w:tcPr>
            <w:tcW w:w="2551" w:type="dxa"/>
            <w:vAlign w:val="center"/>
          </w:tcPr>
          <w:p>
            <w:pPr>
              <w:pStyle w:val="11"/>
            </w:pPr>
            <w:r>
              <w:t>206.60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20137</w:t>
            </w:r>
          </w:p>
        </w:tc>
        <w:tc>
          <w:tcPr>
            <w:tcW w:w="4535" w:type="dxa"/>
            <w:vAlign w:val="center"/>
          </w:tcPr>
          <w:p>
            <w:pPr>
              <w:pStyle w:val="12"/>
            </w:pPr>
            <w:r>
              <w:t>网信事务</w:t>
            </w:r>
          </w:p>
        </w:tc>
        <w:tc>
          <w:tcPr>
            <w:tcW w:w="2551" w:type="dxa"/>
            <w:vAlign w:val="center"/>
          </w:tcPr>
          <w:p>
            <w:pPr>
              <w:pStyle w:val="11"/>
            </w:pPr>
            <w:r>
              <w:t>288.06</w:t>
            </w:r>
          </w:p>
        </w:tc>
        <w:tc>
          <w:tcPr>
            <w:tcW w:w="2551" w:type="dxa"/>
            <w:vAlign w:val="center"/>
          </w:tcPr>
          <w:p>
            <w:pPr>
              <w:pStyle w:val="11"/>
            </w:pPr>
            <w:r>
              <w:t>81.46</w:t>
            </w:r>
          </w:p>
        </w:tc>
        <w:tc>
          <w:tcPr>
            <w:tcW w:w="2551" w:type="dxa"/>
            <w:vAlign w:val="center"/>
          </w:tcPr>
          <w:p>
            <w:pPr>
              <w:pStyle w:val="11"/>
            </w:pPr>
            <w:r>
              <w:t>206.60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2013701</w:t>
            </w:r>
          </w:p>
        </w:tc>
        <w:tc>
          <w:tcPr>
            <w:tcW w:w="4535" w:type="dxa"/>
            <w:vAlign w:val="center"/>
          </w:tcPr>
          <w:p>
            <w:pPr>
              <w:pStyle w:val="12"/>
            </w:pPr>
            <w:r>
              <w:t>行政运行</w:t>
            </w:r>
          </w:p>
        </w:tc>
        <w:tc>
          <w:tcPr>
            <w:tcW w:w="2551" w:type="dxa"/>
            <w:vAlign w:val="center"/>
          </w:tcPr>
          <w:p>
            <w:pPr>
              <w:pStyle w:val="11"/>
            </w:pPr>
            <w:r>
              <w:t>81.46</w:t>
            </w:r>
          </w:p>
        </w:tc>
        <w:tc>
          <w:tcPr>
            <w:tcW w:w="2551" w:type="dxa"/>
            <w:vAlign w:val="center"/>
          </w:tcPr>
          <w:p>
            <w:pPr>
              <w:pStyle w:val="11"/>
            </w:pPr>
            <w:r>
              <w:t>81.46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2013704</w:t>
            </w:r>
          </w:p>
        </w:tc>
        <w:tc>
          <w:tcPr>
            <w:tcW w:w="4535" w:type="dxa"/>
            <w:vAlign w:val="center"/>
          </w:tcPr>
          <w:p>
            <w:pPr>
              <w:pStyle w:val="12"/>
            </w:pPr>
            <w:r>
              <w:t>信息安全事务</w:t>
            </w:r>
          </w:p>
        </w:tc>
        <w:tc>
          <w:tcPr>
            <w:tcW w:w="2551" w:type="dxa"/>
            <w:vAlign w:val="center"/>
          </w:tcPr>
          <w:p>
            <w:pPr>
              <w:pStyle w:val="11"/>
            </w:pPr>
            <w:r>
              <w:t>111.60</w:t>
            </w:r>
          </w:p>
        </w:tc>
        <w:tc>
          <w:tcPr>
            <w:tcW w:w="2551" w:type="dxa"/>
            <w:vAlign w:val="center"/>
          </w:tcPr>
          <w:p>
            <w:pPr>
              <w:pStyle w:val="11"/>
            </w:pPr>
          </w:p>
        </w:tc>
        <w:tc>
          <w:tcPr>
            <w:tcW w:w="2551" w:type="dxa"/>
            <w:vAlign w:val="center"/>
          </w:tcPr>
          <w:p>
            <w:pPr>
              <w:pStyle w:val="11"/>
            </w:pPr>
            <w:r>
              <w:t>111.60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2013799</w:t>
            </w:r>
          </w:p>
        </w:tc>
        <w:tc>
          <w:tcPr>
            <w:tcW w:w="4535" w:type="dxa"/>
            <w:vAlign w:val="center"/>
          </w:tcPr>
          <w:p>
            <w:pPr>
              <w:pStyle w:val="12"/>
            </w:pPr>
            <w:r>
              <w:t>其他网信事务支出</w:t>
            </w:r>
          </w:p>
        </w:tc>
        <w:tc>
          <w:tcPr>
            <w:tcW w:w="2551" w:type="dxa"/>
            <w:vAlign w:val="center"/>
          </w:tcPr>
          <w:p>
            <w:pPr>
              <w:pStyle w:val="11"/>
            </w:pPr>
            <w:r>
              <w:t>95.00</w:t>
            </w:r>
          </w:p>
        </w:tc>
        <w:tc>
          <w:tcPr>
            <w:tcW w:w="2551" w:type="dxa"/>
            <w:vAlign w:val="center"/>
          </w:tcPr>
          <w:p>
            <w:pPr>
              <w:pStyle w:val="11"/>
            </w:pPr>
          </w:p>
        </w:tc>
        <w:tc>
          <w:tcPr>
            <w:tcW w:w="2551"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85.74</w:t>
            </w:r>
          </w:p>
        </w:tc>
        <w:tc>
          <w:tcPr>
            <w:tcW w:w="2551" w:type="dxa"/>
            <w:vAlign w:val="center"/>
          </w:tcPr>
          <w:p>
            <w:pPr>
              <w:pStyle w:val="15"/>
            </w:pPr>
            <w:r>
              <w:t>72.54</w:t>
            </w:r>
          </w:p>
        </w:tc>
        <w:tc>
          <w:tcPr>
            <w:tcW w:w="2551" w:type="dxa"/>
            <w:vAlign w:val="center"/>
          </w:tcPr>
          <w:p>
            <w:pPr>
              <w:pStyle w:val="15"/>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72.54</w:t>
            </w:r>
          </w:p>
        </w:tc>
        <w:tc>
          <w:tcPr>
            <w:tcW w:w="2551" w:type="dxa"/>
            <w:vAlign w:val="center"/>
          </w:tcPr>
          <w:p>
            <w:pPr>
              <w:pStyle w:val="11"/>
            </w:pPr>
            <w:r>
              <w:t>72.54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44.67</w:t>
            </w:r>
          </w:p>
        </w:tc>
        <w:tc>
          <w:tcPr>
            <w:tcW w:w="2551" w:type="dxa"/>
            <w:vAlign w:val="center"/>
          </w:tcPr>
          <w:p>
            <w:pPr>
              <w:pStyle w:val="11"/>
            </w:pPr>
            <w:r>
              <w:t>44.67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2.14</w:t>
            </w:r>
          </w:p>
        </w:tc>
        <w:tc>
          <w:tcPr>
            <w:tcW w:w="2551" w:type="dxa"/>
            <w:vAlign w:val="center"/>
          </w:tcPr>
          <w:p>
            <w:pPr>
              <w:pStyle w:val="11"/>
            </w:pPr>
            <w:r>
              <w:t>2.14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1.55</w:t>
            </w:r>
          </w:p>
        </w:tc>
        <w:tc>
          <w:tcPr>
            <w:tcW w:w="2551" w:type="dxa"/>
            <w:vAlign w:val="center"/>
          </w:tcPr>
          <w:p>
            <w:pPr>
              <w:pStyle w:val="11"/>
            </w:pPr>
            <w:r>
              <w:t>1.55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7.71</w:t>
            </w:r>
          </w:p>
        </w:tc>
        <w:tc>
          <w:tcPr>
            <w:tcW w:w="2551" w:type="dxa"/>
            <w:vAlign w:val="center"/>
          </w:tcPr>
          <w:p>
            <w:pPr>
              <w:pStyle w:val="11"/>
            </w:pPr>
            <w:r>
              <w:t>7.71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3.85</w:t>
            </w:r>
          </w:p>
        </w:tc>
        <w:tc>
          <w:tcPr>
            <w:tcW w:w="2551" w:type="dxa"/>
            <w:vAlign w:val="center"/>
          </w:tcPr>
          <w:p>
            <w:pPr>
              <w:pStyle w:val="11"/>
            </w:pPr>
            <w:r>
              <w:t>3.85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8.34</w:t>
            </w:r>
          </w:p>
        </w:tc>
        <w:tc>
          <w:tcPr>
            <w:tcW w:w="2551" w:type="dxa"/>
            <w:vAlign w:val="center"/>
          </w:tcPr>
          <w:p>
            <w:pPr>
              <w:pStyle w:val="11"/>
            </w:pPr>
            <w:r>
              <w:t>8.34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13.20</w:t>
            </w:r>
          </w:p>
        </w:tc>
        <w:tc>
          <w:tcPr>
            <w:tcW w:w="2551" w:type="dxa"/>
            <w:vAlign w:val="center"/>
          </w:tcPr>
          <w:p>
            <w:pPr>
              <w:pStyle w:val="11"/>
            </w:pPr>
          </w:p>
        </w:tc>
        <w:tc>
          <w:tcPr>
            <w:tcW w:w="2551" w:type="dxa"/>
            <w:vAlign w:val="center"/>
          </w:tcPr>
          <w:p>
            <w:pPr>
              <w:pStyle w:val="11"/>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中共魏县县委网络安全和信息化委员会办公室2022年部门预算信息公开情况说明</w:t>
      </w:r>
    </w:p>
    <w:p>
      <w:pPr>
        <w:jc w:val="center"/>
      </w:pPr>
      <w:r>
        <w:rPr>
          <w:rFonts w:ascii="方正小标宋_GBK" w:hAnsi="方正小标宋_GBK" w:eastAsia="方正小标宋_GBK" w:cs="方正小标宋_GBK"/>
          <w:color w:val="000000"/>
          <w:sz w:val="44"/>
        </w:rPr>
        <w:t>中共魏县县委网络安全和信息化委员会办公室2022年部门预算信息公开情况说明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按照《预算法》、《地方预决算公开操作规程》和《关于进一步推进预算公开工作的实施意见》规定，现将中共魏县县委网络安全和信息化委员会办公室2022年部门预算公开如下：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根据《中共魏县县委网络安全和信息化委员会办公室职能配置、内设机构和人员编制规定》， 中共魏县县委网络安全和信息化委员会办公室的主要职责是：</w:t>
      </w:r>
    </w:p>
    <w:p>
      <w:pPr>
        <w:pStyle w:val="17"/>
      </w:pPr>
      <w:r>
        <w:t>处理好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统筹协调全县网络安全保障体系和可信体系建设,牵头协调有关部门制定相关行业网络安全规划及保障评价指标体系,协调信息安全保护工作;指导推进全县党政军部门,重点行业网络安全保障和信惠化工作;统筹推进网络安全和信患化军民融合深度发展;协调推进网络强县建设,推动全县公共服务和社会治理信息化做好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强化舆论引导，走好网上群众路线。强化舆情监测，搞好处置工作。开展专项行动，切实维护好网络意识形态安全。是进一步加强网信基础设施建设、网信工作队伍建设和提高网络执法水平。做强做大网上正面宣传。围绕县委、县政府重点工作主动设置议题，统筹做好县委、县政府重大会议、活动的网上报道，加大对我县经济发展、乡村振兴、精准脱贫、污染防治等网上宣传力度，营造网上浓厚氛围。谋划建立联合辟谣工作机制和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中共魏县县委网络安全和信息化委员会办公室本级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部门预算的编制实行综合预算管理，即全部收入和支出都反映在预算中。中共魏县县委网络安全和信息化委员会办公室机关及所属事业单位的收支包含在部门预算中。</w:t>
      </w:r>
    </w:p>
    <w:p>
      <w:pPr>
        <w:pStyle w:val="18"/>
      </w:pPr>
      <w:r>
        <w:t>按照预算管理有关规定，目前我县部门预算的编制实行综合预算管理，即全部收入和支出都反映在预算中。中共魏县县委网络安全和信息化委员会办公室机关及所属事业单位的收支包含在部门预算中。</w:t>
      </w:r>
    </w:p>
    <w:p>
      <w:pPr>
        <w:pStyle w:val="18"/>
      </w:pPr>
      <w:r>
        <w:t>1、收入说明：2022年收入预算共计292.34万元，全部为财政拨款。其中：一般公共预算收入292.34万元，基金预算收入0万元，财政专户核拨收入0万元，其他来源收入（单位资金）0万元，上年结转0万元。</w:t>
      </w:r>
    </w:p>
    <w:p>
      <w:pPr>
        <w:pStyle w:val="18"/>
      </w:pPr>
      <w:r>
        <w:t>2、支出说明：收支预算总表支出栏、基本支出表、项目支出表按经济分类和支出功能分类科目编制，反映年度部门预算中支出预算的总体情况。2022年支出预算292.34万元，其中：基本支出85.74万元（包括人员经费72.54万元和日常公用经费13.2万元）；项目支出206.6万元，主要为县舆情监测和网络安全服务费等。</w:t>
      </w:r>
    </w:p>
    <w:p>
      <w:pPr>
        <w:pStyle w:val="18"/>
      </w:pPr>
      <w:r>
        <w:t>3、比上年增减情况：经过对比测算，2022年财政拨款预算比2021年增加104.56万元。主要是：人员经费减少0.44元，人员经费减少的主要原因是人员调动；日常公用经费无变化；项目经费增加105万元，主要原因是网络技术监管项目服务费、舆情监测能力建设资金、网络安全宣传周经费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2022年，我办机关运行经费共计安排</w:t>
      </w:r>
      <w:r>
        <w:rPr>
          <w:rFonts w:hint="eastAsia"/>
          <w:lang w:val="en-US" w:eastAsia="zh-CN"/>
        </w:rPr>
        <w:t>13.2</w:t>
      </w:r>
      <w:r>
        <w:t>万元，主要用于保证正常办公的基本需要和维持单位日常业务运转，包括：办公费、邮电费等费用。</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财政拨款“三公”经费预算总额0万元，其中：因公出国(境)费0万元；公务用车购置及运维费0元，公务接待费0元，较上无增减变化，各项均与上年持平。主要原因是我单位按照上级政府“过紧日子”思想要求，根据我县单位实际情况，对相关经费进行大幅压减，未安排“三公”经费相关预算。</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处理好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统筹协调全县网络安全保障体系和可信体系建设,牵头协调有关部门制定相关行业网络安全规划及保障评价指标体系,协调信息安全保护工作;指导推进全县党政军部门,重点行业网络安全保障和信惠化工作;统筹推进网络安全和信患化军民融合深度发展;协调推进网络强县建设,推动全县公共服务和社会治理信息化做好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强化舆论引导，走好网上群众路线。强化舆情监测，搞好处置工作。开展专项行动，切实维护好网络意识形态安全。是进一步加强网信基础设施建设、网信工作队伍建设和提高网络执法水平。做强做大网上正面宣传。围绕县委、县政府重点工作主动设置议题，统筹做好县委、县政府重大会议、活动的网上报道，加大对我县经济发展、乡村振兴、精准脱贫、污染防治等网上宣传力度，营造网上浓厚氛围。谋划建立联合辟谣工作机制和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spacing w:line="500" w:lineRule="exact"/>
        <w:ind w:firstLine="560"/>
      </w:pPr>
      <w:r>
        <w:rPr>
          <w:rFonts w:eastAsia="方正仿宋_GBK"/>
          <w:color w:val="000000"/>
          <w:sz w:val="28"/>
        </w:rPr>
        <w:t>（二）分项绩效目标</w:t>
      </w:r>
    </w:p>
    <w:p>
      <w:pPr>
        <w:pStyle w:val="22"/>
      </w:pPr>
      <w:r>
        <w:rPr>
          <w:rFonts w:hint="eastAsia"/>
          <w:lang w:val="en-US" w:eastAsia="zh-CN"/>
        </w:rPr>
        <w:t>1</w:t>
      </w:r>
      <w:r>
        <w:t>、进一步做好舆情监测和处置工作。畅通舆情绿色通道，用好互联网舆情快报，及时准确上报舆情。</w:t>
      </w:r>
    </w:p>
    <w:p>
      <w:pPr>
        <w:pStyle w:val="22"/>
      </w:pPr>
      <w:r>
        <w:rPr>
          <w:rFonts w:hint="eastAsia"/>
          <w:lang w:val="en-US" w:eastAsia="zh-CN"/>
        </w:rPr>
        <w:t>2</w:t>
      </w:r>
      <w:r>
        <w:t>、是进一步加强网信基础设施建设。推动全县城乡光纤网络建设，助力公共服务能力提升。</w:t>
      </w:r>
    </w:p>
    <w:p>
      <w:pPr>
        <w:pStyle w:val="22"/>
      </w:pPr>
      <w:r>
        <w:rPr>
          <w:rFonts w:hint="eastAsia"/>
          <w:lang w:val="en-US" w:eastAsia="zh-CN"/>
        </w:rPr>
        <w:t>3</w:t>
      </w:r>
      <w:r>
        <w:t>、进一步加强对关键信息基础设施安全防护。强化全县金融、能源、电力、通信、交通运输等重点领域的网络安全检查，建立网络安全事件监测预警机制。</w:t>
      </w:r>
    </w:p>
    <w:p>
      <w:pPr>
        <w:pStyle w:val="22"/>
      </w:pPr>
      <w:r>
        <w:rPr>
          <w:rFonts w:hint="eastAsia"/>
          <w:lang w:val="en-US" w:eastAsia="zh-CN"/>
        </w:rPr>
        <w:t>4</w:t>
      </w:r>
      <w:r>
        <w:t>、进一步提高网络执法水平。规范互联网新闻信息服务许可，压实互联网企业主体责任。</w:t>
      </w:r>
    </w:p>
    <w:p>
      <w:pPr>
        <w:pStyle w:val="22"/>
      </w:pPr>
      <w:r>
        <w:rPr>
          <w:rFonts w:hint="eastAsia"/>
          <w:lang w:val="en-US" w:eastAsia="zh-CN"/>
        </w:rPr>
        <w:t>5</w:t>
      </w:r>
      <w:r>
        <w:t>、进一步做强做大网上正面宣传。围绕县委、县政府重点工作主动设置议题，统筹做好县委、县政府重大会议、活动的网上报道，加大对我县经济发展、乡村振兴、精准脱贫、污染防治等网上宣传力度，营造网上浓厚氛围。</w:t>
      </w:r>
    </w:p>
    <w:p>
      <w:pPr>
        <w:pStyle w:val="22"/>
      </w:pPr>
      <w:r>
        <w:rPr>
          <w:rFonts w:hint="eastAsia"/>
          <w:lang w:val="en-US" w:eastAsia="zh-CN"/>
        </w:rPr>
        <w:t>6</w:t>
      </w:r>
      <w:r>
        <w:t>、进一步加强网信工作队伍建设。有针对性选拔一批具有专业技术特长的优秀专业型人才，充实到网信工作岗位。</w:t>
      </w:r>
    </w:p>
    <w:p>
      <w:pPr>
        <w:pStyle w:val="22"/>
      </w:pPr>
      <w:r>
        <w:rPr>
          <w:rFonts w:hint="eastAsia"/>
          <w:lang w:val="en-US" w:eastAsia="zh-CN"/>
        </w:rPr>
        <w:t>7</w:t>
      </w:r>
      <w:r>
        <w:t>、谋划建立联合辟谣工作机制。开展网上谣言治理，营造良好网络生态。</w:t>
      </w:r>
    </w:p>
    <w:p>
      <w:pPr>
        <w:pStyle w:val="22"/>
      </w:pPr>
      <w:r>
        <w:rPr>
          <w:rFonts w:hint="eastAsia"/>
          <w:lang w:val="en-US" w:eastAsia="zh-CN"/>
        </w:rPr>
        <w:t>8</w:t>
      </w:r>
      <w:r>
        <w:t>、谋划推进IPv6规模部署和智慧城市建设。积极推进智慧魏县建设，提升服务质量和服务水平。</w:t>
      </w:r>
    </w:p>
    <w:p>
      <w:pPr>
        <w:spacing w:line="500" w:lineRule="exact"/>
        <w:ind w:firstLine="560"/>
      </w:pPr>
      <w:r>
        <w:rPr>
          <w:rFonts w:eastAsia="方正仿宋_GBK"/>
          <w:color w:val="000000"/>
          <w:sz w:val="28"/>
        </w:rPr>
        <w:t>（三）工作保障措施</w:t>
      </w:r>
    </w:p>
    <w:p>
      <w:pPr>
        <w:pStyle w:val="23"/>
      </w:pPr>
      <w:r>
        <w:t>一是进一步做好舆情监测和处置工作。做好每天24小时全天候舆情值班，升级舆情监测系统，确保舆情全方位、全时段监测，确保网络舆情及时发现、及时处置、及时反馈。组建跨部门舆情研判小组，定期召开舆情分析会，汇总研判形成舆情分析报告，为领导决策提供参考。畅通舆情绿色通道，用好互联网舆情快报，及时准确上报舆情。</w:t>
      </w:r>
    </w:p>
    <w:p>
      <w:pPr>
        <w:pStyle w:val="23"/>
      </w:pPr>
      <w:r>
        <w:t>二是进一步加强网信基础设施建设。推动全县城乡光纤网络建设，提升骨干网传输交换能力。持续推进“无线魏县”建设，实现县城重点区域WiFi全覆盖。持续推进广电双向网改造，实施下一代广电网络升级工程，推进全县有线广播电视网络双向化、数字化、智能化改造提升。推动魏县主城区实现窄带物联网(NB-IoT)普遍覆盖，推进窄带物联网(NB-IoT)在水、电、气表智能计量、公共停车管理、环保监测、文物保护等公共服务领域的试点示范，助力公共服务能力提升。</w:t>
      </w:r>
    </w:p>
    <w:p>
      <w:pPr>
        <w:pStyle w:val="23"/>
      </w:pPr>
      <w:r>
        <w:t>三是进一步加强对关键信息基础设施安全防护。强化全县金融、能源、电力、通信、交通运输等重点领域的网络安全检查，明确保护范围和对象。统筹协调有关部门定期对属地关键信息基础设施网络安全进行检查，对属地重点网站开展常态化安全检测扫描，建立网络安全事件监测预警机制。</w:t>
      </w:r>
    </w:p>
    <w:p>
      <w:pPr>
        <w:pStyle w:val="23"/>
      </w:pPr>
      <w:r>
        <w:t>四是进一步提高网络执法水平。深入开展“燕赵净网”专项行动，严厉处置违法违规信息、账号、应用和网站，严格规范网站备案和电话用户实名登记管理及上网场所实名登记管理，规范互联网新闻信息服务许可，压实互联网企业主体责任。加强互联网违法和不良信息举报工作，加强受理处置体系建设，完善社会监督，引导网民自律。</w:t>
      </w:r>
    </w:p>
    <w:p>
      <w:pPr>
        <w:pStyle w:val="23"/>
      </w:pPr>
      <w:r>
        <w:t>五是进一步做强做大网上正面宣传。围绕县委、县政府重点工作主动设置议题，统筹做好县委、县政府重大会议、活动的网上报道，加大对我县经济发展、乡村振兴、精准脱贫、污染防治等网上宣传力度，营造网上浓厚氛围。组织开展“魏县十佳账号”评选网络活动，支持新媒体创新发展，扶持一批正能量公号。</w:t>
      </w:r>
    </w:p>
    <w:p>
      <w:pPr>
        <w:pStyle w:val="23"/>
      </w:pPr>
      <w:r>
        <w:t>六是进一步加强网信工作队伍建设。要以开展增强“四力”教育实践工作为抓手，把绝对忠诚、政治过硬、本领高强贯穿网信干部人才队伍建设始终。开展业务素质提升工程，全方位提升网信系统干部政治素养、业务能力和理论水平。加强网信人才选拔，通过招录、选聘等，有针对性选拔一批具有专业技术特长的优秀专业型人才，充实到网信工作岗位。组建网络舆情研判分析、网络安全和信息化等专家智库，加强业务人才储备。</w:t>
      </w:r>
    </w:p>
    <w:p>
      <w:pPr>
        <w:pStyle w:val="23"/>
      </w:pPr>
      <w:r>
        <w:t>七是谋划建立联合辟谣工作机制。协调公安、新闻网站，建立网络举报受理处置一体化工作机制和互联网联合辟谣工作机制，开展网上谣言治理，营造良好网络生态。利用网络安全周等，组织开展“网络文明、从我做起”“文明上网、健康用网”等线上线下网络主题活动，引领网络文明新风尚。</w:t>
      </w:r>
    </w:p>
    <w:p>
      <w:pPr>
        <w:pStyle w:val="23"/>
      </w:pPr>
      <w:r>
        <w:t>八是谋划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numId w:val="0"/>
        </w:numPr>
        <w:rPr>
          <w:rFonts w:ascii="方正楷体_GBK" w:hAnsi="方正楷体_GBK" w:eastAsia="方正楷体_GBK" w:cs="方正楷体_GBK"/>
          <w:b/>
          <w:color w:val="000000"/>
          <w:sz w:val="32"/>
        </w:rPr>
      </w:pPr>
    </w:p>
    <w:p>
      <w:pPr>
        <w:numPr>
          <w:numId w:val="0"/>
        </w:numPr>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val="0"/>
          <w:bCs/>
          <w:color w:val="000000"/>
          <w:sz w:val="28"/>
          <w:szCs w:val="28"/>
          <w:lang w:val="en-US" w:eastAsia="zh-CN"/>
        </w:rPr>
        <w:t>无</w:t>
      </w:r>
    </w:p>
    <w:p>
      <w:pPr>
        <w:numPr>
          <w:ilvl w:val="0"/>
          <w:numId w:val="1"/>
        </w:numPr>
        <w:ind w:left="0" w:leftChars="0" w:firstLine="640" w:firstLineChars="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numId w:val="0"/>
        </w:numPr>
        <w:ind w:left="640" w:leftChars="0"/>
      </w:pPr>
      <w:r>
        <w:rPr>
          <w:rFonts w:ascii="方正仿宋_GBK" w:hAnsi="方正仿宋_GBK" w:eastAsia="方正仿宋_GBK" w:cs="方正仿宋_GBK"/>
          <w:b/>
          <w:color w:val="000000"/>
          <w:sz w:val="28"/>
        </w:rPr>
        <w:t>1、2022年网络安全及舆情培训经费绩效目标表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1.开展培训工作三次以上</w:t>
            </w:r>
          </w:p>
          <w:p>
            <w:pPr>
              <w:pStyle w:val="12"/>
            </w:pPr>
            <w:r>
              <w:t>2.培训人员盖率95%以上</w:t>
            </w:r>
          </w:p>
          <w:p>
            <w:pPr>
              <w:pStyle w:val="12"/>
            </w:pPr>
            <w:r>
              <w:t>3.提高业务水平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2835" w:type="dxa"/>
            <w:vAlign w:val="center"/>
          </w:tcPr>
          <w:p>
            <w:pPr>
              <w:pStyle w:val="12"/>
            </w:pPr>
            <w:r>
              <w:t>培训次数三次以上</w:t>
            </w:r>
          </w:p>
        </w:tc>
        <w:tc>
          <w:tcPr>
            <w:tcW w:w="2551" w:type="dxa"/>
            <w:vAlign w:val="center"/>
          </w:tcPr>
          <w:p>
            <w:pPr>
              <w:pStyle w:val="12"/>
            </w:pPr>
            <w:r>
              <w:t>≥3次</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培训覆盖率</w:t>
            </w:r>
          </w:p>
        </w:tc>
        <w:tc>
          <w:tcPr>
            <w:tcW w:w="2835" w:type="dxa"/>
            <w:vAlign w:val="center"/>
          </w:tcPr>
          <w:p>
            <w:pPr>
              <w:pStyle w:val="12"/>
            </w:pPr>
            <w:r>
              <w:t>培训覆盖率95%以上</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10万元</w:t>
            </w:r>
          </w:p>
        </w:tc>
        <w:tc>
          <w:tcPr>
            <w:tcW w:w="2551" w:type="dxa"/>
            <w:vAlign w:val="center"/>
          </w:tcPr>
          <w:p>
            <w:pPr>
              <w:pStyle w:val="12"/>
            </w:pPr>
            <w:r>
              <w:t>10万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运转率</w:t>
            </w:r>
          </w:p>
        </w:tc>
        <w:tc>
          <w:tcPr>
            <w:tcW w:w="2835" w:type="dxa"/>
            <w:vAlign w:val="center"/>
          </w:tcPr>
          <w:p>
            <w:pPr>
              <w:pStyle w:val="12"/>
            </w:pPr>
            <w:r>
              <w:t>运转率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培训覆盖率</w:t>
            </w:r>
          </w:p>
        </w:tc>
        <w:tc>
          <w:tcPr>
            <w:tcW w:w="2835" w:type="dxa"/>
            <w:vAlign w:val="center"/>
          </w:tcPr>
          <w:p>
            <w:pPr>
              <w:pStyle w:val="12"/>
            </w:pPr>
            <w:r>
              <w:t>培训覆盖率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2、2022年网络安全技术保障监管服务费绩效目标表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1.保障网络安全，全年8760小时以上监控,服务系统</w:t>
            </w:r>
          </w:p>
          <w:p>
            <w:pPr>
              <w:pStyle w:val="12"/>
            </w:pPr>
            <w:r>
              <w:t>2.覆盖全县网络</w:t>
            </w:r>
          </w:p>
          <w:p>
            <w:pPr>
              <w:pStyle w:val="12"/>
            </w:pPr>
            <w:r>
              <w:t>3.避免出现网络安全事故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网络安全监管保障范围</w:t>
            </w:r>
          </w:p>
        </w:tc>
        <w:tc>
          <w:tcPr>
            <w:tcW w:w="2835" w:type="dxa"/>
            <w:vAlign w:val="center"/>
          </w:tcPr>
          <w:p>
            <w:pPr>
              <w:pStyle w:val="12"/>
            </w:pPr>
            <w:r>
              <w:t>魏县全县范围保障</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保障时间</w:t>
            </w:r>
          </w:p>
        </w:tc>
        <w:tc>
          <w:tcPr>
            <w:tcW w:w="2835" w:type="dxa"/>
            <w:vAlign w:val="center"/>
          </w:tcPr>
          <w:p>
            <w:pPr>
              <w:pStyle w:val="12"/>
            </w:pPr>
            <w:r>
              <w:t>8760小时以上</w:t>
            </w:r>
          </w:p>
        </w:tc>
        <w:tc>
          <w:tcPr>
            <w:tcW w:w="2551" w:type="dxa"/>
            <w:vAlign w:val="center"/>
          </w:tcPr>
          <w:p>
            <w:pPr>
              <w:pStyle w:val="12"/>
            </w:pPr>
            <w:r>
              <w:t>8760个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系统数量</w:t>
            </w:r>
          </w:p>
        </w:tc>
        <w:tc>
          <w:tcPr>
            <w:tcW w:w="2835" w:type="dxa"/>
            <w:vAlign w:val="center"/>
          </w:tcPr>
          <w:p>
            <w:pPr>
              <w:pStyle w:val="12"/>
            </w:pPr>
            <w:r>
              <w:t>系统1个</w:t>
            </w:r>
          </w:p>
        </w:tc>
        <w:tc>
          <w:tcPr>
            <w:tcW w:w="2551" w:type="dxa"/>
            <w:vAlign w:val="center"/>
          </w:tcPr>
          <w:p>
            <w:pPr>
              <w:pStyle w:val="12"/>
            </w:pPr>
            <w:r>
              <w:t>1个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20</w:t>
            </w:r>
          </w:p>
        </w:tc>
        <w:tc>
          <w:tcPr>
            <w:tcW w:w="2551" w:type="dxa"/>
            <w:vAlign w:val="center"/>
          </w:tcPr>
          <w:p>
            <w:pPr>
              <w:pStyle w:val="12"/>
            </w:pPr>
            <w:r>
              <w:t>20万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保障网络安全</w:t>
            </w:r>
          </w:p>
        </w:tc>
        <w:tc>
          <w:tcPr>
            <w:tcW w:w="2835" w:type="dxa"/>
            <w:vAlign w:val="center"/>
          </w:tcPr>
          <w:p>
            <w:pPr>
              <w:pStyle w:val="12"/>
            </w:pPr>
            <w:r>
              <w:t>网络安全工作运转率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网络安全问题处置率</w:t>
            </w:r>
          </w:p>
        </w:tc>
        <w:tc>
          <w:tcPr>
            <w:tcW w:w="2835" w:type="dxa"/>
            <w:vAlign w:val="center"/>
          </w:tcPr>
          <w:p>
            <w:pPr>
              <w:pStyle w:val="12"/>
            </w:pPr>
            <w:r>
              <w:t>处置率100%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3、2022年网络安全宣传周经费绩效目标表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1.开展网络宣传活动</w:t>
            </w:r>
          </w:p>
          <w:p>
            <w:pPr>
              <w:pStyle w:val="12"/>
            </w:pPr>
            <w:r>
              <w:t>2.形成浓厚的网络安全活动氛围</w:t>
            </w:r>
          </w:p>
          <w:p>
            <w:pPr>
              <w:pStyle w:val="12"/>
            </w:pPr>
            <w:r>
              <w:t>3.网络安全观念深入每个人心中</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组织主题宣传活动场次</w:t>
            </w:r>
          </w:p>
        </w:tc>
        <w:tc>
          <w:tcPr>
            <w:tcW w:w="2835" w:type="dxa"/>
            <w:vAlign w:val="center"/>
          </w:tcPr>
          <w:p>
            <w:pPr>
              <w:pStyle w:val="12"/>
            </w:pPr>
            <w:r>
              <w:t>组织主题宣传活动场次</w:t>
            </w:r>
          </w:p>
        </w:tc>
        <w:tc>
          <w:tcPr>
            <w:tcW w:w="2551" w:type="dxa"/>
            <w:vAlign w:val="center"/>
          </w:tcPr>
          <w:p>
            <w:pPr>
              <w:pStyle w:val="12"/>
            </w:pPr>
            <w:r>
              <w:t>≥7场</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w:t>
            </w:r>
          </w:p>
        </w:tc>
        <w:tc>
          <w:tcPr>
            <w:tcW w:w="2835" w:type="dxa"/>
            <w:vAlign w:val="center"/>
          </w:tcPr>
          <w:p>
            <w:pPr>
              <w:pStyle w:val="12"/>
            </w:pPr>
            <w:r>
              <w:t>宣传目标完成率</w:t>
            </w:r>
          </w:p>
        </w:tc>
        <w:tc>
          <w:tcPr>
            <w:tcW w:w="2551" w:type="dxa"/>
            <w:vAlign w:val="center"/>
          </w:tcPr>
          <w:p>
            <w:pPr>
              <w:pStyle w:val="12"/>
            </w:pPr>
            <w:r>
              <w:t>≥95%</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p>
            <w:pPr>
              <w:pStyle w:val="12"/>
            </w:pPr>
          </w:p>
        </w:tc>
        <w:tc>
          <w:tcPr>
            <w:tcW w:w="2835" w:type="dxa"/>
            <w:vAlign w:val="center"/>
          </w:tcPr>
          <w:p>
            <w:pPr>
              <w:pStyle w:val="12"/>
            </w:pPr>
            <w:r>
              <w:t>工作完成的时效</w:t>
            </w:r>
          </w:p>
          <w:p>
            <w:pPr>
              <w:pStyle w:val="12"/>
            </w:pPr>
          </w:p>
          <w:p>
            <w:pPr>
              <w:pStyle w:val="12"/>
            </w:pPr>
          </w:p>
        </w:tc>
        <w:tc>
          <w:tcPr>
            <w:tcW w:w="2551" w:type="dxa"/>
            <w:vAlign w:val="center"/>
          </w:tcPr>
          <w:p>
            <w:pPr>
              <w:pStyle w:val="12"/>
            </w:pPr>
            <w:r>
              <w:t>≥7天</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≤10万元</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网络安全保障</w:t>
            </w:r>
          </w:p>
        </w:tc>
        <w:tc>
          <w:tcPr>
            <w:tcW w:w="2835" w:type="dxa"/>
            <w:vAlign w:val="center"/>
          </w:tcPr>
          <w:p>
            <w:pPr>
              <w:pStyle w:val="12"/>
            </w:pPr>
            <w:r>
              <w:t>网络安全保障</w:t>
            </w:r>
          </w:p>
        </w:tc>
        <w:tc>
          <w:tcPr>
            <w:tcW w:w="2551" w:type="dxa"/>
            <w:vAlign w:val="center"/>
          </w:tcPr>
          <w:p>
            <w:pPr>
              <w:pStyle w:val="12"/>
            </w:pPr>
            <w:r>
              <w:t>≥95%</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覆盖服务人口</w:t>
            </w:r>
          </w:p>
        </w:tc>
        <w:tc>
          <w:tcPr>
            <w:tcW w:w="2835" w:type="dxa"/>
            <w:vAlign w:val="center"/>
          </w:tcPr>
          <w:p>
            <w:pPr>
              <w:pStyle w:val="12"/>
            </w:pPr>
            <w:r>
              <w:t>覆盖服务人口</w:t>
            </w:r>
          </w:p>
        </w:tc>
        <w:tc>
          <w:tcPr>
            <w:tcW w:w="2551" w:type="dxa"/>
            <w:vAlign w:val="center"/>
          </w:tcPr>
          <w:p>
            <w:pPr>
              <w:pStyle w:val="12"/>
            </w:pPr>
            <w:r>
              <w:t>≥30万</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群众满意率</w:t>
            </w:r>
          </w:p>
        </w:tc>
        <w:tc>
          <w:tcPr>
            <w:tcW w:w="2551" w:type="dxa"/>
            <w:vAlign w:val="center"/>
          </w:tcPr>
          <w:p>
            <w:pPr>
              <w:pStyle w:val="12"/>
            </w:pPr>
            <w:r>
              <w:t>≥95%</w:t>
            </w:r>
          </w:p>
        </w:tc>
        <w:tc>
          <w:tcPr>
            <w:tcW w:w="2268" w:type="dxa"/>
            <w:vAlign w:val="center"/>
          </w:tcPr>
          <w:p>
            <w:pPr>
              <w:pStyle w:val="12"/>
            </w:pPr>
            <w:r>
              <w:t>职能要求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4、2022年网络评论队伍经费绩效目标表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1.加强网络评论员队伍建设和网上舆论引导</w:t>
            </w:r>
          </w:p>
          <w:p>
            <w:pPr>
              <w:pStyle w:val="12"/>
            </w:pPr>
            <w:r>
              <w:t>2.网评员参与度95%以上</w:t>
            </w:r>
          </w:p>
          <w:p>
            <w:pPr>
              <w:pStyle w:val="12"/>
            </w:pPr>
            <w:r>
              <w:t>3.网评员评论时间365天，营造良好的网络舆论氛围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网络评论员建设</w:t>
            </w:r>
          </w:p>
        </w:tc>
        <w:tc>
          <w:tcPr>
            <w:tcW w:w="2835" w:type="dxa"/>
            <w:vAlign w:val="center"/>
          </w:tcPr>
          <w:p>
            <w:pPr>
              <w:pStyle w:val="12"/>
            </w:pPr>
            <w:r>
              <w:t>网评员参与程度95%以上</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网评员培评论时间</w:t>
            </w:r>
          </w:p>
        </w:tc>
        <w:tc>
          <w:tcPr>
            <w:tcW w:w="2835" w:type="dxa"/>
            <w:vAlign w:val="center"/>
          </w:tcPr>
          <w:p>
            <w:pPr>
              <w:pStyle w:val="12"/>
            </w:pPr>
            <w:r>
              <w:t>评论时间365天</w:t>
            </w:r>
          </w:p>
        </w:tc>
        <w:tc>
          <w:tcPr>
            <w:tcW w:w="2551" w:type="dxa"/>
            <w:vAlign w:val="center"/>
          </w:tcPr>
          <w:p>
            <w:pPr>
              <w:pStyle w:val="12"/>
            </w:pPr>
            <w:r>
              <w:t>365天</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网评数量</w:t>
            </w:r>
          </w:p>
        </w:tc>
        <w:tc>
          <w:tcPr>
            <w:tcW w:w="2835" w:type="dxa"/>
            <w:vAlign w:val="center"/>
          </w:tcPr>
          <w:p>
            <w:pPr>
              <w:pStyle w:val="12"/>
            </w:pPr>
            <w:r>
              <w:t>完成上级网评数量任务</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6.6万元</w:t>
            </w:r>
          </w:p>
        </w:tc>
        <w:tc>
          <w:tcPr>
            <w:tcW w:w="2551" w:type="dxa"/>
            <w:vAlign w:val="center"/>
          </w:tcPr>
          <w:p>
            <w:pPr>
              <w:pStyle w:val="12"/>
            </w:pPr>
            <w:r>
              <w:t>6.6万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舆论引导力</w:t>
            </w:r>
          </w:p>
        </w:tc>
        <w:tc>
          <w:tcPr>
            <w:tcW w:w="2835" w:type="dxa"/>
            <w:vAlign w:val="center"/>
          </w:tcPr>
          <w:p>
            <w:pPr>
              <w:pStyle w:val="12"/>
            </w:pPr>
            <w:r>
              <w:t>引导正面舆论</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正面舆论影响力</w:t>
            </w:r>
          </w:p>
        </w:tc>
        <w:tc>
          <w:tcPr>
            <w:tcW w:w="2835" w:type="dxa"/>
            <w:vAlign w:val="center"/>
          </w:tcPr>
          <w:p>
            <w:pPr>
              <w:pStyle w:val="12"/>
            </w:pPr>
            <w:r>
              <w:t>营造正面舆论氛围</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5、2022年网络生态综合管理平台服务资金绩效目标表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1.包含六大子业务模块，更好的发挥网络生态治理功能，全面清理违法信息</w:t>
            </w:r>
          </w:p>
          <w:p>
            <w:pPr>
              <w:pStyle w:val="12"/>
            </w:pPr>
            <w:r>
              <w:t>2.27*24小时运行监测</w:t>
            </w:r>
          </w:p>
          <w:p>
            <w:pPr>
              <w:pStyle w:val="12"/>
            </w:pPr>
            <w:r>
              <w:t>3.引导鼓励属地网站、微博、微信公众号、贴吧及论坛发布正确导向内容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业务模块</w:t>
            </w:r>
          </w:p>
        </w:tc>
        <w:tc>
          <w:tcPr>
            <w:tcW w:w="2835" w:type="dxa"/>
            <w:vAlign w:val="center"/>
          </w:tcPr>
          <w:p>
            <w:pPr>
              <w:pStyle w:val="12"/>
            </w:pPr>
            <w:r>
              <w:t>包含六大子业务模块</w:t>
            </w:r>
          </w:p>
        </w:tc>
        <w:tc>
          <w:tcPr>
            <w:tcW w:w="2551" w:type="dxa"/>
            <w:vAlign w:val="center"/>
          </w:tcPr>
          <w:p>
            <w:pPr>
              <w:pStyle w:val="12"/>
            </w:pPr>
            <w:r>
              <w:t>6个</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覆盖魏县属地网站、微博、微信公众号、论坛贴吧100%</w:t>
            </w:r>
          </w:p>
        </w:tc>
        <w:tc>
          <w:tcPr>
            <w:tcW w:w="2551" w:type="dxa"/>
            <w:vAlign w:val="center"/>
          </w:tcPr>
          <w:p>
            <w:pPr>
              <w:pStyle w:val="12"/>
            </w:pPr>
            <w:r>
              <w:t>100%</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服务时间</w:t>
            </w:r>
          </w:p>
        </w:tc>
        <w:tc>
          <w:tcPr>
            <w:tcW w:w="2835" w:type="dxa"/>
            <w:vAlign w:val="center"/>
          </w:tcPr>
          <w:p>
            <w:pPr>
              <w:pStyle w:val="12"/>
            </w:pPr>
            <w:r>
              <w:t>全年8760小时以上</w:t>
            </w:r>
          </w:p>
        </w:tc>
        <w:tc>
          <w:tcPr>
            <w:tcW w:w="2551" w:type="dxa"/>
            <w:vAlign w:val="center"/>
          </w:tcPr>
          <w:p>
            <w:pPr>
              <w:pStyle w:val="12"/>
            </w:pPr>
            <w:r>
              <w:t>8760小时</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32万元</w:t>
            </w:r>
          </w:p>
        </w:tc>
        <w:tc>
          <w:tcPr>
            <w:tcW w:w="2551" w:type="dxa"/>
            <w:vAlign w:val="center"/>
          </w:tcPr>
          <w:p>
            <w:pPr>
              <w:pStyle w:val="12"/>
            </w:pPr>
            <w:r>
              <w:t>32万</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建成网络综合治理体系</w:t>
            </w:r>
          </w:p>
        </w:tc>
        <w:tc>
          <w:tcPr>
            <w:tcW w:w="2835" w:type="dxa"/>
            <w:vAlign w:val="center"/>
          </w:tcPr>
          <w:p>
            <w:pPr>
              <w:pStyle w:val="12"/>
            </w:pPr>
            <w:r>
              <w:t>建成网络综合治理体系</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营造清朗网络空间</w:t>
            </w:r>
          </w:p>
        </w:tc>
        <w:tc>
          <w:tcPr>
            <w:tcW w:w="2835" w:type="dxa"/>
            <w:vAlign w:val="center"/>
          </w:tcPr>
          <w:p>
            <w:pPr>
              <w:pStyle w:val="12"/>
            </w:pPr>
            <w:r>
              <w:t>营造清朗网络空间</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6、2022年网络信息工作执法费用绩效目标表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1.营造清朗网络空间，正面环境95%以上</w:t>
            </w:r>
          </w:p>
          <w:p>
            <w:pPr>
              <w:pStyle w:val="12"/>
            </w:pPr>
            <w:r>
              <w:t>2.展执法检查覆盖率95%以上</w:t>
            </w:r>
          </w:p>
          <w:p>
            <w:pPr>
              <w:pStyle w:val="12"/>
            </w:pPr>
            <w:r>
              <w:t>3.打击网络违法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执法检查次数</w:t>
            </w:r>
          </w:p>
        </w:tc>
        <w:tc>
          <w:tcPr>
            <w:tcW w:w="2835" w:type="dxa"/>
            <w:vAlign w:val="center"/>
          </w:tcPr>
          <w:p>
            <w:pPr>
              <w:pStyle w:val="12"/>
            </w:pPr>
            <w:r>
              <w:t>开展执法检查次数</w:t>
            </w:r>
          </w:p>
        </w:tc>
        <w:tc>
          <w:tcPr>
            <w:tcW w:w="2551" w:type="dxa"/>
            <w:vAlign w:val="center"/>
          </w:tcPr>
          <w:p>
            <w:pPr>
              <w:pStyle w:val="12"/>
            </w:pPr>
            <w:r>
              <w:t>≥3次</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执法检查覆盖率</w:t>
            </w:r>
          </w:p>
        </w:tc>
        <w:tc>
          <w:tcPr>
            <w:tcW w:w="2835" w:type="dxa"/>
            <w:vAlign w:val="center"/>
          </w:tcPr>
          <w:p>
            <w:pPr>
              <w:pStyle w:val="12"/>
            </w:pPr>
            <w:r>
              <w:t>执法检查覆盖率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有效保障时间</w:t>
            </w:r>
          </w:p>
        </w:tc>
        <w:tc>
          <w:tcPr>
            <w:tcW w:w="2835" w:type="dxa"/>
            <w:vAlign w:val="center"/>
          </w:tcPr>
          <w:p>
            <w:pPr>
              <w:pStyle w:val="12"/>
            </w:pPr>
            <w:r>
              <w:t>有效保障时间</w:t>
            </w:r>
          </w:p>
        </w:tc>
        <w:tc>
          <w:tcPr>
            <w:tcW w:w="2551" w:type="dxa"/>
            <w:vAlign w:val="center"/>
          </w:tcPr>
          <w:p>
            <w:pPr>
              <w:pStyle w:val="12"/>
            </w:pPr>
            <w:r>
              <w:t>1年</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3万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打击网络违法行为</w:t>
            </w:r>
          </w:p>
        </w:tc>
        <w:tc>
          <w:tcPr>
            <w:tcW w:w="2835" w:type="dxa"/>
            <w:vAlign w:val="center"/>
          </w:tcPr>
          <w:p>
            <w:pPr>
              <w:pStyle w:val="12"/>
            </w:pPr>
            <w:r>
              <w:t>打击网络违法行为</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营造清朗网络空间</w:t>
            </w:r>
          </w:p>
        </w:tc>
        <w:tc>
          <w:tcPr>
            <w:tcW w:w="2835" w:type="dxa"/>
            <w:vAlign w:val="center"/>
          </w:tcPr>
          <w:p>
            <w:pPr>
              <w:pStyle w:val="12"/>
            </w:pPr>
            <w:r>
              <w:t>营造清朗网络空间</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7、2022年网络舆情处置经费绩效目标表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1.处置负面舆情事件20次以上</w:t>
            </w:r>
          </w:p>
          <w:p>
            <w:pPr>
              <w:pStyle w:val="12"/>
            </w:pPr>
            <w:r>
              <w:t>2.负面舆情处置率达到100%</w:t>
            </w:r>
          </w:p>
          <w:p>
            <w:pPr>
              <w:pStyle w:val="12"/>
            </w:pPr>
            <w:r>
              <w:t>3.营造清朗网络空间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负面舆情处置率</w:t>
            </w:r>
          </w:p>
        </w:tc>
        <w:tc>
          <w:tcPr>
            <w:tcW w:w="2835" w:type="dxa"/>
            <w:vAlign w:val="center"/>
          </w:tcPr>
          <w:p>
            <w:pPr>
              <w:pStyle w:val="12"/>
            </w:pPr>
            <w:r>
              <w:t>负面舆情处置覆盖率100%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处置时间</w:t>
            </w:r>
          </w:p>
        </w:tc>
        <w:tc>
          <w:tcPr>
            <w:tcW w:w="2835" w:type="dxa"/>
            <w:vAlign w:val="center"/>
          </w:tcPr>
          <w:p>
            <w:pPr>
              <w:pStyle w:val="12"/>
            </w:pPr>
            <w:r>
              <w:t>全年8760小时以上</w:t>
            </w:r>
          </w:p>
        </w:tc>
        <w:tc>
          <w:tcPr>
            <w:tcW w:w="2551" w:type="dxa"/>
            <w:vAlign w:val="center"/>
          </w:tcPr>
          <w:p>
            <w:pPr>
              <w:pStyle w:val="12"/>
            </w:pPr>
            <w:r>
              <w:t>8760个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处置次数</w:t>
            </w:r>
          </w:p>
        </w:tc>
        <w:tc>
          <w:tcPr>
            <w:tcW w:w="2835" w:type="dxa"/>
            <w:vAlign w:val="center"/>
          </w:tcPr>
          <w:p>
            <w:pPr>
              <w:pStyle w:val="12"/>
            </w:pPr>
            <w:r>
              <w:t>20以上</w:t>
            </w:r>
          </w:p>
        </w:tc>
        <w:tc>
          <w:tcPr>
            <w:tcW w:w="2551" w:type="dxa"/>
            <w:vAlign w:val="center"/>
          </w:tcPr>
          <w:p>
            <w:pPr>
              <w:pStyle w:val="12"/>
            </w:pPr>
            <w:r>
              <w:t>≥20次</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10万元</w:t>
            </w:r>
          </w:p>
        </w:tc>
        <w:tc>
          <w:tcPr>
            <w:tcW w:w="2551" w:type="dxa"/>
            <w:vAlign w:val="center"/>
          </w:tcPr>
          <w:p>
            <w:pPr>
              <w:pStyle w:val="12"/>
            </w:pPr>
            <w:r>
              <w:t>10万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突发事件处置完成率</w:t>
            </w:r>
          </w:p>
        </w:tc>
        <w:tc>
          <w:tcPr>
            <w:tcW w:w="2835" w:type="dxa"/>
            <w:vAlign w:val="center"/>
          </w:tcPr>
          <w:p>
            <w:pPr>
              <w:pStyle w:val="12"/>
            </w:pPr>
            <w:r>
              <w:t>突发负面舆情事件全部得到有效处置</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舆情工作正常运转</w:t>
            </w:r>
          </w:p>
        </w:tc>
        <w:tc>
          <w:tcPr>
            <w:tcW w:w="2835" w:type="dxa"/>
            <w:vAlign w:val="center"/>
          </w:tcPr>
          <w:p>
            <w:pPr>
              <w:pStyle w:val="12"/>
            </w:pPr>
            <w:r>
              <w:t>运转率100%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8、2022年网络舆情监测软件技术服务费绩效目标表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1.对我县进行网上舆情全年8760小时监测</w:t>
            </w:r>
          </w:p>
          <w:p>
            <w:pPr>
              <w:pStyle w:val="12"/>
            </w:pPr>
            <w:r>
              <w:t>2.7*24小时处置负面舆情</w:t>
            </w:r>
          </w:p>
          <w:p>
            <w:pPr>
              <w:pStyle w:val="12"/>
            </w:pPr>
            <w:r>
              <w:t>3.不发生舆情事故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监控系统数量</w:t>
            </w:r>
          </w:p>
        </w:tc>
        <w:tc>
          <w:tcPr>
            <w:tcW w:w="2835" w:type="dxa"/>
            <w:vAlign w:val="center"/>
          </w:tcPr>
          <w:p>
            <w:pPr>
              <w:pStyle w:val="12"/>
            </w:pPr>
            <w:r>
              <w:t>监控系统2个</w:t>
            </w:r>
          </w:p>
        </w:tc>
        <w:tc>
          <w:tcPr>
            <w:tcW w:w="2551" w:type="dxa"/>
            <w:vAlign w:val="center"/>
          </w:tcPr>
          <w:p>
            <w:pPr>
              <w:pStyle w:val="12"/>
            </w:pPr>
            <w:r>
              <w:t>2个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监控覆盖率</w:t>
            </w:r>
          </w:p>
        </w:tc>
        <w:tc>
          <w:tcPr>
            <w:tcW w:w="2835" w:type="dxa"/>
            <w:vAlign w:val="center"/>
          </w:tcPr>
          <w:p>
            <w:pPr>
              <w:pStyle w:val="12"/>
            </w:pPr>
            <w:r>
              <w:t>监控率90%以上</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监控时间</w:t>
            </w:r>
          </w:p>
        </w:tc>
        <w:tc>
          <w:tcPr>
            <w:tcW w:w="2835" w:type="dxa"/>
            <w:vAlign w:val="center"/>
          </w:tcPr>
          <w:p>
            <w:pPr>
              <w:pStyle w:val="12"/>
            </w:pPr>
            <w:r>
              <w:t>全年监控8760小时以上</w:t>
            </w:r>
          </w:p>
        </w:tc>
        <w:tc>
          <w:tcPr>
            <w:tcW w:w="2551" w:type="dxa"/>
            <w:vAlign w:val="center"/>
          </w:tcPr>
          <w:p>
            <w:pPr>
              <w:pStyle w:val="12"/>
            </w:pPr>
            <w:r>
              <w:t>8760小时</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20万元</w:t>
            </w:r>
          </w:p>
        </w:tc>
        <w:tc>
          <w:tcPr>
            <w:tcW w:w="2551" w:type="dxa"/>
            <w:vAlign w:val="center"/>
          </w:tcPr>
          <w:p>
            <w:pPr>
              <w:pStyle w:val="12"/>
            </w:pPr>
            <w:r>
              <w:t>20万元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传播正能量</w:t>
            </w:r>
          </w:p>
        </w:tc>
        <w:tc>
          <w:tcPr>
            <w:tcW w:w="2835" w:type="dxa"/>
            <w:vAlign w:val="center"/>
          </w:tcPr>
          <w:p>
            <w:pPr>
              <w:pStyle w:val="12"/>
            </w:pPr>
            <w:r>
              <w:t>传播正能量</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突发事件处置完成率</w:t>
            </w:r>
          </w:p>
        </w:tc>
        <w:tc>
          <w:tcPr>
            <w:tcW w:w="2835" w:type="dxa"/>
            <w:vAlign w:val="center"/>
          </w:tcPr>
          <w:p>
            <w:pPr>
              <w:pStyle w:val="12"/>
            </w:pPr>
            <w:r>
              <w:t>突发事件处置完成率100%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9、2022年舆情监测能力建设资金绩效目标表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1.对属地抖音快手今日头条微博信息进行监管</w:t>
            </w:r>
          </w:p>
          <w:p>
            <w:pPr>
              <w:pStyle w:val="12"/>
            </w:pPr>
            <w:r>
              <w:t>2.屏蔽负面信息</w:t>
            </w:r>
          </w:p>
          <w:p>
            <w:pPr>
              <w:pStyle w:val="12"/>
            </w:pPr>
            <w:r>
              <w:t>3.净化网上舆论环境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自动采集率</w:t>
            </w:r>
          </w:p>
        </w:tc>
        <w:tc>
          <w:tcPr>
            <w:tcW w:w="2835" w:type="dxa"/>
            <w:vAlign w:val="center"/>
          </w:tcPr>
          <w:p>
            <w:pPr>
              <w:pStyle w:val="12"/>
            </w:pPr>
            <w:r>
              <w:t>支持7*24小时采集</w:t>
            </w:r>
          </w:p>
        </w:tc>
        <w:tc>
          <w:tcPr>
            <w:tcW w:w="2551" w:type="dxa"/>
            <w:vAlign w:val="center"/>
          </w:tcPr>
          <w:p>
            <w:pPr>
              <w:pStyle w:val="12"/>
            </w:pPr>
            <w:r>
              <w:t>≥8760小时</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实现效果</w:t>
            </w:r>
          </w:p>
        </w:tc>
        <w:tc>
          <w:tcPr>
            <w:tcW w:w="2835" w:type="dxa"/>
            <w:vAlign w:val="center"/>
          </w:tcPr>
          <w:p>
            <w:pPr>
              <w:pStyle w:val="12"/>
            </w:pPr>
            <w:r>
              <w:t>属地抖音快手今日头条及内容信息监管和论坛贴吧沉贴锁帖系统经费</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≤85万元</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负面信息处置率</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舆情处置</w:t>
            </w:r>
          </w:p>
        </w:tc>
        <w:tc>
          <w:tcPr>
            <w:tcW w:w="2835" w:type="dxa"/>
            <w:vAlign w:val="center"/>
          </w:tcPr>
          <w:p>
            <w:pPr>
              <w:pStyle w:val="12"/>
            </w:pPr>
            <w:r>
              <w:t>舆情处置工作效率</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网络生态环境</w:t>
            </w:r>
          </w:p>
        </w:tc>
        <w:tc>
          <w:tcPr>
            <w:tcW w:w="2835" w:type="dxa"/>
            <w:vAlign w:val="center"/>
          </w:tcPr>
          <w:p>
            <w:pPr>
              <w:pStyle w:val="12"/>
            </w:pPr>
            <w:r>
              <w:t>网络生态环境</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2022年，中共魏县县委网络安全和信息化委员会办公室安排政府采购预算0.00万元。具体内容见下表。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中共魏县县委网络安全和信息化委员会办公室（含所属单位）上年末固定资产金额为8.85万元（详见下表）。本年度拟购置固定资产总额为0.00万元，已按要求列入政府采购预算，详见政府采购预算表。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224中共魏县县委网络安全和信息化委员会办公室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8.85</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一、中共魏县县委网络安全和信息化委员会办公室本级收支预算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292.34</w:t>
            </w:r>
          </w:p>
        </w:tc>
        <w:tc>
          <w:tcPr>
            <w:tcW w:w="4535" w:type="dxa"/>
            <w:vAlign w:val="center"/>
          </w:tcPr>
          <w:p>
            <w:pPr>
              <w:pStyle w:val="12"/>
            </w:pPr>
            <w:r>
              <w:t>一、一般公共服务支出</w:t>
            </w:r>
          </w:p>
        </w:tc>
        <w:tc>
          <w:tcPr>
            <w:tcW w:w="2126" w:type="dxa"/>
            <w:vAlign w:val="center"/>
          </w:tcPr>
          <w:p>
            <w:pPr>
              <w:pStyle w:val="11"/>
            </w:pPr>
            <w:r>
              <w:t>288.06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292.34</w:t>
            </w:r>
          </w:p>
        </w:tc>
        <w:tc>
          <w:tcPr>
            <w:tcW w:w="4535" w:type="dxa"/>
            <w:vAlign w:val="center"/>
          </w:tcPr>
          <w:p>
            <w:pPr>
              <w:pStyle w:val="14"/>
            </w:pPr>
            <w:r>
              <w:t>本年支出合计</w:t>
            </w:r>
          </w:p>
        </w:tc>
        <w:tc>
          <w:tcPr>
            <w:tcW w:w="2126" w:type="dxa"/>
            <w:vAlign w:val="center"/>
          </w:tcPr>
          <w:p>
            <w:pPr>
              <w:pStyle w:val="15"/>
            </w:pPr>
            <w:r>
              <w:t>292.34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292.34</w:t>
            </w:r>
          </w:p>
        </w:tc>
        <w:tc>
          <w:tcPr>
            <w:tcW w:w="4535" w:type="dxa"/>
            <w:vAlign w:val="center"/>
          </w:tcPr>
          <w:p>
            <w:pPr>
              <w:pStyle w:val="14"/>
            </w:pPr>
            <w:r>
              <w:t>支出总计</w:t>
            </w:r>
          </w:p>
        </w:tc>
        <w:tc>
          <w:tcPr>
            <w:tcW w:w="2126" w:type="dxa"/>
            <w:vAlign w:val="center"/>
          </w:tcPr>
          <w:p>
            <w:pPr>
              <w:pStyle w:val="15"/>
            </w:pPr>
            <w:r>
              <w:t>292.34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292.34</w:t>
            </w:r>
          </w:p>
        </w:tc>
        <w:tc>
          <w:tcPr>
            <w:tcW w:w="1134" w:type="dxa"/>
            <w:vAlign w:val="center"/>
          </w:tcPr>
          <w:p>
            <w:pPr>
              <w:pStyle w:val="15"/>
            </w:pPr>
            <w:r>
              <w:t>292.34</w:t>
            </w:r>
          </w:p>
        </w:tc>
        <w:tc>
          <w:tcPr>
            <w:tcW w:w="1134" w:type="dxa"/>
            <w:vAlign w:val="center"/>
          </w:tcPr>
          <w:p>
            <w:pPr>
              <w:pStyle w:val="15"/>
            </w:pPr>
            <w:r>
              <w:t>292.34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288.06</w:t>
            </w:r>
          </w:p>
        </w:tc>
        <w:tc>
          <w:tcPr>
            <w:tcW w:w="1134" w:type="dxa"/>
            <w:vAlign w:val="center"/>
          </w:tcPr>
          <w:p>
            <w:pPr>
              <w:pStyle w:val="11"/>
            </w:pPr>
            <w:r>
              <w:t>288.06</w:t>
            </w:r>
          </w:p>
        </w:tc>
        <w:tc>
          <w:tcPr>
            <w:tcW w:w="1134" w:type="dxa"/>
            <w:vAlign w:val="center"/>
          </w:tcPr>
          <w:p>
            <w:pPr>
              <w:pStyle w:val="11"/>
            </w:pPr>
            <w:r>
              <w:t>288.06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20137</w:t>
            </w:r>
          </w:p>
        </w:tc>
        <w:tc>
          <w:tcPr>
            <w:tcW w:w="1559" w:type="dxa"/>
            <w:vAlign w:val="center"/>
          </w:tcPr>
          <w:p>
            <w:pPr>
              <w:pStyle w:val="12"/>
            </w:pPr>
            <w:r>
              <w:t>网信事务</w:t>
            </w:r>
          </w:p>
        </w:tc>
        <w:tc>
          <w:tcPr>
            <w:tcW w:w="1134" w:type="dxa"/>
            <w:vAlign w:val="center"/>
          </w:tcPr>
          <w:p>
            <w:pPr>
              <w:pStyle w:val="11"/>
            </w:pPr>
            <w:r>
              <w:t>288.06</w:t>
            </w:r>
          </w:p>
        </w:tc>
        <w:tc>
          <w:tcPr>
            <w:tcW w:w="1134" w:type="dxa"/>
            <w:vAlign w:val="center"/>
          </w:tcPr>
          <w:p>
            <w:pPr>
              <w:pStyle w:val="11"/>
            </w:pPr>
            <w:r>
              <w:t>288.06</w:t>
            </w:r>
          </w:p>
        </w:tc>
        <w:tc>
          <w:tcPr>
            <w:tcW w:w="1134" w:type="dxa"/>
            <w:vAlign w:val="center"/>
          </w:tcPr>
          <w:p>
            <w:pPr>
              <w:pStyle w:val="11"/>
            </w:pPr>
            <w:r>
              <w:t>288.06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2013701</w:t>
            </w:r>
          </w:p>
        </w:tc>
        <w:tc>
          <w:tcPr>
            <w:tcW w:w="1559" w:type="dxa"/>
            <w:vAlign w:val="center"/>
          </w:tcPr>
          <w:p>
            <w:pPr>
              <w:pStyle w:val="12"/>
            </w:pPr>
            <w:r>
              <w:t>行政运行</w:t>
            </w:r>
          </w:p>
        </w:tc>
        <w:tc>
          <w:tcPr>
            <w:tcW w:w="1134" w:type="dxa"/>
            <w:vAlign w:val="center"/>
          </w:tcPr>
          <w:p>
            <w:pPr>
              <w:pStyle w:val="11"/>
            </w:pPr>
            <w:r>
              <w:t>81.46</w:t>
            </w:r>
          </w:p>
        </w:tc>
        <w:tc>
          <w:tcPr>
            <w:tcW w:w="1134" w:type="dxa"/>
            <w:vAlign w:val="center"/>
          </w:tcPr>
          <w:p>
            <w:pPr>
              <w:pStyle w:val="11"/>
            </w:pPr>
            <w:r>
              <w:t>81.46</w:t>
            </w:r>
          </w:p>
        </w:tc>
        <w:tc>
          <w:tcPr>
            <w:tcW w:w="1134" w:type="dxa"/>
            <w:vAlign w:val="center"/>
          </w:tcPr>
          <w:p>
            <w:pPr>
              <w:pStyle w:val="11"/>
            </w:pPr>
            <w:r>
              <w:t>81.46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2013704</w:t>
            </w:r>
          </w:p>
        </w:tc>
        <w:tc>
          <w:tcPr>
            <w:tcW w:w="1559" w:type="dxa"/>
            <w:vAlign w:val="center"/>
          </w:tcPr>
          <w:p>
            <w:pPr>
              <w:pStyle w:val="12"/>
            </w:pPr>
            <w:r>
              <w:t>信息安全事务</w:t>
            </w:r>
          </w:p>
        </w:tc>
        <w:tc>
          <w:tcPr>
            <w:tcW w:w="1134" w:type="dxa"/>
            <w:vAlign w:val="center"/>
          </w:tcPr>
          <w:p>
            <w:pPr>
              <w:pStyle w:val="11"/>
            </w:pPr>
            <w:r>
              <w:t>111.60</w:t>
            </w:r>
          </w:p>
        </w:tc>
        <w:tc>
          <w:tcPr>
            <w:tcW w:w="1134" w:type="dxa"/>
            <w:vAlign w:val="center"/>
          </w:tcPr>
          <w:p>
            <w:pPr>
              <w:pStyle w:val="11"/>
            </w:pPr>
            <w:r>
              <w:t>111.60</w:t>
            </w:r>
          </w:p>
        </w:tc>
        <w:tc>
          <w:tcPr>
            <w:tcW w:w="1134" w:type="dxa"/>
            <w:vAlign w:val="center"/>
          </w:tcPr>
          <w:p>
            <w:pPr>
              <w:pStyle w:val="11"/>
            </w:pPr>
            <w:r>
              <w:t>111.60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2013799</w:t>
            </w:r>
          </w:p>
        </w:tc>
        <w:tc>
          <w:tcPr>
            <w:tcW w:w="1559" w:type="dxa"/>
            <w:vAlign w:val="center"/>
          </w:tcPr>
          <w:p>
            <w:pPr>
              <w:pStyle w:val="12"/>
            </w:pPr>
            <w:r>
              <w:t>其他网信事务支出</w:t>
            </w:r>
          </w:p>
        </w:tc>
        <w:tc>
          <w:tcPr>
            <w:tcW w:w="1134" w:type="dxa"/>
            <w:vAlign w:val="center"/>
          </w:tcPr>
          <w:p>
            <w:pPr>
              <w:pStyle w:val="11"/>
            </w:pPr>
            <w:r>
              <w:t>95.00</w:t>
            </w:r>
          </w:p>
        </w:tc>
        <w:tc>
          <w:tcPr>
            <w:tcW w:w="1134" w:type="dxa"/>
            <w:vAlign w:val="center"/>
          </w:tcPr>
          <w:p>
            <w:pPr>
              <w:pStyle w:val="11"/>
            </w:pPr>
            <w:r>
              <w:t>95.00</w:t>
            </w:r>
          </w:p>
        </w:tc>
        <w:tc>
          <w:tcPr>
            <w:tcW w:w="1134" w:type="dxa"/>
            <w:vAlign w:val="center"/>
          </w:tcPr>
          <w:p>
            <w:pPr>
              <w:pStyle w:val="11"/>
            </w:pPr>
            <w:r>
              <w:t>95.00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r>
              <w:t>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292.34</w:t>
            </w:r>
          </w:p>
        </w:tc>
        <w:tc>
          <w:tcPr>
            <w:tcW w:w="1361" w:type="dxa"/>
            <w:vAlign w:val="center"/>
          </w:tcPr>
          <w:p>
            <w:pPr>
              <w:pStyle w:val="15"/>
            </w:pPr>
            <w:r>
              <w:t>85.74</w:t>
            </w:r>
          </w:p>
        </w:tc>
        <w:tc>
          <w:tcPr>
            <w:tcW w:w="1361" w:type="dxa"/>
            <w:vAlign w:val="center"/>
          </w:tcPr>
          <w:p>
            <w:pPr>
              <w:pStyle w:val="15"/>
            </w:pPr>
            <w:r>
              <w:t>206.60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288.06</w:t>
            </w:r>
          </w:p>
        </w:tc>
        <w:tc>
          <w:tcPr>
            <w:tcW w:w="1361" w:type="dxa"/>
            <w:vAlign w:val="center"/>
          </w:tcPr>
          <w:p>
            <w:pPr>
              <w:pStyle w:val="11"/>
            </w:pPr>
            <w:r>
              <w:t>81.46</w:t>
            </w:r>
          </w:p>
        </w:tc>
        <w:tc>
          <w:tcPr>
            <w:tcW w:w="1361" w:type="dxa"/>
            <w:vAlign w:val="center"/>
          </w:tcPr>
          <w:p>
            <w:pPr>
              <w:pStyle w:val="11"/>
            </w:pPr>
            <w:r>
              <w:t>206.60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20137</w:t>
            </w:r>
          </w:p>
        </w:tc>
        <w:tc>
          <w:tcPr>
            <w:tcW w:w="4535" w:type="dxa"/>
            <w:vAlign w:val="center"/>
          </w:tcPr>
          <w:p>
            <w:pPr>
              <w:pStyle w:val="12"/>
            </w:pPr>
            <w:r>
              <w:t>网信事务</w:t>
            </w:r>
          </w:p>
        </w:tc>
        <w:tc>
          <w:tcPr>
            <w:tcW w:w="1361" w:type="dxa"/>
            <w:vAlign w:val="center"/>
          </w:tcPr>
          <w:p>
            <w:pPr>
              <w:pStyle w:val="11"/>
            </w:pPr>
            <w:r>
              <w:t>288.06</w:t>
            </w:r>
          </w:p>
        </w:tc>
        <w:tc>
          <w:tcPr>
            <w:tcW w:w="1361" w:type="dxa"/>
            <w:vAlign w:val="center"/>
          </w:tcPr>
          <w:p>
            <w:pPr>
              <w:pStyle w:val="11"/>
            </w:pPr>
            <w:r>
              <w:t>81.46</w:t>
            </w:r>
          </w:p>
        </w:tc>
        <w:tc>
          <w:tcPr>
            <w:tcW w:w="1361" w:type="dxa"/>
            <w:vAlign w:val="center"/>
          </w:tcPr>
          <w:p>
            <w:pPr>
              <w:pStyle w:val="11"/>
            </w:pPr>
            <w:r>
              <w:t>206.60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2013701</w:t>
            </w:r>
          </w:p>
        </w:tc>
        <w:tc>
          <w:tcPr>
            <w:tcW w:w="4535" w:type="dxa"/>
            <w:vAlign w:val="center"/>
          </w:tcPr>
          <w:p>
            <w:pPr>
              <w:pStyle w:val="12"/>
            </w:pPr>
            <w:r>
              <w:t>行政运行</w:t>
            </w:r>
          </w:p>
        </w:tc>
        <w:tc>
          <w:tcPr>
            <w:tcW w:w="1361" w:type="dxa"/>
            <w:vAlign w:val="center"/>
          </w:tcPr>
          <w:p>
            <w:pPr>
              <w:pStyle w:val="11"/>
            </w:pPr>
            <w:r>
              <w:t>81.46</w:t>
            </w:r>
          </w:p>
        </w:tc>
        <w:tc>
          <w:tcPr>
            <w:tcW w:w="1361" w:type="dxa"/>
            <w:vAlign w:val="center"/>
          </w:tcPr>
          <w:p>
            <w:pPr>
              <w:pStyle w:val="11"/>
            </w:pPr>
            <w:r>
              <w:t>81.46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2013704</w:t>
            </w:r>
          </w:p>
        </w:tc>
        <w:tc>
          <w:tcPr>
            <w:tcW w:w="4535" w:type="dxa"/>
            <w:vAlign w:val="center"/>
          </w:tcPr>
          <w:p>
            <w:pPr>
              <w:pStyle w:val="12"/>
            </w:pPr>
            <w:r>
              <w:t>信息安全事务</w:t>
            </w:r>
          </w:p>
        </w:tc>
        <w:tc>
          <w:tcPr>
            <w:tcW w:w="1361" w:type="dxa"/>
            <w:vAlign w:val="center"/>
          </w:tcPr>
          <w:p>
            <w:pPr>
              <w:pStyle w:val="11"/>
            </w:pPr>
            <w:r>
              <w:t>111.60</w:t>
            </w:r>
          </w:p>
        </w:tc>
        <w:tc>
          <w:tcPr>
            <w:tcW w:w="1361" w:type="dxa"/>
            <w:vAlign w:val="center"/>
          </w:tcPr>
          <w:p>
            <w:pPr>
              <w:pStyle w:val="11"/>
            </w:pPr>
          </w:p>
        </w:tc>
        <w:tc>
          <w:tcPr>
            <w:tcW w:w="1361" w:type="dxa"/>
            <w:vAlign w:val="center"/>
          </w:tcPr>
          <w:p>
            <w:pPr>
              <w:pStyle w:val="11"/>
            </w:pPr>
            <w:r>
              <w:t>111.60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2013799</w:t>
            </w:r>
          </w:p>
        </w:tc>
        <w:tc>
          <w:tcPr>
            <w:tcW w:w="4535" w:type="dxa"/>
            <w:vAlign w:val="center"/>
          </w:tcPr>
          <w:p>
            <w:pPr>
              <w:pStyle w:val="12"/>
            </w:pPr>
            <w:r>
              <w:t>其他网信事务支出</w:t>
            </w:r>
          </w:p>
        </w:tc>
        <w:tc>
          <w:tcPr>
            <w:tcW w:w="1361" w:type="dxa"/>
            <w:vAlign w:val="center"/>
          </w:tcPr>
          <w:p>
            <w:pPr>
              <w:pStyle w:val="11"/>
            </w:pPr>
            <w:r>
              <w:t>95.00</w:t>
            </w:r>
          </w:p>
        </w:tc>
        <w:tc>
          <w:tcPr>
            <w:tcW w:w="1361" w:type="dxa"/>
            <w:vAlign w:val="center"/>
          </w:tcPr>
          <w:p>
            <w:pPr>
              <w:pStyle w:val="11"/>
            </w:pPr>
          </w:p>
        </w:tc>
        <w:tc>
          <w:tcPr>
            <w:tcW w:w="1361" w:type="dxa"/>
            <w:vAlign w:val="center"/>
          </w:tcPr>
          <w:p>
            <w:pPr>
              <w:pStyle w:val="11"/>
            </w:pPr>
            <w:r>
              <w:t>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4.28</w:t>
            </w:r>
          </w:p>
        </w:tc>
        <w:tc>
          <w:tcPr>
            <w:tcW w:w="1361" w:type="dxa"/>
            <w:vAlign w:val="center"/>
          </w:tcPr>
          <w:p>
            <w:pPr>
              <w:pStyle w:val="11"/>
            </w:pPr>
            <w:r>
              <w:t>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4.28</w:t>
            </w:r>
          </w:p>
        </w:tc>
        <w:tc>
          <w:tcPr>
            <w:tcW w:w="1361" w:type="dxa"/>
            <w:vAlign w:val="center"/>
          </w:tcPr>
          <w:p>
            <w:pPr>
              <w:pStyle w:val="11"/>
            </w:pPr>
            <w:r>
              <w:t>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4.28</w:t>
            </w:r>
          </w:p>
        </w:tc>
        <w:tc>
          <w:tcPr>
            <w:tcW w:w="1361" w:type="dxa"/>
            <w:vAlign w:val="center"/>
          </w:tcPr>
          <w:p>
            <w:pPr>
              <w:pStyle w:val="11"/>
            </w:pPr>
            <w:r>
              <w:t>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292.34</w:t>
            </w:r>
          </w:p>
        </w:tc>
        <w:tc>
          <w:tcPr>
            <w:tcW w:w="3402" w:type="dxa"/>
            <w:vAlign w:val="center"/>
          </w:tcPr>
          <w:p>
            <w:pPr>
              <w:pStyle w:val="12"/>
            </w:pPr>
            <w:r>
              <w:t>一、一般公共服务支出</w:t>
            </w:r>
          </w:p>
        </w:tc>
        <w:tc>
          <w:tcPr>
            <w:tcW w:w="1474" w:type="dxa"/>
            <w:vAlign w:val="center"/>
          </w:tcPr>
          <w:p>
            <w:pPr>
              <w:pStyle w:val="11"/>
            </w:pPr>
            <w:r>
              <w:t>288.06</w:t>
            </w:r>
          </w:p>
        </w:tc>
        <w:tc>
          <w:tcPr>
            <w:tcW w:w="1474" w:type="dxa"/>
            <w:vAlign w:val="center"/>
          </w:tcPr>
          <w:p>
            <w:pPr>
              <w:pStyle w:val="11"/>
            </w:pPr>
            <w:r>
              <w:t>288.06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4.28</w:t>
            </w:r>
          </w:p>
        </w:tc>
        <w:tc>
          <w:tcPr>
            <w:tcW w:w="1474" w:type="dxa"/>
            <w:vAlign w:val="center"/>
          </w:tcPr>
          <w:p>
            <w:pPr>
              <w:pStyle w:val="11"/>
            </w:pPr>
            <w:r>
              <w:t>4.28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292.34</w:t>
            </w:r>
          </w:p>
        </w:tc>
        <w:tc>
          <w:tcPr>
            <w:tcW w:w="3402" w:type="dxa"/>
            <w:vAlign w:val="center"/>
          </w:tcPr>
          <w:p>
            <w:pPr>
              <w:pStyle w:val="14"/>
            </w:pPr>
            <w:r>
              <w:t>本年支出合计</w:t>
            </w:r>
          </w:p>
        </w:tc>
        <w:tc>
          <w:tcPr>
            <w:tcW w:w="1474" w:type="dxa"/>
            <w:vAlign w:val="center"/>
          </w:tcPr>
          <w:p>
            <w:pPr>
              <w:pStyle w:val="15"/>
            </w:pPr>
            <w:r>
              <w:t>292.34</w:t>
            </w:r>
          </w:p>
        </w:tc>
        <w:tc>
          <w:tcPr>
            <w:tcW w:w="1474" w:type="dxa"/>
            <w:vAlign w:val="center"/>
          </w:tcPr>
          <w:p>
            <w:pPr>
              <w:pStyle w:val="15"/>
            </w:pPr>
            <w:r>
              <w:t>292.34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292.34</w:t>
            </w:r>
          </w:p>
        </w:tc>
        <w:tc>
          <w:tcPr>
            <w:tcW w:w="3402" w:type="dxa"/>
            <w:vAlign w:val="center"/>
          </w:tcPr>
          <w:p>
            <w:pPr>
              <w:pStyle w:val="14"/>
            </w:pPr>
            <w:r>
              <w:t>支出总计</w:t>
            </w:r>
          </w:p>
        </w:tc>
        <w:tc>
          <w:tcPr>
            <w:tcW w:w="1474" w:type="dxa"/>
            <w:vAlign w:val="center"/>
          </w:tcPr>
          <w:p>
            <w:pPr>
              <w:pStyle w:val="15"/>
            </w:pPr>
            <w:r>
              <w:t>292.34</w:t>
            </w:r>
          </w:p>
        </w:tc>
        <w:tc>
          <w:tcPr>
            <w:tcW w:w="1474" w:type="dxa"/>
            <w:vAlign w:val="center"/>
          </w:tcPr>
          <w:p>
            <w:pPr>
              <w:pStyle w:val="15"/>
            </w:pPr>
            <w:r>
              <w:t>292.34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292.34</w:t>
            </w:r>
          </w:p>
        </w:tc>
        <w:tc>
          <w:tcPr>
            <w:tcW w:w="2551" w:type="dxa"/>
            <w:vAlign w:val="center"/>
          </w:tcPr>
          <w:p>
            <w:pPr>
              <w:pStyle w:val="15"/>
            </w:pPr>
            <w:r>
              <w:t>85.74</w:t>
            </w:r>
          </w:p>
        </w:tc>
        <w:tc>
          <w:tcPr>
            <w:tcW w:w="2551" w:type="dxa"/>
            <w:vAlign w:val="center"/>
          </w:tcPr>
          <w:p>
            <w:pPr>
              <w:pStyle w:val="15"/>
            </w:pPr>
            <w:r>
              <w:t>206.60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288.06</w:t>
            </w:r>
          </w:p>
        </w:tc>
        <w:tc>
          <w:tcPr>
            <w:tcW w:w="2551" w:type="dxa"/>
            <w:vAlign w:val="center"/>
          </w:tcPr>
          <w:p>
            <w:pPr>
              <w:pStyle w:val="11"/>
            </w:pPr>
            <w:r>
              <w:t>81.46</w:t>
            </w:r>
          </w:p>
        </w:tc>
        <w:tc>
          <w:tcPr>
            <w:tcW w:w="2551" w:type="dxa"/>
            <w:vAlign w:val="center"/>
          </w:tcPr>
          <w:p>
            <w:pPr>
              <w:pStyle w:val="11"/>
            </w:pPr>
            <w:r>
              <w:t>206.60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20137</w:t>
            </w:r>
          </w:p>
        </w:tc>
        <w:tc>
          <w:tcPr>
            <w:tcW w:w="4535" w:type="dxa"/>
            <w:vAlign w:val="center"/>
          </w:tcPr>
          <w:p>
            <w:pPr>
              <w:pStyle w:val="12"/>
            </w:pPr>
            <w:r>
              <w:t>网信事务</w:t>
            </w:r>
          </w:p>
        </w:tc>
        <w:tc>
          <w:tcPr>
            <w:tcW w:w="2551" w:type="dxa"/>
            <w:vAlign w:val="center"/>
          </w:tcPr>
          <w:p>
            <w:pPr>
              <w:pStyle w:val="11"/>
            </w:pPr>
            <w:r>
              <w:t>288.06</w:t>
            </w:r>
          </w:p>
        </w:tc>
        <w:tc>
          <w:tcPr>
            <w:tcW w:w="2551" w:type="dxa"/>
            <w:vAlign w:val="center"/>
          </w:tcPr>
          <w:p>
            <w:pPr>
              <w:pStyle w:val="11"/>
            </w:pPr>
            <w:r>
              <w:t>81.46</w:t>
            </w:r>
          </w:p>
        </w:tc>
        <w:tc>
          <w:tcPr>
            <w:tcW w:w="2551" w:type="dxa"/>
            <w:vAlign w:val="center"/>
          </w:tcPr>
          <w:p>
            <w:pPr>
              <w:pStyle w:val="11"/>
            </w:pPr>
            <w:r>
              <w:t>206.60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2013701</w:t>
            </w:r>
          </w:p>
        </w:tc>
        <w:tc>
          <w:tcPr>
            <w:tcW w:w="4535" w:type="dxa"/>
            <w:vAlign w:val="center"/>
          </w:tcPr>
          <w:p>
            <w:pPr>
              <w:pStyle w:val="12"/>
            </w:pPr>
            <w:r>
              <w:t>行政运行</w:t>
            </w:r>
          </w:p>
        </w:tc>
        <w:tc>
          <w:tcPr>
            <w:tcW w:w="2551" w:type="dxa"/>
            <w:vAlign w:val="center"/>
          </w:tcPr>
          <w:p>
            <w:pPr>
              <w:pStyle w:val="11"/>
            </w:pPr>
            <w:r>
              <w:t>81.46</w:t>
            </w:r>
          </w:p>
        </w:tc>
        <w:tc>
          <w:tcPr>
            <w:tcW w:w="2551" w:type="dxa"/>
            <w:vAlign w:val="center"/>
          </w:tcPr>
          <w:p>
            <w:pPr>
              <w:pStyle w:val="11"/>
            </w:pPr>
            <w:r>
              <w:t>81.46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2013704</w:t>
            </w:r>
          </w:p>
        </w:tc>
        <w:tc>
          <w:tcPr>
            <w:tcW w:w="4535" w:type="dxa"/>
            <w:vAlign w:val="center"/>
          </w:tcPr>
          <w:p>
            <w:pPr>
              <w:pStyle w:val="12"/>
            </w:pPr>
            <w:r>
              <w:t>信息安全事务</w:t>
            </w:r>
          </w:p>
        </w:tc>
        <w:tc>
          <w:tcPr>
            <w:tcW w:w="2551" w:type="dxa"/>
            <w:vAlign w:val="center"/>
          </w:tcPr>
          <w:p>
            <w:pPr>
              <w:pStyle w:val="11"/>
            </w:pPr>
            <w:r>
              <w:t>111.60</w:t>
            </w:r>
          </w:p>
        </w:tc>
        <w:tc>
          <w:tcPr>
            <w:tcW w:w="2551" w:type="dxa"/>
            <w:vAlign w:val="center"/>
          </w:tcPr>
          <w:p>
            <w:pPr>
              <w:pStyle w:val="11"/>
            </w:pPr>
          </w:p>
        </w:tc>
        <w:tc>
          <w:tcPr>
            <w:tcW w:w="2551" w:type="dxa"/>
            <w:vAlign w:val="center"/>
          </w:tcPr>
          <w:p>
            <w:pPr>
              <w:pStyle w:val="11"/>
            </w:pPr>
            <w:r>
              <w:t>111.60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2013799</w:t>
            </w:r>
          </w:p>
        </w:tc>
        <w:tc>
          <w:tcPr>
            <w:tcW w:w="4535" w:type="dxa"/>
            <w:vAlign w:val="center"/>
          </w:tcPr>
          <w:p>
            <w:pPr>
              <w:pStyle w:val="12"/>
            </w:pPr>
            <w:r>
              <w:t>其他网信事务支出</w:t>
            </w:r>
          </w:p>
        </w:tc>
        <w:tc>
          <w:tcPr>
            <w:tcW w:w="2551" w:type="dxa"/>
            <w:vAlign w:val="center"/>
          </w:tcPr>
          <w:p>
            <w:pPr>
              <w:pStyle w:val="11"/>
            </w:pPr>
            <w:r>
              <w:t>95.00</w:t>
            </w:r>
          </w:p>
        </w:tc>
        <w:tc>
          <w:tcPr>
            <w:tcW w:w="2551" w:type="dxa"/>
            <w:vAlign w:val="center"/>
          </w:tcPr>
          <w:p>
            <w:pPr>
              <w:pStyle w:val="11"/>
            </w:pPr>
          </w:p>
        </w:tc>
        <w:tc>
          <w:tcPr>
            <w:tcW w:w="2551" w:type="dxa"/>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85.74</w:t>
            </w:r>
          </w:p>
        </w:tc>
        <w:tc>
          <w:tcPr>
            <w:tcW w:w="2551" w:type="dxa"/>
            <w:vAlign w:val="center"/>
          </w:tcPr>
          <w:p>
            <w:pPr>
              <w:pStyle w:val="15"/>
            </w:pPr>
            <w:r>
              <w:t>72.54</w:t>
            </w:r>
          </w:p>
        </w:tc>
        <w:tc>
          <w:tcPr>
            <w:tcW w:w="2551" w:type="dxa"/>
            <w:vAlign w:val="center"/>
          </w:tcPr>
          <w:p>
            <w:pPr>
              <w:pStyle w:val="15"/>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72.54</w:t>
            </w:r>
          </w:p>
        </w:tc>
        <w:tc>
          <w:tcPr>
            <w:tcW w:w="2551" w:type="dxa"/>
            <w:vAlign w:val="center"/>
          </w:tcPr>
          <w:p>
            <w:pPr>
              <w:pStyle w:val="11"/>
            </w:pPr>
            <w:r>
              <w:t>72.54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44.67</w:t>
            </w:r>
          </w:p>
        </w:tc>
        <w:tc>
          <w:tcPr>
            <w:tcW w:w="2551" w:type="dxa"/>
            <w:vAlign w:val="center"/>
          </w:tcPr>
          <w:p>
            <w:pPr>
              <w:pStyle w:val="11"/>
            </w:pPr>
            <w:r>
              <w:t>44.67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2.14</w:t>
            </w:r>
          </w:p>
        </w:tc>
        <w:tc>
          <w:tcPr>
            <w:tcW w:w="2551" w:type="dxa"/>
            <w:vAlign w:val="center"/>
          </w:tcPr>
          <w:p>
            <w:pPr>
              <w:pStyle w:val="11"/>
            </w:pPr>
            <w:r>
              <w:t>2.14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1.55</w:t>
            </w:r>
          </w:p>
        </w:tc>
        <w:tc>
          <w:tcPr>
            <w:tcW w:w="2551" w:type="dxa"/>
            <w:vAlign w:val="center"/>
          </w:tcPr>
          <w:p>
            <w:pPr>
              <w:pStyle w:val="11"/>
            </w:pPr>
            <w:r>
              <w:t>1.55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7.71</w:t>
            </w:r>
          </w:p>
        </w:tc>
        <w:tc>
          <w:tcPr>
            <w:tcW w:w="2551" w:type="dxa"/>
            <w:vAlign w:val="center"/>
          </w:tcPr>
          <w:p>
            <w:pPr>
              <w:pStyle w:val="11"/>
            </w:pPr>
            <w:r>
              <w:t>7.71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3.85</w:t>
            </w:r>
          </w:p>
        </w:tc>
        <w:tc>
          <w:tcPr>
            <w:tcW w:w="2551" w:type="dxa"/>
            <w:vAlign w:val="center"/>
          </w:tcPr>
          <w:p>
            <w:pPr>
              <w:pStyle w:val="11"/>
            </w:pPr>
            <w:r>
              <w:t>3.85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4.28</w:t>
            </w:r>
          </w:p>
        </w:tc>
        <w:tc>
          <w:tcPr>
            <w:tcW w:w="2551" w:type="dxa"/>
            <w:vAlign w:val="center"/>
          </w:tcPr>
          <w:p>
            <w:pPr>
              <w:pStyle w:val="11"/>
            </w:pPr>
            <w:r>
              <w:t>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8.34</w:t>
            </w:r>
          </w:p>
        </w:tc>
        <w:tc>
          <w:tcPr>
            <w:tcW w:w="2551" w:type="dxa"/>
            <w:vAlign w:val="center"/>
          </w:tcPr>
          <w:p>
            <w:pPr>
              <w:pStyle w:val="11"/>
            </w:pPr>
            <w:r>
              <w:t>8.34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13.20</w:t>
            </w:r>
          </w:p>
        </w:tc>
        <w:tc>
          <w:tcPr>
            <w:tcW w:w="2551" w:type="dxa"/>
            <w:vAlign w:val="center"/>
          </w:tcPr>
          <w:p>
            <w:pPr>
              <w:pStyle w:val="11"/>
            </w:pPr>
          </w:p>
        </w:tc>
        <w:tc>
          <w:tcPr>
            <w:tcW w:w="2551" w:type="dxa"/>
            <w:vAlign w:val="center"/>
          </w:tcPr>
          <w:p>
            <w:pPr>
              <w:pStyle w:val="11"/>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中共魏县县委网络安全和信息化委员会办公室本级2022年单位预算信息公开情况说明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按照《预算法》、《地方预决算公开操作规程》和《关于进一步推进预算公开工作的实施意见》规定，现将中共魏县县委网络安全和信息化委员会办公室本级2022年单位预算公开如下：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根据《中共魏县县委网络安全和信息化委员会办公室职能配置、内设机构和人员编制规定》， 中共魏县县委网络安全和信息化委员会办公室的主要职责是：</w:t>
      </w:r>
    </w:p>
    <w:p>
      <w:pPr>
        <w:pStyle w:val="25"/>
      </w:pPr>
      <w:r>
        <w:t>处理好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统筹协调全县网络安全保障体系和可信体系建设,牵头协调有关部门制定相关行业网络安全规划及保障评价指标体系,协调信息安全保护工作;指导推进全县党政军部门,重点行业网络安全保障和信惠化工作;统筹推进网络安全和信患化军民融合深度发展;协调推进网络强县建设,推动全县公共服务和社会治理信息化做好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强化舆论引导，走好网上群众路线。强化舆情监测，搞好处置工作。开展专项行动，切实维护好网络意识形态安全。是进一步加强网信基础设施建设、网信工作队伍建设和提高网络执法水平。做强做大网上正面宣传。围绕县委、县政府重点工作主动设置议题，统筹做好县委、县政府重大会议、活动的网上报道，加大对我县经济发展、乡村振兴、精准脱贫、污染防治等网上宣传力度，营造网上浓厚氛围。谋划建立联合辟谣工作机制和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中共魏县县委网络安全和信息化委员会办公室本级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bookmarkStart w:id="19" w:name="_GoBack"/>
      <w:bookmarkEnd w:id="19"/>
      <w:r>
        <w:rPr>
          <w:rFonts w:eastAsia="方正仿宋_GBK"/>
          <w:color w:val="000000"/>
          <w:sz w:val="28"/>
        </w:rPr>
        <w:t>单位预算的编制实行综合预算管理，即全部收入和支出都反映在预算中。</w:t>
      </w:r>
    </w:p>
    <w:p>
      <w:pPr>
        <w:pStyle w:val="26"/>
      </w:pPr>
      <w:r>
        <w:t>按照预算管理有关规定，目前我县部门预算的编制实行综合预算管理，即全部收入和支出都反映在预算中。中共魏县县委网络安全和信息化委员会办公室机关及所属事业单位的收支包含在部门预算中。</w:t>
      </w:r>
    </w:p>
    <w:p>
      <w:pPr>
        <w:pStyle w:val="26"/>
      </w:pPr>
      <w:r>
        <w:t>1、收入说明：2022年收入预算共计292.34万元，全部为财政拨款。其中：一般公共预算收入292.34万元，基金预算收入0万元，财政专户核拨收入0万元，其他来源收入（单位资金）0万元，上年结转0万元。</w:t>
      </w:r>
    </w:p>
    <w:p>
      <w:pPr>
        <w:pStyle w:val="26"/>
      </w:pPr>
      <w:r>
        <w:t>2、支出说明：收支预算总表支出栏、基本支出表、项目支出表按经济分类和支出功能分类科目编制，反映年度部门预算中支出预算的总体情况。2022年支出预算292.34万元，其中：基本支出85.74万元（包括人员经费72.54万元和日常公用经费13.2万元）；项目支出206.6万元，主要为县舆情监测和网络安全服务费等。</w:t>
      </w:r>
    </w:p>
    <w:p>
      <w:pPr>
        <w:pStyle w:val="26"/>
      </w:pPr>
      <w:r>
        <w:t>3、比上年增减情况：经过对比测算，2022年财政拨款预算比2021年增加104.56万元。主要是：人员经费减少0.44元，人员经费减少的主要原因是人员调动；日常公用经费无变化；项目经费增加105万元，主要原因是网络技术监管项目服务费、舆情监测能力建设资金、网络安全宣传周经费增加。</w:t>
      </w:r>
    </w:p>
    <w:p>
      <w:pPr>
        <w:spacing w:before="10" w:after="10"/>
        <w:ind w:firstLine="640"/>
        <w:outlineLvl w:val="5"/>
      </w:pPr>
      <w:r>
        <w:rPr>
          <w:rFonts w:ascii="黑体" w:hAnsi="黑体" w:eastAsia="黑体" w:cs="黑体"/>
          <w:color w:val="000000"/>
          <w:sz w:val="32"/>
        </w:rPr>
        <w:t>三、机关运行经费安排情况</w:t>
      </w:r>
    </w:p>
    <w:p>
      <w:pPr>
        <w:pStyle w:val="27"/>
      </w:pPr>
      <w:r>
        <w:t>2022年，我办机关运行经费共计安排</w:t>
      </w:r>
      <w:r>
        <w:rPr>
          <w:rFonts w:hint="eastAsia"/>
          <w:lang w:val="en-US" w:eastAsia="zh-CN"/>
        </w:rPr>
        <w:t>13.2</w:t>
      </w:r>
      <w:r>
        <w:t>万元，主要用于保证正常办公的基本需要和维持单位日常业务运转，包括：办公费、邮电费等费用。</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财政拨款“三公”经费预算总额0万元，其中：因公出国(境)费0万元；公务用车购置及运维费0元，公务接待费0元，较上无增减变化，各项均与上年持平。主要原因是我单位按照上级政府“过紧日子”思想要求，根据我县单位实际情况，对相关经费进行大幅压减，未安排“三公”经费相关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1、2022年网络安全及舆情培训经费绩效目标表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1.开展培训工作三次以上</w:t>
            </w:r>
          </w:p>
          <w:p>
            <w:pPr>
              <w:pStyle w:val="12"/>
            </w:pPr>
            <w:r>
              <w:t>2.培训人员盖率95%以上</w:t>
            </w:r>
          </w:p>
          <w:p>
            <w:pPr>
              <w:pStyle w:val="12"/>
            </w:pPr>
            <w:r>
              <w:t>3.提高业务水平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2835" w:type="dxa"/>
            <w:vAlign w:val="center"/>
          </w:tcPr>
          <w:p>
            <w:pPr>
              <w:pStyle w:val="12"/>
            </w:pPr>
            <w:r>
              <w:t>培训次数三次以上</w:t>
            </w:r>
          </w:p>
        </w:tc>
        <w:tc>
          <w:tcPr>
            <w:tcW w:w="2551" w:type="dxa"/>
            <w:vAlign w:val="center"/>
          </w:tcPr>
          <w:p>
            <w:pPr>
              <w:pStyle w:val="12"/>
            </w:pPr>
            <w:r>
              <w:t>≥3次</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培训覆盖率</w:t>
            </w:r>
          </w:p>
        </w:tc>
        <w:tc>
          <w:tcPr>
            <w:tcW w:w="2835" w:type="dxa"/>
            <w:vAlign w:val="center"/>
          </w:tcPr>
          <w:p>
            <w:pPr>
              <w:pStyle w:val="12"/>
            </w:pPr>
            <w:r>
              <w:t>培训覆盖率95%以上</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10万元</w:t>
            </w:r>
          </w:p>
        </w:tc>
        <w:tc>
          <w:tcPr>
            <w:tcW w:w="2551" w:type="dxa"/>
            <w:vAlign w:val="center"/>
          </w:tcPr>
          <w:p>
            <w:pPr>
              <w:pStyle w:val="12"/>
            </w:pPr>
            <w:r>
              <w:t>10万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运转率</w:t>
            </w:r>
          </w:p>
        </w:tc>
        <w:tc>
          <w:tcPr>
            <w:tcW w:w="2835" w:type="dxa"/>
            <w:vAlign w:val="center"/>
          </w:tcPr>
          <w:p>
            <w:pPr>
              <w:pStyle w:val="12"/>
            </w:pPr>
            <w:r>
              <w:t>运转率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培训覆盖率</w:t>
            </w:r>
          </w:p>
        </w:tc>
        <w:tc>
          <w:tcPr>
            <w:tcW w:w="2835" w:type="dxa"/>
            <w:vAlign w:val="center"/>
          </w:tcPr>
          <w:p>
            <w:pPr>
              <w:pStyle w:val="12"/>
            </w:pPr>
            <w:r>
              <w:t>培训覆盖率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2、2022年网络安全技术保障监管服务费绩效目标表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1.保障网络安全，全年8760小时以上监控,服务系统</w:t>
            </w:r>
          </w:p>
          <w:p>
            <w:pPr>
              <w:pStyle w:val="12"/>
            </w:pPr>
            <w:r>
              <w:t>2.覆盖全县网络</w:t>
            </w:r>
          </w:p>
          <w:p>
            <w:pPr>
              <w:pStyle w:val="12"/>
            </w:pPr>
            <w:r>
              <w:t>3.避免出现网络安全事故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网络安全监管保障范围</w:t>
            </w:r>
          </w:p>
        </w:tc>
        <w:tc>
          <w:tcPr>
            <w:tcW w:w="2835" w:type="dxa"/>
            <w:vAlign w:val="center"/>
          </w:tcPr>
          <w:p>
            <w:pPr>
              <w:pStyle w:val="12"/>
            </w:pPr>
            <w:r>
              <w:t>魏县全县范围保障</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保障时间</w:t>
            </w:r>
          </w:p>
        </w:tc>
        <w:tc>
          <w:tcPr>
            <w:tcW w:w="2835" w:type="dxa"/>
            <w:vAlign w:val="center"/>
          </w:tcPr>
          <w:p>
            <w:pPr>
              <w:pStyle w:val="12"/>
            </w:pPr>
            <w:r>
              <w:t>8760小时以上</w:t>
            </w:r>
          </w:p>
        </w:tc>
        <w:tc>
          <w:tcPr>
            <w:tcW w:w="2551" w:type="dxa"/>
            <w:vAlign w:val="center"/>
          </w:tcPr>
          <w:p>
            <w:pPr>
              <w:pStyle w:val="12"/>
            </w:pPr>
            <w:r>
              <w:t>8760个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系统数量</w:t>
            </w:r>
          </w:p>
        </w:tc>
        <w:tc>
          <w:tcPr>
            <w:tcW w:w="2835" w:type="dxa"/>
            <w:vAlign w:val="center"/>
          </w:tcPr>
          <w:p>
            <w:pPr>
              <w:pStyle w:val="12"/>
            </w:pPr>
            <w:r>
              <w:t>系统1个</w:t>
            </w:r>
          </w:p>
        </w:tc>
        <w:tc>
          <w:tcPr>
            <w:tcW w:w="2551" w:type="dxa"/>
            <w:vAlign w:val="center"/>
          </w:tcPr>
          <w:p>
            <w:pPr>
              <w:pStyle w:val="12"/>
            </w:pPr>
            <w:r>
              <w:t>1个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20</w:t>
            </w:r>
          </w:p>
        </w:tc>
        <w:tc>
          <w:tcPr>
            <w:tcW w:w="2551" w:type="dxa"/>
            <w:vAlign w:val="center"/>
          </w:tcPr>
          <w:p>
            <w:pPr>
              <w:pStyle w:val="12"/>
            </w:pPr>
            <w:r>
              <w:t>20万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保障网络安全</w:t>
            </w:r>
          </w:p>
        </w:tc>
        <w:tc>
          <w:tcPr>
            <w:tcW w:w="2835" w:type="dxa"/>
            <w:vAlign w:val="center"/>
          </w:tcPr>
          <w:p>
            <w:pPr>
              <w:pStyle w:val="12"/>
            </w:pPr>
            <w:r>
              <w:t>网络安全工作运转率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网络安全问题处置率</w:t>
            </w:r>
          </w:p>
        </w:tc>
        <w:tc>
          <w:tcPr>
            <w:tcW w:w="2835" w:type="dxa"/>
            <w:vAlign w:val="center"/>
          </w:tcPr>
          <w:p>
            <w:pPr>
              <w:pStyle w:val="12"/>
            </w:pPr>
            <w:r>
              <w:t>处置率100%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3、2022年网络安全宣传周经费绩效目标表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1.开展网络宣传活动</w:t>
            </w:r>
          </w:p>
          <w:p>
            <w:pPr>
              <w:pStyle w:val="12"/>
            </w:pPr>
            <w:r>
              <w:t>2.形成浓厚的网络安全活动氛围</w:t>
            </w:r>
          </w:p>
          <w:p>
            <w:pPr>
              <w:pStyle w:val="12"/>
            </w:pPr>
            <w:r>
              <w:t>3.网络安全观念深入每个人心中</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组织主题宣传活动场次</w:t>
            </w:r>
          </w:p>
        </w:tc>
        <w:tc>
          <w:tcPr>
            <w:tcW w:w="2835" w:type="dxa"/>
            <w:vAlign w:val="center"/>
          </w:tcPr>
          <w:p>
            <w:pPr>
              <w:pStyle w:val="12"/>
            </w:pPr>
            <w:r>
              <w:t>组织主题宣传活动场次</w:t>
            </w:r>
          </w:p>
        </w:tc>
        <w:tc>
          <w:tcPr>
            <w:tcW w:w="2551" w:type="dxa"/>
            <w:vAlign w:val="center"/>
          </w:tcPr>
          <w:p>
            <w:pPr>
              <w:pStyle w:val="12"/>
            </w:pPr>
            <w:r>
              <w:t>≥7场</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w:t>
            </w:r>
          </w:p>
        </w:tc>
        <w:tc>
          <w:tcPr>
            <w:tcW w:w="2835" w:type="dxa"/>
            <w:vAlign w:val="center"/>
          </w:tcPr>
          <w:p>
            <w:pPr>
              <w:pStyle w:val="12"/>
            </w:pPr>
            <w:r>
              <w:t>宣传目标完成率</w:t>
            </w:r>
          </w:p>
        </w:tc>
        <w:tc>
          <w:tcPr>
            <w:tcW w:w="2551" w:type="dxa"/>
            <w:vAlign w:val="center"/>
          </w:tcPr>
          <w:p>
            <w:pPr>
              <w:pStyle w:val="12"/>
            </w:pPr>
            <w:r>
              <w:t>≥95%</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p>
            <w:pPr>
              <w:pStyle w:val="12"/>
            </w:pPr>
          </w:p>
        </w:tc>
        <w:tc>
          <w:tcPr>
            <w:tcW w:w="2835" w:type="dxa"/>
            <w:vAlign w:val="center"/>
          </w:tcPr>
          <w:p>
            <w:pPr>
              <w:pStyle w:val="12"/>
            </w:pPr>
            <w:r>
              <w:t>工作完成的时效</w:t>
            </w:r>
          </w:p>
          <w:p>
            <w:pPr>
              <w:pStyle w:val="12"/>
            </w:pPr>
          </w:p>
          <w:p>
            <w:pPr>
              <w:pStyle w:val="12"/>
            </w:pPr>
          </w:p>
        </w:tc>
        <w:tc>
          <w:tcPr>
            <w:tcW w:w="2551" w:type="dxa"/>
            <w:vAlign w:val="center"/>
          </w:tcPr>
          <w:p>
            <w:pPr>
              <w:pStyle w:val="12"/>
            </w:pPr>
            <w:r>
              <w:t>≥7天</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≤10万元</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网络安全保障</w:t>
            </w:r>
          </w:p>
        </w:tc>
        <w:tc>
          <w:tcPr>
            <w:tcW w:w="2835" w:type="dxa"/>
            <w:vAlign w:val="center"/>
          </w:tcPr>
          <w:p>
            <w:pPr>
              <w:pStyle w:val="12"/>
            </w:pPr>
            <w:r>
              <w:t>网络安全保障</w:t>
            </w:r>
          </w:p>
        </w:tc>
        <w:tc>
          <w:tcPr>
            <w:tcW w:w="2551" w:type="dxa"/>
            <w:vAlign w:val="center"/>
          </w:tcPr>
          <w:p>
            <w:pPr>
              <w:pStyle w:val="12"/>
            </w:pPr>
            <w:r>
              <w:t>≥95%</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覆盖服务人口</w:t>
            </w:r>
          </w:p>
        </w:tc>
        <w:tc>
          <w:tcPr>
            <w:tcW w:w="2835" w:type="dxa"/>
            <w:vAlign w:val="center"/>
          </w:tcPr>
          <w:p>
            <w:pPr>
              <w:pStyle w:val="12"/>
            </w:pPr>
            <w:r>
              <w:t>覆盖服务人口</w:t>
            </w:r>
          </w:p>
        </w:tc>
        <w:tc>
          <w:tcPr>
            <w:tcW w:w="2551" w:type="dxa"/>
            <w:vAlign w:val="center"/>
          </w:tcPr>
          <w:p>
            <w:pPr>
              <w:pStyle w:val="12"/>
            </w:pPr>
            <w:r>
              <w:t>≥30万</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群众满意率</w:t>
            </w:r>
          </w:p>
        </w:tc>
        <w:tc>
          <w:tcPr>
            <w:tcW w:w="2551" w:type="dxa"/>
            <w:vAlign w:val="center"/>
          </w:tcPr>
          <w:p>
            <w:pPr>
              <w:pStyle w:val="12"/>
            </w:pPr>
            <w:r>
              <w:t>≥95%</w:t>
            </w:r>
          </w:p>
        </w:tc>
        <w:tc>
          <w:tcPr>
            <w:tcW w:w="2268" w:type="dxa"/>
            <w:vAlign w:val="center"/>
          </w:tcPr>
          <w:p>
            <w:pPr>
              <w:pStyle w:val="12"/>
            </w:pPr>
            <w:r>
              <w:t>职能要求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4、2022年网络评论队伍经费绩效目标表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1.加强网络评论员队伍建设和网上舆论引导</w:t>
            </w:r>
          </w:p>
          <w:p>
            <w:pPr>
              <w:pStyle w:val="12"/>
            </w:pPr>
            <w:r>
              <w:t>2.网评员参与度95%以上</w:t>
            </w:r>
          </w:p>
          <w:p>
            <w:pPr>
              <w:pStyle w:val="12"/>
            </w:pPr>
            <w:r>
              <w:t>3.网评员评论时间365天，营造良好的网络舆论氛围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网络评论员建设</w:t>
            </w:r>
          </w:p>
        </w:tc>
        <w:tc>
          <w:tcPr>
            <w:tcW w:w="2835" w:type="dxa"/>
            <w:vAlign w:val="center"/>
          </w:tcPr>
          <w:p>
            <w:pPr>
              <w:pStyle w:val="12"/>
            </w:pPr>
            <w:r>
              <w:t>网评员参与程度95%以上</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网评员培评论时间</w:t>
            </w:r>
          </w:p>
        </w:tc>
        <w:tc>
          <w:tcPr>
            <w:tcW w:w="2835" w:type="dxa"/>
            <w:vAlign w:val="center"/>
          </w:tcPr>
          <w:p>
            <w:pPr>
              <w:pStyle w:val="12"/>
            </w:pPr>
            <w:r>
              <w:t>评论时间365天</w:t>
            </w:r>
          </w:p>
        </w:tc>
        <w:tc>
          <w:tcPr>
            <w:tcW w:w="2551" w:type="dxa"/>
            <w:vAlign w:val="center"/>
          </w:tcPr>
          <w:p>
            <w:pPr>
              <w:pStyle w:val="12"/>
            </w:pPr>
            <w:r>
              <w:t>365天</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网评数量</w:t>
            </w:r>
          </w:p>
        </w:tc>
        <w:tc>
          <w:tcPr>
            <w:tcW w:w="2835" w:type="dxa"/>
            <w:vAlign w:val="center"/>
          </w:tcPr>
          <w:p>
            <w:pPr>
              <w:pStyle w:val="12"/>
            </w:pPr>
            <w:r>
              <w:t>完成上级网评数量任务</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6.6万元</w:t>
            </w:r>
          </w:p>
        </w:tc>
        <w:tc>
          <w:tcPr>
            <w:tcW w:w="2551" w:type="dxa"/>
            <w:vAlign w:val="center"/>
          </w:tcPr>
          <w:p>
            <w:pPr>
              <w:pStyle w:val="12"/>
            </w:pPr>
            <w:r>
              <w:t>6.6万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舆论引导力</w:t>
            </w:r>
          </w:p>
        </w:tc>
        <w:tc>
          <w:tcPr>
            <w:tcW w:w="2835" w:type="dxa"/>
            <w:vAlign w:val="center"/>
          </w:tcPr>
          <w:p>
            <w:pPr>
              <w:pStyle w:val="12"/>
            </w:pPr>
            <w:r>
              <w:t>引导正面舆论</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正面舆论影响力</w:t>
            </w:r>
          </w:p>
        </w:tc>
        <w:tc>
          <w:tcPr>
            <w:tcW w:w="2835" w:type="dxa"/>
            <w:vAlign w:val="center"/>
          </w:tcPr>
          <w:p>
            <w:pPr>
              <w:pStyle w:val="12"/>
            </w:pPr>
            <w:r>
              <w:t>营造正面舆论氛围</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5、2022年网络生态综合管理平台服务资金绩效目标表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1.包含六大子业务模块，更好的发挥网络生态治理功能，全面清理违法信息</w:t>
            </w:r>
          </w:p>
          <w:p>
            <w:pPr>
              <w:pStyle w:val="12"/>
            </w:pPr>
            <w:r>
              <w:t>2.27*24小时运行监测</w:t>
            </w:r>
          </w:p>
          <w:p>
            <w:pPr>
              <w:pStyle w:val="12"/>
            </w:pPr>
            <w:r>
              <w:t>3.引导鼓励属地网站、微博、微信公众号、贴吧及论坛发布正确导向内容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业务模块</w:t>
            </w:r>
          </w:p>
        </w:tc>
        <w:tc>
          <w:tcPr>
            <w:tcW w:w="2835" w:type="dxa"/>
            <w:vAlign w:val="center"/>
          </w:tcPr>
          <w:p>
            <w:pPr>
              <w:pStyle w:val="12"/>
            </w:pPr>
            <w:r>
              <w:t>包含六大子业务模块</w:t>
            </w:r>
          </w:p>
        </w:tc>
        <w:tc>
          <w:tcPr>
            <w:tcW w:w="2551" w:type="dxa"/>
            <w:vAlign w:val="center"/>
          </w:tcPr>
          <w:p>
            <w:pPr>
              <w:pStyle w:val="12"/>
            </w:pPr>
            <w:r>
              <w:t>6个</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覆盖魏县属地网站、微博、微信公众号、论坛贴吧100%</w:t>
            </w:r>
          </w:p>
        </w:tc>
        <w:tc>
          <w:tcPr>
            <w:tcW w:w="2551" w:type="dxa"/>
            <w:vAlign w:val="center"/>
          </w:tcPr>
          <w:p>
            <w:pPr>
              <w:pStyle w:val="12"/>
            </w:pPr>
            <w:r>
              <w:t>100%</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服务时间</w:t>
            </w:r>
          </w:p>
        </w:tc>
        <w:tc>
          <w:tcPr>
            <w:tcW w:w="2835" w:type="dxa"/>
            <w:vAlign w:val="center"/>
          </w:tcPr>
          <w:p>
            <w:pPr>
              <w:pStyle w:val="12"/>
            </w:pPr>
            <w:r>
              <w:t>全年8760小时以上</w:t>
            </w:r>
          </w:p>
        </w:tc>
        <w:tc>
          <w:tcPr>
            <w:tcW w:w="2551" w:type="dxa"/>
            <w:vAlign w:val="center"/>
          </w:tcPr>
          <w:p>
            <w:pPr>
              <w:pStyle w:val="12"/>
            </w:pPr>
            <w:r>
              <w:t>8760小时</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32万元</w:t>
            </w:r>
          </w:p>
        </w:tc>
        <w:tc>
          <w:tcPr>
            <w:tcW w:w="2551" w:type="dxa"/>
            <w:vAlign w:val="center"/>
          </w:tcPr>
          <w:p>
            <w:pPr>
              <w:pStyle w:val="12"/>
            </w:pPr>
            <w:r>
              <w:t>32万</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建成网络综合治理体系</w:t>
            </w:r>
          </w:p>
        </w:tc>
        <w:tc>
          <w:tcPr>
            <w:tcW w:w="2835" w:type="dxa"/>
            <w:vAlign w:val="center"/>
          </w:tcPr>
          <w:p>
            <w:pPr>
              <w:pStyle w:val="12"/>
            </w:pPr>
            <w:r>
              <w:t>建成网络综合治理体系</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营造清朗网络空间</w:t>
            </w:r>
          </w:p>
        </w:tc>
        <w:tc>
          <w:tcPr>
            <w:tcW w:w="2835" w:type="dxa"/>
            <w:vAlign w:val="center"/>
          </w:tcPr>
          <w:p>
            <w:pPr>
              <w:pStyle w:val="12"/>
            </w:pPr>
            <w:r>
              <w:t>营造清朗网络空间</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6、2022年网络信息工作执法费用绩效目标表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1.营造清朗网络空间，正面环境95%以上</w:t>
            </w:r>
          </w:p>
          <w:p>
            <w:pPr>
              <w:pStyle w:val="12"/>
            </w:pPr>
            <w:r>
              <w:t>2.展执法检查覆盖率95%以上</w:t>
            </w:r>
          </w:p>
          <w:p>
            <w:pPr>
              <w:pStyle w:val="12"/>
            </w:pPr>
            <w:r>
              <w:t>3.打击网络违法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执法检查次数</w:t>
            </w:r>
          </w:p>
        </w:tc>
        <w:tc>
          <w:tcPr>
            <w:tcW w:w="2835" w:type="dxa"/>
            <w:vAlign w:val="center"/>
          </w:tcPr>
          <w:p>
            <w:pPr>
              <w:pStyle w:val="12"/>
            </w:pPr>
            <w:r>
              <w:t>开展执法检查次数</w:t>
            </w:r>
          </w:p>
        </w:tc>
        <w:tc>
          <w:tcPr>
            <w:tcW w:w="2551" w:type="dxa"/>
            <w:vAlign w:val="center"/>
          </w:tcPr>
          <w:p>
            <w:pPr>
              <w:pStyle w:val="12"/>
            </w:pPr>
            <w:r>
              <w:t>≥3次</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执法检查覆盖率</w:t>
            </w:r>
          </w:p>
        </w:tc>
        <w:tc>
          <w:tcPr>
            <w:tcW w:w="2835" w:type="dxa"/>
            <w:vAlign w:val="center"/>
          </w:tcPr>
          <w:p>
            <w:pPr>
              <w:pStyle w:val="12"/>
            </w:pPr>
            <w:r>
              <w:t>执法检查覆盖率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有效保障时间</w:t>
            </w:r>
          </w:p>
        </w:tc>
        <w:tc>
          <w:tcPr>
            <w:tcW w:w="2835" w:type="dxa"/>
            <w:vAlign w:val="center"/>
          </w:tcPr>
          <w:p>
            <w:pPr>
              <w:pStyle w:val="12"/>
            </w:pPr>
            <w:r>
              <w:t>有效保障时间</w:t>
            </w:r>
          </w:p>
        </w:tc>
        <w:tc>
          <w:tcPr>
            <w:tcW w:w="2551" w:type="dxa"/>
            <w:vAlign w:val="center"/>
          </w:tcPr>
          <w:p>
            <w:pPr>
              <w:pStyle w:val="12"/>
            </w:pPr>
            <w:r>
              <w:t>1年</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3万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打击网络违法行为</w:t>
            </w:r>
          </w:p>
        </w:tc>
        <w:tc>
          <w:tcPr>
            <w:tcW w:w="2835" w:type="dxa"/>
            <w:vAlign w:val="center"/>
          </w:tcPr>
          <w:p>
            <w:pPr>
              <w:pStyle w:val="12"/>
            </w:pPr>
            <w:r>
              <w:t>打击网络违法行为</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营造清朗网络空间</w:t>
            </w:r>
          </w:p>
        </w:tc>
        <w:tc>
          <w:tcPr>
            <w:tcW w:w="2835" w:type="dxa"/>
            <w:vAlign w:val="center"/>
          </w:tcPr>
          <w:p>
            <w:pPr>
              <w:pStyle w:val="12"/>
            </w:pPr>
            <w:r>
              <w:t>营造清朗网络空间</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7、2022年网络舆情处置经费绩效目标表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1.处置负面舆情事件20次以上</w:t>
            </w:r>
          </w:p>
          <w:p>
            <w:pPr>
              <w:pStyle w:val="12"/>
            </w:pPr>
            <w:r>
              <w:t>2.负面舆情处置率达到100%</w:t>
            </w:r>
          </w:p>
          <w:p>
            <w:pPr>
              <w:pStyle w:val="12"/>
            </w:pPr>
            <w:r>
              <w:t>3.营造清朗网络空间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负面舆情处置率</w:t>
            </w:r>
          </w:p>
        </w:tc>
        <w:tc>
          <w:tcPr>
            <w:tcW w:w="2835" w:type="dxa"/>
            <w:vAlign w:val="center"/>
          </w:tcPr>
          <w:p>
            <w:pPr>
              <w:pStyle w:val="12"/>
            </w:pPr>
            <w:r>
              <w:t>负面舆情处置覆盖率100%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处置时间</w:t>
            </w:r>
          </w:p>
        </w:tc>
        <w:tc>
          <w:tcPr>
            <w:tcW w:w="2835" w:type="dxa"/>
            <w:vAlign w:val="center"/>
          </w:tcPr>
          <w:p>
            <w:pPr>
              <w:pStyle w:val="12"/>
            </w:pPr>
            <w:r>
              <w:t>全年8760小时以上</w:t>
            </w:r>
          </w:p>
        </w:tc>
        <w:tc>
          <w:tcPr>
            <w:tcW w:w="2551" w:type="dxa"/>
            <w:vAlign w:val="center"/>
          </w:tcPr>
          <w:p>
            <w:pPr>
              <w:pStyle w:val="12"/>
            </w:pPr>
            <w:r>
              <w:t>8760个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处置次数</w:t>
            </w:r>
          </w:p>
        </w:tc>
        <w:tc>
          <w:tcPr>
            <w:tcW w:w="2835" w:type="dxa"/>
            <w:vAlign w:val="center"/>
          </w:tcPr>
          <w:p>
            <w:pPr>
              <w:pStyle w:val="12"/>
            </w:pPr>
            <w:r>
              <w:t>20以上</w:t>
            </w:r>
          </w:p>
        </w:tc>
        <w:tc>
          <w:tcPr>
            <w:tcW w:w="2551" w:type="dxa"/>
            <w:vAlign w:val="center"/>
          </w:tcPr>
          <w:p>
            <w:pPr>
              <w:pStyle w:val="12"/>
            </w:pPr>
            <w:r>
              <w:t>≥20次</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10万元</w:t>
            </w:r>
          </w:p>
        </w:tc>
        <w:tc>
          <w:tcPr>
            <w:tcW w:w="2551" w:type="dxa"/>
            <w:vAlign w:val="center"/>
          </w:tcPr>
          <w:p>
            <w:pPr>
              <w:pStyle w:val="12"/>
            </w:pPr>
            <w:r>
              <w:t>10万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突发事件处置完成率</w:t>
            </w:r>
          </w:p>
        </w:tc>
        <w:tc>
          <w:tcPr>
            <w:tcW w:w="2835" w:type="dxa"/>
            <w:vAlign w:val="center"/>
          </w:tcPr>
          <w:p>
            <w:pPr>
              <w:pStyle w:val="12"/>
            </w:pPr>
            <w:r>
              <w:t>突发负面舆情事件全部得到有效处置</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舆情工作正常运转</w:t>
            </w:r>
          </w:p>
        </w:tc>
        <w:tc>
          <w:tcPr>
            <w:tcW w:w="2835" w:type="dxa"/>
            <w:vAlign w:val="center"/>
          </w:tcPr>
          <w:p>
            <w:pPr>
              <w:pStyle w:val="12"/>
            </w:pPr>
            <w:r>
              <w:t>运转率100%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8、2022年网络舆情监测软件技术服务费绩效目标表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1.对我县进行网上舆情全年8760小时监测</w:t>
            </w:r>
          </w:p>
          <w:p>
            <w:pPr>
              <w:pStyle w:val="12"/>
            </w:pPr>
            <w:r>
              <w:t>2.7*24小时处置负面舆情</w:t>
            </w:r>
          </w:p>
          <w:p>
            <w:pPr>
              <w:pStyle w:val="12"/>
            </w:pPr>
            <w:r>
              <w:t>3.不发生舆情事故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监控系统数量</w:t>
            </w:r>
          </w:p>
        </w:tc>
        <w:tc>
          <w:tcPr>
            <w:tcW w:w="2835" w:type="dxa"/>
            <w:vAlign w:val="center"/>
          </w:tcPr>
          <w:p>
            <w:pPr>
              <w:pStyle w:val="12"/>
            </w:pPr>
            <w:r>
              <w:t>监控系统2个</w:t>
            </w:r>
          </w:p>
        </w:tc>
        <w:tc>
          <w:tcPr>
            <w:tcW w:w="2551" w:type="dxa"/>
            <w:vAlign w:val="center"/>
          </w:tcPr>
          <w:p>
            <w:pPr>
              <w:pStyle w:val="12"/>
            </w:pPr>
            <w:r>
              <w:t>2个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监控覆盖率</w:t>
            </w:r>
          </w:p>
        </w:tc>
        <w:tc>
          <w:tcPr>
            <w:tcW w:w="2835" w:type="dxa"/>
            <w:vAlign w:val="center"/>
          </w:tcPr>
          <w:p>
            <w:pPr>
              <w:pStyle w:val="12"/>
            </w:pPr>
            <w:r>
              <w:t>监控率90%以上</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监控时间</w:t>
            </w:r>
          </w:p>
        </w:tc>
        <w:tc>
          <w:tcPr>
            <w:tcW w:w="2835" w:type="dxa"/>
            <w:vAlign w:val="center"/>
          </w:tcPr>
          <w:p>
            <w:pPr>
              <w:pStyle w:val="12"/>
            </w:pPr>
            <w:r>
              <w:t>全年监控8760小时以上</w:t>
            </w:r>
          </w:p>
        </w:tc>
        <w:tc>
          <w:tcPr>
            <w:tcW w:w="2551" w:type="dxa"/>
            <w:vAlign w:val="center"/>
          </w:tcPr>
          <w:p>
            <w:pPr>
              <w:pStyle w:val="12"/>
            </w:pPr>
            <w:r>
              <w:t>8760小时</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20万元</w:t>
            </w:r>
          </w:p>
        </w:tc>
        <w:tc>
          <w:tcPr>
            <w:tcW w:w="2551" w:type="dxa"/>
            <w:vAlign w:val="center"/>
          </w:tcPr>
          <w:p>
            <w:pPr>
              <w:pStyle w:val="12"/>
            </w:pPr>
            <w:r>
              <w:t>20万元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传播正能量</w:t>
            </w:r>
          </w:p>
        </w:tc>
        <w:tc>
          <w:tcPr>
            <w:tcW w:w="2835" w:type="dxa"/>
            <w:vAlign w:val="center"/>
          </w:tcPr>
          <w:p>
            <w:pPr>
              <w:pStyle w:val="12"/>
            </w:pPr>
            <w:r>
              <w:t>传播正能量</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突发事件处置完成率</w:t>
            </w:r>
          </w:p>
        </w:tc>
        <w:tc>
          <w:tcPr>
            <w:tcW w:w="2835" w:type="dxa"/>
            <w:vAlign w:val="center"/>
          </w:tcPr>
          <w:p>
            <w:pPr>
              <w:pStyle w:val="12"/>
            </w:pPr>
            <w:r>
              <w:t>突发事件处置完成率100%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9、2022年舆情监测能力建设资金绩效目标表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1.对属地抖音快手今日头条微博信息进行监管</w:t>
            </w:r>
          </w:p>
          <w:p>
            <w:pPr>
              <w:pStyle w:val="12"/>
            </w:pPr>
            <w:r>
              <w:t>2.屏蔽负面信息</w:t>
            </w:r>
          </w:p>
          <w:p>
            <w:pPr>
              <w:pStyle w:val="12"/>
            </w:pPr>
            <w:r>
              <w:t>3.净化网上舆论环境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自动采集率</w:t>
            </w:r>
          </w:p>
        </w:tc>
        <w:tc>
          <w:tcPr>
            <w:tcW w:w="2835" w:type="dxa"/>
            <w:vAlign w:val="center"/>
          </w:tcPr>
          <w:p>
            <w:pPr>
              <w:pStyle w:val="12"/>
            </w:pPr>
            <w:r>
              <w:t>支持7*24小时采集</w:t>
            </w:r>
          </w:p>
        </w:tc>
        <w:tc>
          <w:tcPr>
            <w:tcW w:w="2551" w:type="dxa"/>
            <w:vAlign w:val="center"/>
          </w:tcPr>
          <w:p>
            <w:pPr>
              <w:pStyle w:val="12"/>
            </w:pPr>
            <w:r>
              <w:t>≥8760小时</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实现效果</w:t>
            </w:r>
          </w:p>
        </w:tc>
        <w:tc>
          <w:tcPr>
            <w:tcW w:w="2835" w:type="dxa"/>
            <w:vAlign w:val="center"/>
          </w:tcPr>
          <w:p>
            <w:pPr>
              <w:pStyle w:val="12"/>
            </w:pPr>
            <w:r>
              <w:t>属地抖音快手今日头条及内容信息监管和论坛贴吧沉贴锁帖系统经费</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≤85万元</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负面信息处置率</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舆情处置</w:t>
            </w:r>
          </w:p>
        </w:tc>
        <w:tc>
          <w:tcPr>
            <w:tcW w:w="2835" w:type="dxa"/>
            <w:vAlign w:val="center"/>
          </w:tcPr>
          <w:p>
            <w:pPr>
              <w:pStyle w:val="12"/>
            </w:pPr>
            <w:r>
              <w:t>舆情处置工作效率</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网络生态环境</w:t>
            </w:r>
          </w:p>
        </w:tc>
        <w:tc>
          <w:tcPr>
            <w:tcW w:w="2835" w:type="dxa"/>
            <w:vAlign w:val="center"/>
          </w:tcPr>
          <w:p>
            <w:pPr>
              <w:pStyle w:val="12"/>
            </w:pPr>
            <w:r>
              <w:t>网络生态环境</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2022年，中共魏县县委网络安全和信息化委员会办公室本级安排政府采购预算0.00万元。具体内容见下表。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中共魏县县委网络安全和信息化委员会办公室本级上年末固定资产金额为8.85万元（详见下表）。本年度拟购置固定资产总额为0.00万元，已按要求列入政府采购预算，详见政府采购预算表。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224001中共魏县县委网络安全和信息化委员会办公室本级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8.85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D5380"/>
    <w:multiLevelType w:val="singleLevel"/>
    <w:tmpl w:val="332D5380"/>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E6496"/>
    <w:rsid w:val="001F168B"/>
    <w:rsid w:val="004E6496"/>
    <w:rsid w:val="00E24614"/>
    <w:rsid w:val="1CA6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4" Type="http://schemas.openxmlformats.org/officeDocument/2006/relationships/fontTable" Target="fontTable.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2022-03-03T17:12:30Z</dcterms:created>
  <dcterms:modified xsi:type="dcterms:W3CDTF">2022-03-03T09:12:30Z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2022-03-03T17:12:27Z</dcterms:created>
  <dcterms:modified xsi:type="dcterms:W3CDTF">2022-03-03T09:12:27Z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2022-03-03T17:12:27Z</dcterms:created>
  <dcterms:modified xsi:type="dcterms:W3CDTF">2022-03-03T09:12:27Z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2022-03-03T17:12:32Z</dcterms:created>
  <dcterms:modified xsi:type="dcterms:W3CDTF">2022-03-03T09:12:32Z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2022-03-03T17:12:25Z</dcterms:created>
  <dcterms:modified xsi:type="dcterms:W3CDTF">2022-03-03T09:12:24Z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2022-03-03T17:12:30Z</dcterms:created>
  <dcterms:modified xsi:type="dcterms:W3CDTF">2022-03-03T09:12:30Z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2022-03-03T17:12:30Z</dcterms:created>
  <dcterms:modified xsi:type="dcterms:W3CDTF">2022-03-03T09:12:29Z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2022-03-03T17:12:27Z</dcterms:created>
  <dcterms:modified xsi:type="dcterms:W3CDTF">2022-03-03T09:12:27Z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2022-03-03T17:12:26Z</dcterms:created>
  <dcterms:modified xsi:type="dcterms:W3CDTF">2022-03-03T09:12:26Z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2022-03-03T17:12:31Z</dcterms:created>
  <dcterms:modified xsi:type="dcterms:W3CDTF">2022-03-03T09:12:31Z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AE1A51C-0F1B-4CB1-B676-C66DA31EC043}">
  <ds:schemaRefs/>
</ds:datastoreItem>
</file>

<file path=customXml/itemProps11.xml><?xml version="1.0" encoding="utf-8"?>
<ds:datastoreItem xmlns:ds="http://schemas.openxmlformats.org/officeDocument/2006/customXml" ds:itemID="{1905172C-ABE8-447C-8CA4-4DCC2EFFD72F}">
  <ds:schemaRefs/>
</ds:datastoreItem>
</file>

<file path=customXml/itemProps12.xml><?xml version="1.0" encoding="utf-8"?>
<ds:datastoreItem xmlns:ds="http://schemas.openxmlformats.org/officeDocument/2006/customXml" ds:itemID="{097EDB5A-772C-4768-87FE-2AC6A233FE1A}">
  <ds:schemaRefs/>
</ds:datastoreItem>
</file>

<file path=customXml/itemProps13.xml><?xml version="1.0" encoding="utf-8"?>
<ds:datastoreItem xmlns:ds="http://schemas.openxmlformats.org/officeDocument/2006/customXml" ds:itemID="{DD8F3653-76B1-47A8-A42E-C76E13AA4433}">
  <ds:schemaRefs/>
</ds:datastoreItem>
</file>

<file path=customXml/itemProps14.xml><?xml version="1.0" encoding="utf-8"?>
<ds:datastoreItem xmlns:ds="http://schemas.openxmlformats.org/officeDocument/2006/customXml" ds:itemID="{9B0EEFAF-D072-482E-BE3E-252B601C4260}">
  <ds:schemaRefs/>
</ds:datastoreItem>
</file>

<file path=customXml/itemProps15.xml><?xml version="1.0" encoding="utf-8"?>
<ds:datastoreItem xmlns:ds="http://schemas.openxmlformats.org/officeDocument/2006/customXml" ds:itemID="{7AF0A1F5-85BD-4004-AC59-DD605A95F92E}">
  <ds:schemaRefs/>
</ds:datastoreItem>
</file>

<file path=customXml/itemProps16.xml><?xml version="1.0" encoding="utf-8"?>
<ds:datastoreItem xmlns:ds="http://schemas.openxmlformats.org/officeDocument/2006/customXml" ds:itemID="{5AFD2F8E-2A96-48F2-B953-C7C46743ABD3}">
  <ds:schemaRefs/>
</ds:datastoreItem>
</file>

<file path=customXml/itemProps17.xml><?xml version="1.0" encoding="utf-8"?>
<ds:datastoreItem xmlns:ds="http://schemas.openxmlformats.org/officeDocument/2006/customXml" ds:itemID="{2755BD94-FED5-4269-8371-E57F69C4779D}">
  <ds:schemaRefs/>
</ds:datastoreItem>
</file>

<file path=customXml/itemProps18.xml><?xml version="1.0" encoding="utf-8"?>
<ds:datastoreItem xmlns:ds="http://schemas.openxmlformats.org/officeDocument/2006/customXml" ds:itemID="{D05E5F60-DB5C-4F6B-91E0-19B48752E238}">
  <ds:schemaRefs/>
</ds:datastoreItem>
</file>

<file path=customXml/itemProps19.xml><?xml version="1.0" encoding="utf-8"?>
<ds:datastoreItem xmlns:ds="http://schemas.openxmlformats.org/officeDocument/2006/customXml" ds:itemID="{9E1B9498-1646-4493-9045-5A4EFF3A9A9E}">
  <ds:schemaRefs/>
</ds:datastoreItem>
</file>

<file path=customXml/itemProps2.xml><?xml version="1.0" encoding="utf-8"?>
<ds:datastoreItem xmlns:ds="http://schemas.openxmlformats.org/officeDocument/2006/customXml" ds:itemID="{6BA1B546-0F6D-454D-B6B3-B55C9B74DACF}">
  <ds:schemaRefs/>
</ds:datastoreItem>
</file>

<file path=customXml/itemProps20.xml><?xml version="1.0" encoding="utf-8"?>
<ds:datastoreItem xmlns:ds="http://schemas.openxmlformats.org/officeDocument/2006/customXml" ds:itemID="{1B4DA761-2A74-4CE8-B8DB-648D259C8322}">
  <ds:schemaRefs/>
</ds:datastoreItem>
</file>

<file path=customXml/itemProps21.xml><?xml version="1.0" encoding="utf-8"?>
<ds:datastoreItem xmlns:ds="http://schemas.openxmlformats.org/officeDocument/2006/customXml" ds:itemID="{CD083A63-ADA5-425E-829F-D4BB24F5A32A}">
  <ds:schemaRefs/>
</ds:datastoreItem>
</file>

<file path=customXml/itemProps22.xml><?xml version="1.0" encoding="utf-8"?>
<ds:datastoreItem xmlns:ds="http://schemas.openxmlformats.org/officeDocument/2006/customXml" ds:itemID="{56F447E4-DB64-434A-8EBF-1FD574F7F5A2}">
  <ds:schemaRefs/>
</ds:datastoreItem>
</file>

<file path=customXml/itemProps23.xml><?xml version="1.0" encoding="utf-8"?>
<ds:datastoreItem xmlns:ds="http://schemas.openxmlformats.org/officeDocument/2006/customXml" ds:itemID="{BE23886F-2167-4890-9B1C-88A04100327D}">
  <ds:schemaRefs/>
</ds:datastoreItem>
</file>

<file path=customXml/itemProps24.xml><?xml version="1.0" encoding="utf-8"?>
<ds:datastoreItem xmlns:ds="http://schemas.openxmlformats.org/officeDocument/2006/customXml" ds:itemID="{F7B4AB08-8CDD-47B1-B91C-73FB2523CDAB}">
  <ds:schemaRefs/>
</ds:datastoreItem>
</file>

<file path=customXml/itemProps25.xml><?xml version="1.0" encoding="utf-8"?>
<ds:datastoreItem xmlns:ds="http://schemas.openxmlformats.org/officeDocument/2006/customXml" ds:itemID="{E60158BA-0582-4EFF-962E-49AA700BF198}">
  <ds:schemaRefs/>
</ds:datastoreItem>
</file>

<file path=customXml/itemProps26.xml><?xml version="1.0" encoding="utf-8"?>
<ds:datastoreItem xmlns:ds="http://schemas.openxmlformats.org/officeDocument/2006/customXml" ds:itemID="{7263FFD7-5D35-43BD-B0FD-4562E9C5A1A4}">
  <ds:schemaRefs/>
</ds:datastoreItem>
</file>

<file path=customXml/itemProps27.xml><?xml version="1.0" encoding="utf-8"?>
<ds:datastoreItem xmlns:ds="http://schemas.openxmlformats.org/officeDocument/2006/customXml" ds:itemID="{4615E72E-6667-43A2-BD7B-17939F8F3D86}">
  <ds:schemaRefs/>
</ds:datastoreItem>
</file>

<file path=customXml/itemProps28.xml><?xml version="1.0" encoding="utf-8"?>
<ds:datastoreItem xmlns:ds="http://schemas.openxmlformats.org/officeDocument/2006/customXml" ds:itemID="{0F686A03-22D8-4167-B4C5-A8A25A60CAC2}">
  <ds:schemaRefs/>
</ds:datastoreItem>
</file>

<file path=customXml/itemProps29.xml><?xml version="1.0" encoding="utf-8"?>
<ds:datastoreItem xmlns:ds="http://schemas.openxmlformats.org/officeDocument/2006/customXml" ds:itemID="{E95FFBB4-ABC5-4684-9A07-7F48EFC4FAAF}">
  <ds:schemaRefs/>
</ds:datastoreItem>
</file>

<file path=customXml/itemProps3.xml><?xml version="1.0" encoding="utf-8"?>
<ds:datastoreItem xmlns:ds="http://schemas.openxmlformats.org/officeDocument/2006/customXml" ds:itemID="{81DF598F-B833-4174-BDBA-90928DE1AD23}">
  <ds:schemaRefs/>
</ds:datastoreItem>
</file>

<file path=customXml/itemProps30.xml><?xml version="1.0" encoding="utf-8"?>
<ds:datastoreItem xmlns:ds="http://schemas.openxmlformats.org/officeDocument/2006/customXml" ds:itemID="{A7E11C11-23E6-4096-8AB9-E5276BCFBCA7}">
  <ds:schemaRefs/>
</ds:datastoreItem>
</file>

<file path=customXml/itemProps31.xml><?xml version="1.0" encoding="utf-8"?>
<ds:datastoreItem xmlns:ds="http://schemas.openxmlformats.org/officeDocument/2006/customXml" ds:itemID="{4AB5893A-1600-4687-B52D-1739214EF70B}">
  <ds:schemaRefs/>
</ds:datastoreItem>
</file>

<file path=customXml/itemProps32.xml><?xml version="1.0" encoding="utf-8"?>
<ds:datastoreItem xmlns:ds="http://schemas.openxmlformats.org/officeDocument/2006/customXml" ds:itemID="{54AB7A64-54CC-43C4-9DA4-D8AE038C8C6D}">
  <ds:schemaRefs/>
</ds:datastoreItem>
</file>

<file path=customXml/itemProps33.xml><?xml version="1.0" encoding="utf-8"?>
<ds:datastoreItem xmlns:ds="http://schemas.openxmlformats.org/officeDocument/2006/customXml" ds:itemID="{36396F3F-EFFE-4560-8840-26888D035BD6}">
  <ds:schemaRefs/>
</ds:datastoreItem>
</file>

<file path=customXml/itemProps34.xml><?xml version="1.0" encoding="utf-8"?>
<ds:datastoreItem xmlns:ds="http://schemas.openxmlformats.org/officeDocument/2006/customXml" ds:itemID="{AB29DDEC-6504-4883-B0C3-E1252A635405}">
  <ds:schemaRefs/>
</ds:datastoreItem>
</file>

<file path=customXml/itemProps35.xml><?xml version="1.0" encoding="utf-8"?>
<ds:datastoreItem xmlns:ds="http://schemas.openxmlformats.org/officeDocument/2006/customXml" ds:itemID="{053306C8-428C-4ADB-992E-784AFF9A54B5}">
  <ds:schemaRefs/>
</ds:datastoreItem>
</file>

<file path=customXml/itemProps36.xml><?xml version="1.0" encoding="utf-8"?>
<ds:datastoreItem xmlns:ds="http://schemas.openxmlformats.org/officeDocument/2006/customXml" ds:itemID="{1C44EF9F-2844-4988-8874-664FB2078515}">
  <ds:schemaRefs/>
</ds:datastoreItem>
</file>

<file path=customXml/itemProps37.xml><?xml version="1.0" encoding="utf-8"?>
<ds:datastoreItem xmlns:ds="http://schemas.openxmlformats.org/officeDocument/2006/customXml" ds:itemID="{BE830F62-F7FE-48AE-AF16-AE8980E8E11F}">
  <ds:schemaRefs/>
</ds:datastoreItem>
</file>

<file path=customXml/itemProps38.xml><?xml version="1.0" encoding="utf-8"?>
<ds:datastoreItem xmlns:ds="http://schemas.openxmlformats.org/officeDocument/2006/customXml" ds:itemID="{EC3B4D27-9F41-46DF-8DDC-54876125F9F6}">
  <ds:schemaRefs/>
</ds:datastoreItem>
</file>

<file path=customXml/itemProps39.xml><?xml version="1.0" encoding="utf-8"?>
<ds:datastoreItem xmlns:ds="http://schemas.openxmlformats.org/officeDocument/2006/customXml" ds:itemID="{EE6581A1-FFBF-44C7-9C8C-31EC04B90D99}">
  <ds:schemaRefs/>
</ds:datastoreItem>
</file>

<file path=customXml/itemProps4.xml><?xml version="1.0" encoding="utf-8"?>
<ds:datastoreItem xmlns:ds="http://schemas.openxmlformats.org/officeDocument/2006/customXml" ds:itemID="{79E64B51-9893-4CA2-85C4-35DB7067D517}">
  <ds:schemaRefs/>
</ds:datastoreItem>
</file>

<file path=customXml/itemProps40.xml><?xml version="1.0" encoding="utf-8"?>
<ds:datastoreItem xmlns:ds="http://schemas.openxmlformats.org/officeDocument/2006/customXml" ds:itemID="{CF656505-2DEA-422B-BDEE-3BBC179BC4B0}">
  <ds:schemaRefs/>
</ds:datastoreItem>
</file>

<file path=customXml/itemProps41.xml><?xml version="1.0" encoding="utf-8"?>
<ds:datastoreItem xmlns:ds="http://schemas.openxmlformats.org/officeDocument/2006/customXml" ds:itemID="{18B2722E-4603-45C6-B75F-4D8DDD9BCA8D}">
  <ds:schemaRefs/>
</ds:datastoreItem>
</file>

<file path=customXml/itemProps42.xml><?xml version="1.0" encoding="utf-8"?>
<ds:datastoreItem xmlns:ds="http://schemas.openxmlformats.org/officeDocument/2006/customXml" ds:itemID="{8B5518AA-DF80-43A3-96C2-FE78540FF0E1}">
  <ds:schemaRefs/>
</ds:datastoreItem>
</file>

<file path=customXml/itemProps43.xml><?xml version="1.0" encoding="utf-8"?>
<ds:datastoreItem xmlns:ds="http://schemas.openxmlformats.org/officeDocument/2006/customXml" ds:itemID="{BA0953AE-9611-4562-942F-63B30F0DB1C4}">
  <ds:schemaRefs/>
</ds:datastoreItem>
</file>

<file path=customXml/itemProps44.xml><?xml version="1.0" encoding="utf-8"?>
<ds:datastoreItem xmlns:ds="http://schemas.openxmlformats.org/officeDocument/2006/customXml" ds:itemID="{083E3E89-FE07-435C-ABD1-F1CCF79C51C6}">
  <ds:schemaRefs/>
</ds:datastoreItem>
</file>

<file path=customXml/itemProps45.xml><?xml version="1.0" encoding="utf-8"?>
<ds:datastoreItem xmlns:ds="http://schemas.openxmlformats.org/officeDocument/2006/customXml" ds:itemID="{457E3415-01F1-4D25-AE02-498E485E835A}">
  <ds:schemaRefs/>
</ds:datastoreItem>
</file>

<file path=customXml/itemProps46.xml><?xml version="1.0" encoding="utf-8"?>
<ds:datastoreItem xmlns:ds="http://schemas.openxmlformats.org/officeDocument/2006/customXml" ds:itemID="{D026B146-857C-4C9C-84DB-EAAB37781FD2}">
  <ds:schemaRefs/>
</ds:datastoreItem>
</file>

<file path=customXml/itemProps47.xml><?xml version="1.0" encoding="utf-8"?>
<ds:datastoreItem xmlns:ds="http://schemas.openxmlformats.org/officeDocument/2006/customXml" ds:itemID="{725F6B39-1E2C-4432-871B-69671EDB68F8}">
  <ds:schemaRefs/>
</ds:datastoreItem>
</file>

<file path=customXml/itemProps5.xml><?xml version="1.0" encoding="utf-8"?>
<ds:datastoreItem xmlns:ds="http://schemas.openxmlformats.org/officeDocument/2006/customXml" ds:itemID="{27620104-E89F-47E7-97FE-E172AB115406}">
  <ds:schemaRefs/>
</ds:datastoreItem>
</file>

<file path=customXml/itemProps6.xml><?xml version="1.0" encoding="utf-8"?>
<ds:datastoreItem xmlns:ds="http://schemas.openxmlformats.org/officeDocument/2006/customXml" ds:itemID="{3A7C431A-1147-4956-B279-B582643268C6}">
  <ds:schemaRefs/>
</ds:datastoreItem>
</file>

<file path=customXml/itemProps7.xml><?xml version="1.0" encoding="utf-8"?>
<ds:datastoreItem xmlns:ds="http://schemas.openxmlformats.org/officeDocument/2006/customXml" ds:itemID="{A3479E12-D272-4087-AFDE-C819CC35FA4F}">
  <ds:schemaRefs/>
</ds:datastoreItem>
</file>

<file path=customXml/itemProps8.xml><?xml version="1.0" encoding="utf-8"?>
<ds:datastoreItem xmlns:ds="http://schemas.openxmlformats.org/officeDocument/2006/customXml" ds:itemID="{5C3BEE15-C9DC-4D27-A82D-D81D18F28526}">
  <ds:schemaRefs/>
</ds:datastoreItem>
</file>

<file path=customXml/itemProps9.xml><?xml version="1.0" encoding="utf-8"?>
<ds:datastoreItem xmlns:ds="http://schemas.openxmlformats.org/officeDocument/2006/customXml" ds:itemID="{2CECB433-6C46-4F63-A5BA-ADDD7BB8B115}">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60</Pages>
  <Words>3823</Words>
  <Characters>21797</Characters>
  <Lines>181</Lines>
  <Paragraphs>51</Paragraphs>
  <TotalTime>3</TotalTime>
  <ScaleCrop>false</ScaleCrop>
  <LinksUpToDate>false</LinksUpToDate>
  <CharactersWithSpaces>25569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2022-03-02T23:27:00Z</dcterms:created>
  <dc:creator>Administrator</dc:creator>
  <cp:lastModifiedBy>Administrator</cp:lastModifiedBy>
  <dcterms:modified xsi:type="dcterms:W3CDTF">2022-03-05T10:06:11Z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6A90AE727E9D4E2B85590DCE923727A0</vt:lpwstr>
  </property>
</Properties>
</file>