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魏县野胡拐乡人民政府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2021年度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政府信息公开工作年度报告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野胡拐乡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人民政府政府信息公开工作机构为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野胡拐乡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党政办公室，由主管办公室工作副职具体负责此项工作，政府信息公开工作制度完备、组织机构健全、职责分工明确、载体形式规范、公开内容及时准确，及时向社会和民众公开政务信息，并自觉接受群众监督，有力地提高了政府工作的透明度，保障了人民的知情权。2021年以来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野胡拐乡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通过各类媒体主动公开政府信息，其中包括预算决算及财政资金。全年未收到申请公开政府信息情况，未出现因政府信息公开申请行政复议、提起行政诉讼的情况。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  <w:t>2021年，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野胡拐乡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  <w:t>政府信息公开工作在上级有关部门的领导下取得了一些成效，但也清醒地认识到，在政府信息公开工作中仍然存在一些问题。一是从事政府信息公开的工作人员较少；二是公开内容质量还不够高。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  <w:t>2022年，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野胡拐乡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  <w:t>将按照《条例》和市、县对政府信息公开的相关要求，继续大力推进政府信息公开工作。一是加强政府信息公开工作人员培训，确保政府信息公开的数量和质量。二是建立健全内部管理制度。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无。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0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  <w:lang w:eastAsia="zh-CN"/>
        </w:rPr>
        <w:t>魏县野胡拐乡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</w:rPr>
        <w:t>人民政府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0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</w:rPr>
        <w:t>2022年1月2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</w:rPr>
        <w:t>日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F3"/>
    <w:rsid w:val="000731F3"/>
    <w:rsid w:val="001F7420"/>
    <w:rsid w:val="00397F01"/>
    <w:rsid w:val="00495A08"/>
    <w:rsid w:val="004E18A4"/>
    <w:rsid w:val="00D954B7"/>
    <w:rsid w:val="3B710D8E"/>
    <w:rsid w:val="6BB274D2"/>
    <w:rsid w:val="7C48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</Words>
  <Characters>1186</Characters>
  <Lines>9</Lines>
  <Paragraphs>2</Paragraphs>
  <TotalTime>4</TotalTime>
  <ScaleCrop>false</ScaleCrop>
  <LinksUpToDate>false</LinksUpToDate>
  <CharactersWithSpaces>1391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2022-01-20T08:22:00Z</dcterms:created>
  <dc:creator>公开办</dc:creator>
  <cp:lastModifiedBy>Administrator</cp:lastModifiedBy>
  <cp:lastPrinted>2022-01-24T01:59:00Z</cp:lastPrinted>
  <dcterms:modified xsi:type="dcterms:W3CDTF">2022-01-25T01:42:30Z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E6DD9D7E3D804945A2E101724D8855BA</vt:lpwstr>
  </property>
</Properties>
</file>