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line="640" w:lineRule="exact"/>
        <w:jc w:val="center"/>
        <w:textAlignment w:val="auto"/>
        <w:rPr>
          <w:rFonts w:ascii="Times New Roman" w:hAnsi="Times New Roman" w:eastAsia="仿宋" w:cs="Times New Roman"/>
          <w:b/>
          <w:sz w:val="32"/>
          <w:szCs w:val="32"/>
        </w:rPr>
      </w:pPr>
    </w:p>
    <w:p>
      <w:pPr>
        <w:pStyle w:val="5"/>
        <w:keepNext w:val="0"/>
        <w:keepLines w:val="0"/>
        <w:pageBreakBefore w:val="0"/>
        <w:widowControl w:val="0"/>
        <w:kinsoku/>
        <w:wordWrap/>
        <w:overflowPunct/>
        <w:topLinePunct w:val="0"/>
        <w:autoSpaceDE/>
        <w:autoSpaceDN/>
        <w:bidi w:val="0"/>
        <w:adjustRightInd/>
        <w:spacing w:line="640" w:lineRule="exact"/>
        <w:textAlignment w:val="auto"/>
        <w:rPr>
          <w:rFonts w:ascii="Times New Roman" w:hAnsi="Times New Roman" w:eastAsia="仿宋" w:cs="Times New Roman"/>
          <w:b/>
          <w:sz w:val="32"/>
          <w:szCs w:val="32"/>
        </w:rPr>
      </w:pPr>
    </w:p>
    <w:p>
      <w:pPr>
        <w:pStyle w:val="5"/>
        <w:keepNext w:val="0"/>
        <w:keepLines w:val="0"/>
        <w:pageBreakBefore w:val="0"/>
        <w:widowControl w:val="0"/>
        <w:kinsoku/>
        <w:wordWrap/>
        <w:overflowPunct/>
        <w:topLinePunct w:val="0"/>
        <w:autoSpaceDE/>
        <w:autoSpaceDN/>
        <w:bidi w:val="0"/>
        <w:adjustRightInd/>
        <w:spacing w:line="640" w:lineRule="exact"/>
        <w:textAlignment w:val="auto"/>
        <w:rPr>
          <w:rFonts w:ascii="Times New Roman" w:hAnsi="Times New Roman" w:eastAsia="仿宋" w:cs="Times New Roman"/>
          <w:b/>
          <w:sz w:val="32"/>
          <w:szCs w:val="32"/>
        </w:rPr>
      </w:pPr>
    </w:p>
    <w:p>
      <w:pPr>
        <w:pStyle w:val="5"/>
        <w:keepNext w:val="0"/>
        <w:keepLines w:val="0"/>
        <w:pageBreakBefore w:val="0"/>
        <w:widowControl w:val="0"/>
        <w:kinsoku/>
        <w:wordWrap/>
        <w:overflowPunct/>
        <w:topLinePunct w:val="0"/>
        <w:autoSpaceDE/>
        <w:autoSpaceDN/>
        <w:bidi w:val="0"/>
        <w:adjustRightInd/>
        <w:spacing w:line="640" w:lineRule="exact"/>
        <w:textAlignment w:val="auto"/>
        <w:rPr>
          <w:rFonts w:ascii="Times New Roman" w:hAnsi="Times New Roman" w:eastAsia="仿宋" w:cs="Times New Roman"/>
          <w:b/>
          <w:sz w:val="32"/>
          <w:szCs w:val="32"/>
        </w:rPr>
      </w:pPr>
    </w:p>
    <w:p>
      <w:pPr>
        <w:pStyle w:val="5"/>
        <w:keepNext w:val="0"/>
        <w:keepLines w:val="0"/>
        <w:pageBreakBefore w:val="0"/>
        <w:widowControl w:val="0"/>
        <w:kinsoku/>
        <w:wordWrap/>
        <w:overflowPunct/>
        <w:topLinePunct w:val="0"/>
        <w:autoSpaceDE/>
        <w:autoSpaceDN/>
        <w:bidi w:val="0"/>
        <w:adjustRightInd/>
        <w:spacing w:line="640" w:lineRule="exact"/>
        <w:textAlignment w:val="auto"/>
        <w:rPr>
          <w:rFonts w:ascii="Times New Roman" w:hAnsi="Times New Roman" w:eastAsia="仿宋" w:cs="Times New Roman"/>
          <w:b/>
          <w:sz w:val="32"/>
          <w:szCs w:val="32"/>
        </w:rPr>
      </w:pPr>
    </w:p>
    <w:p>
      <w:pPr>
        <w:pStyle w:val="5"/>
        <w:keepNext w:val="0"/>
        <w:keepLines w:val="0"/>
        <w:pageBreakBefore w:val="0"/>
        <w:widowControl w:val="0"/>
        <w:kinsoku/>
        <w:wordWrap/>
        <w:overflowPunct/>
        <w:topLinePunct w:val="0"/>
        <w:autoSpaceDE/>
        <w:autoSpaceDN/>
        <w:bidi w:val="0"/>
        <w:adjustRightInd/>
        <w:spacing w:line="640" w:lineRule="exact"/>
        <w:textAlignment w:val="auto"/>
        <w:rPr>
          <w:rFonts w:ascii="Times New Roman" w:hAnsi="Times New Roman" w:eastAsia="仿宋" w:cs="Times New Roman"/>
          <w:b/>
          <w:sz w:val="32"/>
          <w:szCs w:val="32"/>
        </w:rPr>
      </w:pPr>
    </w:p>
    <w:p>
      <w:pPr>
        <w:keepNext w:val="0"/>
        <w:keepLines w:val="0"/>
        <w:pageBreakBefore w:val="0"/>
        <w:widowControl w:val="0"/>
        <w:kinsoku/>
        <w:wordWrap/>
        <w:overflowPunct/>
        <w:topLinePunct w:val="0"/>
        <w:autoSpaceDE/>
        <w:autoSpaceDN/>
        <w:bidi w:val="0"/>
        <w:adjustRightInd/>
        <w:spacing w:line="640" w:lineRule="exact"/>
        <w:jc w:val="center"/>
        <w:textAlignment w:val="auto"/>
        <w:rPr>
          <w:rFonts w:ascii="Times New Roman" w:hAnsi="Times New Roman" w:cs="Times New Roman"/>
          <w:b/>
          <w:sz w:val="44"/>
          <w:szCs w:val="44"/>
        </w:rPr>
      </w:pPr>
      <w:r>
        <w:rPr>
          <w:rFonts w:ascii="Times New Roman" w:hAnsi="Times New Roman" w:eastAsia="仿宋" w:cs="Times New Roman"/>
          <w:b/>
          <w:sz w:val="32"/>
          <w:szCs w:val="32"/>
        </w:rPr>
        <w:t>魏审批环表〔</w:t>
      </w:r>
      <w:r>
        <w:rPr>
          <w:rFonts w:hint="eastAsia" w:ascii="Times New Roman" w:hAnsi="Times New Roman" w:eastAsia="仿宋" w:cs="Times New Roman"/>
          <w:b/>
          <w:sz w:val="32"/>
          <w:szCs w:val="32"/>
        </w:rPr>
        <w:t>202</w:t>
      </w:r>
      <w:r>
        <w:rPr>
          <w:rFonts w:hint="eastAsia" w:ascii="Times New Roman" w:hAnsi="Times New Roman" w:eastAsia="仿宋" w:cs="Times New Roman"/>
          <w:b/>
          <w:sz w:val="32"/>
          <w:szCs w:val="32"/>
          <w:lang w:val="en-US" w:eastAsia="zh-CN"/>
        </w:rPr>
        <w:t>1</w:t>
      </w:r>
      <w:r>
        <w:rPr>
          <w:rFonts w:ascii="Times New Roman" w:hAnsi="Times New Roman" w:eastAsia="仿宋" w:cs="Times New Roman"/>
          <w:b/>
          <w:sz w:val="32"/>
          <w:szCs w:val="32"/>
        </w:rPr>
        <w:t>〕</w:t>
      </w:r>
      <w:r>
        <w:rPr>
          <w:rFonts w:hint="eastAsia" w:ascii="Times New Roman" w:hAnsi="Times New Roman" w:eastAsia="仿宋" w:cs="Times New Roman"/>
          <w:b/>
          <w:sz w:val="32"/>
          <w:szCs w:val="32"/>
          <w:lang w:val="en-US" w:eastAsia="zh-CN"/>
        </w:rPr>
        <w:t>28</w:t>
      </w:r>
      <w:r>
        <w:rPr>
          <w:rFonts w:ascii="Times New Roman" w:hAnsi="Times New Roman" w:eastAsia="仿宋" w:cs="Times New Roman"/>
          <w:b/>
          <w:sz w:val="32"/>
          <w:szCs w:val="32"/>
        </w:rPr>
        <w:t>号</w:t>
      </w:r>
    </w:p>
    <w:p>
      <w:pPr>
        <w:pStyle w:val="5"/>
        <w:keepNext w:val="0"/>
        <w:keepLines w:val="0"/>
        <w:pageBreakBefore w:val="0"/>
        <w:widowControl w:val="0"/>
        <w:kinsoku/>
        <w:wordWrap/>
        <w:overflowPunct/>
        <w:topLinePunct w:val="0"/>
        <w:autoSpaceDE/>
        <w:autoSpaceDN/>
        <w:bidi w:val="0"/>
        <w:adjustRightInd/>
        <w:spacing w:line="640" w:lineRule="exact"/>
        <w:ind w:left="0" w:firstLine="0"/>
        <w:textAlignment w:val="auto"/>
      </w:pPr>
    </w:p>
    <w:p>
      <w:pPr>
        <w:pStyle w:val="5"/>
        <w:keepNext w:val="0"/>
        <w:keepLines w:val="0"/>
        <w:pageBreakBefore w:val="0"/>
        <w:widowControl w:val="0"/>
        <w:kinsoku/>
        <w:wordWrap/>
        <w:overflowPunct/>
        <w:topLinePunct w:val="0"/>
        <w:autoSpaceDE/>
        <w:autoSpaceDN/>
        <w:bidi w:val="0"/>
        <w:adjustRightInd/>
        <w:spacing w:line="640" w:lineRule="exact"/>
        <w:textAlignment w:val="auto"/>
        <w:rPr>
          <w:rFonts w:ascii="Times New Roman" w:hAnsi="Times New Roman" w:cs="Times New Roman"/>
        </w:rPr>
      </w:pPr>
    </w:p>
    <w:p>
      <w:pPr>
        <w:keepNext w:val="0"/>
        <w:keepLines w:val="0"/>
        <w:pageBreakBefore w:val="0"/>
        <w:widowControl w:val="0"/>
        <w:kinsoku/>
        <w:wordWrap/>
        <w:overflowPunct/>
        <w:topLinePunct w:val="0"/>
        <w:autoSpaceDE/>
        <w:autoSpaceDN/>
        <w:bidi w:val="0"/>
        <w:adjustRightInd/>
        <w:spacing w:line="640" w:lineRule="exact"/>
        <w:jc w:val="center"/>
        <w:textAlignment w:val="auto"/>
        <w:rPr>
          <w:rFonts w:ascii="Times New Roman" w:hAnsi="Times New Roman" w:eastAsia="宋体" w:cs="Times New Roman"/>
          <w:b/>
          <w:w w:val="92"/>
          <w:sz w:val="44"/>
          <w:szCs w:val="44"/>
        </w:rPr>
      </w:pPr>
      <w:r>
        <w:rPr>
          <w:rFonts w:ascii="Times New Roman" w:hAnsi="Times New Roman" w:eastAsia="宋体" w:cs="Times New Roman"/>
          <w:b/>
          <w:w w:val="92"/>
          <w:sz w:val="44"/>
          <w:szCs w:val="44"/>
        </w:rPr>
        <w:t>魏县行政审批局</w:t>
      </w:r>
    </w:p>
    <w:p>
      <w:pPr>
        <w:keepNext w:val="0"/>
        <w:keepLines w:val="0"/>
        <w:pageBreakBefore w:val="0"/>
        <w:widowControl w:val="0"/>
        <w:kinsoku/>
        <w:wordWrap/>
        <w:overflowPunct/>
        <w:topLinePunct w:val="0"/>
        <w:autoSpaceDE/>
        <w:autoSpaceDN/>
        <w:bidi w:val="0"/>
        <w:adjustRightInd/>
        <w:spacing w:line="640" w:lineRule="exact"/>
        <w:jc w:val="center"/>
        <w:textAlignment w:val="auto"/>
        <w:rPr>
          <w:rFonts w:ascii="Times New Roman" w:hAnsi="Times New Roman" w:eastAsia="宋体" w:cs="Times New Roman"/>
          <w:b/>
          <w:w w:val="92"/>
          <w:sz w:val="44"/>
          <w:szCs w:val="44"/>
        </w:rPr>
      </w:pPr>
      <w:r>
        <w:rPr>
          <w:rFonts w:ascii="Times New Roman" w:hAnsi="Times New Roman" w:eastAsia="宋体" w:cs="Times New Roman"/>
          <w:b/>
          <w:w w:val="92"/>
          <w:sz w:val="44"/>
          <w:szCs w:val="44"/>
        </w:rPr>
        <w:t>关于</w:t>
      </w:r>
      <w:r>
        <w:rPr>
          <w:rFonts w:hint="eastAsia" w:ascii="Times New Roman" w:hAnsi="Times New Roman" w:eastAsia="宋体" w:cs="Times New Roman"/>
          <w:b/>
          <w:w w:val="92"/>
          <w:sz w:val="44"/>
          <w:szCs w:val="44"/>
        </w:rPr>
        <w:t>魏县</w:t>
      </w:r>
      <w:r>
        <w:rPr>
          <w:rFonts w:hint="eastAsia" w:ascii="Times New Roman" w:hAnsi="Times New Roman" w:eastAsia="宋体" w:cs="Times New Roman"/>
          <w:b/>
          <w:w w:val="92"/>
          <w:sz w:val="44"/>
          <w:szCs w:val="44"/>
          <w:lang w:eastAsia="zh-CN"/>
        </w:rPr>
        <w:t>德友精工科技</w:t>
      </w:r>
      <w:r>
        <w:rPr>
          <w:rFonts w:hint="eastAsia" w:ascii="Times New Roman" w:hAnsi="Times New Roman" w:eastAsia="宋体" w:cs="Times New Roman"/>
          <w:b/>
          <w:w w:val="92"/>
          <w:sz w:val="44"/>
          <w:szCs w:val="44"/>
        </w:rPr>
        <w:t>有限公司</w:t>
      </w:r>
      <w:r>
        <w:rPr>
          <w:rFonts w:hint="default" w:ascii="Times New Roman" w:hAnsi="Times New Roman" w:eastAsia="宋体" w:cs="Times New Roman"/>
          <w:b/>
          <w:w w:val="92"/>
          <w:sz w:val="44"/>
          <w:szCs w:val="44"/>
          <w:lang w:val="en-US" w:eastAsia="zh-CN"/>
        </w:rPr>
        <w:t>年产15万吨高强度紧固件项目</w:t>
      </w:r>
      <w:r>
        <w:rPr>
          <w:rFonts w:ascii="Times New Roman" w:hAnsi="Times New Roman" w:eastAsia="宋体" w:cs="Times New Roman"/>
          <w:b/>
          <w:w w:val="92"/>
          <w:sz w:val="44"/>
          <w:szCs w:val="44"/>
        </w:rPr>
        <w:t>环境影响报告表的批复</w:t>
      </w:r>
    </w:p>
    <w:p>
      <w:pPr>
        <w:keepNext w:val="0"/>
        <w:keepLines w:val="0"/>
        <w:pageBreakBefore w:val="0"/>
        <w:widowControl w:val="0"/>
        <w:kinsoku/>
        <w:wordWrap/>
        <w:overflowPunct/>
        <w:topLinePunct w:val="0"/>
        <w:autoSpaceDE/>
        <w:autoSpaceDN/>
        <w:bidi w:val="0"/>
        <w:adjustRightInd/>
        <w:spacing w:line="640" w:lineRule="exact"/>
        <w:jc w:val="center"/>
        <w:textAlignment w:val="auto"/>
        <w:rPr>
          <w:rFonts w:ascii="仿宋" w:hAnsi="仿宋" w:eastAsia="仿宋" w:cs="Times New Roman"/>
          <w:b/>
          <w:sz w:val="32"/>
          <w:szCs w:val="32"/>
        </w:rPr>
      </w:pPr>
    </w:p>
    <w:p>
      <w:pPr>
        <w:keepNext w:val="0"/>
        <w:keepLines w:val="0"/>
        <w:pageBreakBefore w:val="0"/>
        <w:widowControl w:val="0"/>
        <w:kinsoku/>
        <w:wordWrap/>
        <w:overflowPunct/>
        <w:topLinePunct w:val="0"/>
        <w:autoSpaceDE/>
        <w:autoSpaceDN/>
        <w:bidi w:val="0"/>
        <w:adjustRightInd/>
        <w:snapToGrid w:val="0"/>
        <w:spacing w:line="640" w:lineRule="exact"/>
        <w:textAlignment w:val="auto"/>
        <w:rPr>
          <w:rFonts w:hint="eastAsia" w:ascii="仿宋" w:hAnsi="仿宋" w:eastAsia="仿宋" w:cs="仿宋"/>
          <w:sz w:val="32"/>
          <w:szCs w:val="32"/>
        </w:rPr>
      </w:pPr>
      <w:r>
        <w:rPr>
          <w:rFonts w:hint="eastAsia" w:ascii="仿宋" w:hAnsi="仿宋" w:eastAsia="仿宋" w:cs="仿宋"/>
          <w:sz w:val="32"/>
          <w:szCs w:val="32"/>
        </w:rPr>
        <w:t>魏县</w:t>
      </w:r>
      <w:r>
        <w:rPr>
          <w:rFonts w:hint="eastAsia" w:ascii="仿宋" w:hAnsi="仿宋" w:eastAsia="仿宋" w:cs="仿宋"/>
          <w:sz w:val="32"/>
          <w:szCs w:val="32"/>
          <w:lang w:eastAsia="zh-CN"/>
        </w:rPr>
        <w:t>德友精工科技</w:t>
      </w:r>
      <w:r>
        <w:rPr>
          <w:rFonts w:hint="eastAsia" w:ascii="仿宋" w:hAnsi="仿宋" w:eastAsia="仿宋" w:cs="仿宋"/>
          <w:sz w:val="32"/>
          <w:szCs w:val="32"/>
        </w:rPr>
        <w:t>有限公司：</w:t>
      </w:r>
    </w:p>
    <w:p>
      <w:pPr>
        <w:keepNext w:val="0"/>
        <w:keepLines w:val="0"/>
        <w:pageBreakBefore w:val="0"/>
        <w:widowControl w:val="0"/>
        <w:numPr>
          <w:ilvl w:val="0"/>
          <w:numId w:val="0"/>
        </w:numPr>
        <w:kinsoku/>
        <w:wordWrap/>
        <w:overflowPunct/>
        <w:topLinePunct w:val="0"/>
        <w:autoSpaceDE/>
        <w:autoSpaceDN/>
        <w:bidi w:val="0"/>
        <w:adjustRightInd/>
        <w:snapToGrid w:val="0"/>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你公司所报</w:t>
      </w:r>
      <w:r>
        <w:rPr>
          <w:rFonts w:hint="eastAsia" w:ascii="仿宋" w:hAnsi="仿宋" w:eastAsia="仿宋" w:cs="仿宋"/>
          <w:sz w:val="32"/>
          <w:szCs w:val="32"/>
          <w:lang w:eastAsia="zh-CN"/>
        </w:rPr>
        <w:t>《魏县德友精工科技有限公司</w:t>
      </w:r>
      <w:r>
        <w:rPr>
          <w:rFonts w:hint="default" w:ascii="Times New Roman" w:hAnsi="Times New Roman" w:eastAsia="仿宋_GB2312" w:cs="Times New Roman"/>
          <w:color w:val="000000" w:themeColor="text1"/>
          <w:sz w:val="32"/>
          <w:szCs w:val="32"/>
          <w:u w:val="none"/>
          <w:lang w:val="en-US" w:eastAsia="zh-CN"/>
        </w:rPr>
        <w:t>年产15万吨高强度紧固件项目</w:t>
      </w:r>
      <w:r>
        <w:rPr>
          <w:rFonts w:hint="eastAsia" w:ascii="仿宋" w:hAnsi="仿宋" w:eastAsia="仿宋" w:cs="仿宋"/>
          <w:sz w:val="32"/>
          <w:szCs w:val="32"/>
          <w:lang w:eastAsia="zh-CN"/>
        </w:rPr>
        <w:t>环境影响报告表</w:t>
      </w:r>
      <w:r>
        <w:rPr>
          <w:rFonts w:hint="eastAsia" w:ascii="仿宋" w:hAnsi="仿宋" w:eastAsia="仿宋" w:cs="仿宋"/>
          <w:sz w:val="32"/>
          <w:szCs w:val="32"/>
        </w:rPr>
        <w:t>》收悉。经研究，批复如下：</w:t>
      </w:r>
    </w:p>
    <w:p>
      <w:pPr>
        <w:keepNext w:val="0"/>
        <w:keepLines w:val="0"/>
        <w:pageBreakBefore w:val="0"/>
        <w:widowControl w:val="0"/>
        <w:numPr>
          <w:ilvl w:val="0"/>
          <w:numId w:val="2"/>
        </w:numPr>
        <w:kinsoku/>
        <w:wordWrap/>
        <w:overflowPunct/>
        <w:topLinePunct w:val="0"/>
        <w:autoSpaceDE/>
        <w:autoSpaceDN/>
        <w:bidi w:val="0"/>
        <w:adjustRightInd/>
        <w:snapToGrid w:val="0"/>
        <w:spacing w:line="64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该</w:t>
      </w:r>
      <w:r>
        <w:rPr>
          <w:rFonts w:hint="eastAsia" w:ascii="仿宋" w:hAnsi="仿宋" w:eastAsia="仿宋" w:cs="仿宋"/>
          <w:sz w:val="32"/>
          <w:szCs w:val="32"/>
        </w:rPr>
        <w:t>项目位于河北省邯郸</w:t>
      </w:r>
      <w:r>
        <w:rPr>
          <w:rFonts w:hint="eastAsia" w:ascii="仿宋" w:hAnsi="仿宋" w:eastAsia="仿宋" w:cs="仿宋"/>
          <w:sz w:val="32"/>
          <w:szCs w:val="32"/>
          <w:lang w:eastAsia="zh-CN"/>
        </w:rPr>
        <w:t>市</w:t>
      </w:r>
      <w:r>
        <w:rPr>
          <w:rFonts w:hint="default" w:ascii="仿宋" w:hAnsi="仿宋" w:eastAsia="仿宋" w:cs="仿宋"/>
          <w:sz w:val="32"/>
          <w:szCs w:val="32"/>
          <w:lang w:eastAsia="zh-CN"/>
        </w:rPr>
        <w:t>魏县经济开发区天雨东路</w:t>
      </w:r>
      <w:r>
        <w:rPr>
          <w:rFonts w:hint="default" w:ascii="仿宋" w:hAnsi="仿宋" w:eastAsia="仿宋" w:cs="仿宋"/>
          <w:sz w:val="32"/>
          <w:szCs w:val="32"/>
          <w:lang w:val="en-US" w:eastAsia="zh-CN"/>
        </w:rPr>
        <w:t>3003号</w:t>
      </w:r>
      <w:r>
        <w:rPr>
          <w:rFonts w:hint="eastAsia" w:ascii="仿宋" w:hAnsi="仿宋" w:eastAsia="仿宋" w:cs="仿宋"/>
          <w:sz w:val="32"/>
          <w:szCs w:val="32"/>
          <w:lang w:eastAsia="zh-CN"/>
        </w:rPr>
        <w:t>，厂址中心地理坐标为北纬36°</w:t>
      </w:r>
      <w:r>
        <w:rPr>
          <w:rFonts w:hint="eastAsia" w:ascii="仿宋" w:hAnsi="仿宋" w:eastAsia="仿宋" w:cs="仿宋"/>
          <w:sz w:val="32"/>
          <w:szCs w:val="32"/>
          <w:lang w:val="en-US" w:eastAsia="zh-CN"/>
        </w:rPr>
        <w:t>19</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52.166</w:t>
      </w:r>
      <w:r>
        <w:rPr>
          <w:rFonts w:hint="eastAsia" w:ascii="仿宋" w:hAnsi="仿宋" w:eastAsia="仿宋" w:cs="仿宋"/>
          <w:sz w:val="32"/>
          <w:szCs w:val="32"/>
          <w:lang w:eastAsia="zh-CN"/>
        </w:rPr>
        <w:t>"，东经114°</w:t>
      </w:r>
      <w:r>
        <w:rPr>
          <w:rFonts w:hint="eastAsia" w:ascii="仿宋" w:hAnsi="仿宋" w:eastAsia="仿宋" w:cs="仿宋"/>
          <w:sz w:val="32"/>
          <w:szCs w:val="32"/>
          <w:lang w:val="en-US" w:eastAsia="zh-CN"/>
        </w:rPr>
        <w:t>59</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21.254</w:t>
      </w:r>
      <w:r>
        <w:rPr>
          <w:rFonts w:hint="eastAsia" w:ascii="仿宋" w:hAnsi="仿宋" w:eastAsia="仿宋" w:cs="仿宋"/>
          <w:sz w:val="32"/>
          <w:szCs w:val="32"/>
          <w:lang w:eastAsia="zh-CN"/>
        </w:rPr>
        <w:t>"。建设内容及建设规模：该</w:t>
      </w:r>
      <w:r>
        <w:rPr>
          <w:rFonts w:hint="default" w:ascii="仿宋" w:hAnsi="仿宋" w:eastAsia="仿宋" w:cs="仿宋"/>
          <w:sz w:val="32"/>
          <w:szCs w:val="32"/>
          <w:lang w:val="en-US" w:eastAsia="zh-CN"/>
        </w:rPr>
        <w:t>项目租赁厂房占地面积66000</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，总建筑面积为99000</w:t>
      </w:r>
      <w:r>
        <w:rPr>
          <w:rFonts w:hint="eastAsia" w:ascii="仿宋" w:hAnsi="仿宋" w:eastAsia="仿宋" w:cs="仿宋"/>
          <w:sz w:val="32"/>
          <w:szCs w:val="32"/>
          <w:lang w:val="en-US" w:eastAsia="zh-CN"/>
        </w:rPr>
        <w:t>㎡</w:t>
      </w:r>
      <w:r>
        <w:rPr>
          <w:rFonts w:hint="eastAsia" w:ascii="仿宋" w:hAnsi="仿宋" w:eastAsia="仿宋" w:cs="仿宋"/>
          <w:sz w:val="32"/>
          <w:szCs w:val="32"/>
          <w:lang w:eastAsia="zh-CN"/>
        </w:rPr>
        <w:t>；</w:t>
      </w:r>
      <w:r>
        <w:rPr>
          <w:rFonts w:hint="default" w:ascii="仿宋" w:hAnsi="仿宋" w:eastAsia="仿宋" w:cs="仿宋"/>
          <w:sz w:val="32"/>
          <w:szCs w:val="32"/>
          <w:lang w:val="en-US" w:eastAsia="zh-CN"/>
        </w:rPr>
        <w:t>建设办公、生产车间、库房等基础设施</w:t>
      </w:r>
      <w:r>
        <w:rPr>
          <w:rFonts w:hint="eastAsia" w:ascii="仿宋" w:hAnsi="仿宋" w:eastAsia="仿宋" w:cs="仿宋"/>
          <w:sz w:val="32"/>
          <w:szCs w:val="32"/>
          <w:lang w:eastAsia="zh-CN"/>
        </w:rPr>
        <w:t>，</w:t>
      </w:r>
      <w:r>
        <w:rPr>
          <w:rFonts w:hint="default" w:ascii="仿宋" w:hAnsi="仿宋" w:eastAsia="仿宋" w:cs="仿宋"/>
          <w:sz w:val="32"/>
          <w:szCs w:val="32"/>
          <w:lang w:val="en-US" w:eastAsia="zh-CN"/>
        </w:rPr>
        <w:t>购置及安装冷镦机、夹尾机、搓牙机、攻牙机、调直机、螺杆式空压机等设备</w:t>
      </w:r>
      <w:r>
        <w:rPr>
          <w:rFonts w:hint="eastAsia" w:ascii="仿宋" w:hAnsi="仿宋" w:eastAsia="仿宋" w:cs="仿宋"/>
          <w:sz w:val="32"/>
          <w:szCs w:val="32"/>
          <w:lang w:val="en-US" w:eastAsia="zh-CN"/>
        </w:rPr>
        <w:t>；项目</w:t>
      </w:r>
      <w:r>
        <w:rPr>
          <w:rFonts w:hint="eastAsia" w:ascii="仿宋" w:hAnsi="仿宋" w:eastAsia="仿宋" w:cs="仿宋"/>
          <w:sz w:val="32"/>
          <w:szCs w:val="32"/>
          <w:lang w:eastAsia="zh-CN"/>
        </w:rPr>
        <w:t>总投资</w:t>
      </w:r>
      <w:r>
        <w:rPr>
          <w:rFonts w:hint="default" w:ascii="仿宋" w:hAnsi="仿宋" w:eastAsia="仿宋" w:cs="仿宋"/>
          <w:sz w:val="32"/>
          <w:szCs w:val="32"/>
          <w:lang w:val="en-US" w:eastAsia="zh-CN"/>
        </w:rPr>
        <w:t>30000万元</w:t>
      </w:r>
      <w:r>
        <w:rPr>
          <w:rFonts w:hint="eastAsia" w:ascii="仿宋" w:hAnsi="仿宋" w:eastAsia="仿宋" w:cs="仿宋"/>
          <w:sz w:val="32"/>
          <w:szCs w:val="32"/>
          <w:lang w:val="en-US" w:eastAsia="zh-CN"/>
        </w:rPr>
        <w:t>，其中</w:t>
      </w:r>
      <w:r>
        <w:rPr>
          <w:rFonts w:hint="default" w:ascii="仿宋" w:hAnsi="仿宋" w:eastAsia="仿宋" w:cs="仿宋"/>
          <w:sz w:val="32"/>
          <w:szCs w:val="32"/>
          <w:lang w:val="en-US" w:eastAsia="zh-CN"/>
        </w:rPr>
        <w:t>环保投资500万元</w:t>
      </w:r>
      <w:r>
        <w:rPr>
          <w:rFonts w:hint="eastAsia" w:ascii="仿宋" w:hAnsi="仿宋" w:eastAsia="仿宋" w:cs="仿宋"/>
          <w:sz w:val="32"/>
          <w:szCs w:val="32"/>
          <w:lang w:val="en-US" w:eastAsia="zh-CN"/>
        </w:rPr>
        <w:t>，占总投资</w:t>
      </w:r>
      <w:r>
        <w:rPr>
          <w:rFonts w:hint="default" w:ascii="仿宋" w:hAnsi="仿宋" w:eastAsia="仿宋" w:cs="仿宋"/>
          <w:sz w:val="32"/>
          <w:szCs w:val="32"/>
          <w:lang w:val="en-US" w:eastAsia="zh-CN"/>
        </w:rPr>
        <w:t>1.67%</w:t>
      </w:r>
      <w:r>
        <w:rPr>
          <w:rFonts w:hint="eastAsia" w:ascii="仿宋" w:hAnsi="仿宋" w:eastAsia="仿宋" w:cs="仿宋"/>
          <w:sz w:val="32"/>
          <w:szCs w:val="32"/>
          <w:lang w:val="en-US" w:eastAsia="zh-CN"/>
        </w:rPr>
        <w:t>。</w:t>
      </w:r>
    </w:p>
    <w:p>
      <w:pPr>
        <w:pStyle w:val="2"/>
        <w:numPr>
          <w:ilvl w:val="0"/>
          <w:numId w:val="0"/>
        </w:numPr>
        <w:rPr>
          <w:rFonts w:hint="eastAsia"/>
          <w:lang w:val="en-US" w:eastAsia="zh-CN"/>
        </w:rPr>
      </w:pPr>
    </w:p>
    <w:p>
      <w:pPr>
        <w:keepNext w:val="0"/>
        <w:keepLines w:val="0"/>
        <w:pageBreakBefore w:val="0"/>
        <w:widowControl w:val="0"/>
        <w:kinsoku/>
        <w:wordWrap/>
        <w:overflowPunct/>
        <w:topLinePunct w:val="0"/>
        <w:autoSpaceDE/>
        <w:autoSpaceDN/>
        <w:bidi w:val="0"/>
        <w:adjustRightInd/>
        <w:snapToGrid w:val="0"/>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二、根据你公司委托</w:t>
      </w:r>
      <w:r>
        <w:rPr>
          <w:rFonts w:hint="eastAsia" w:ascii="仿宋" w:hAnsi="仿宋" w:eastAsia="仿宋" w:cs="仿宋"/>
          <w:sz w:val="32"/>
          <w:szCs w:val="32"/>
          <w:lang w:eastAsia="zh-CN"/>
        </w:rPr>
        <w:t>邯郸市睿创工程项目咨询有限公司</w:t>
      </w:r>
      <w:r>
        <w:rPr>
          <w:rFonts w:hint="eastAsia" w:ascii="仿宋" w:hAnsi="仿宋" w:eastAsia="仿宋" w:cs="仿宋"/>
          <w:sz w:val="32"/>
          <w:szCs w:val="32"/>
        </w:rPr>
        <w:t>编制的《</w:t>
      </w:r>
      <w:r>
        <w:rPr>
          <w:rFonts w:hint="eastAsia" w:ascii="仿宋" w:hAnsi="仿宋" w:eastAsia="仿宋" w:cs="仿宋"/>
          <w:sz w:val="32"/>
          <w:szCs w:val="32"/>
          <w:lang w:eastAsia="zh-CN"/>
        </w:rPr>
        <w:t>魏县德友精工科技有限公司</w:t>
      </w:r>
      <w:r>
        <w:rPr>
          <w:rFonts w:hint="default" w:ascii="仿宋" w:hAnsi="仿宋" w:eastAsia="仿宋" w:cs="仿宋"/>
          <w:sz w:val="32"/>
          <w:szCs w:val="32"/>
          <w:lang w:val="en-US" w:eastAsia="zh-CN"/>
        </w:rPr>
        <w:t>年产15万吨高强度紧固件项目</w:t>
      </w:r>
      <w:r>
        <w:rPr>
          <w:rFonts w:hint="eastAsia" w:ascii="仿宋" w:hAnsi="仿宋" w:eastAsia="仿宋" w:cs="仿宋"/>
          <w:sz w:val="32"/>
          <w:szCs w:val="32"/>
          <w:lang w:eastAsia="zh-CN"/>
        </w:rPr>
        <w:t>环境影响报告表</w:t>
      </w:r>
      <w:r>
        <w:rPr>
          <w:rFonts w:hint="eastAsia" w:ascii="仿宋" w:hAnsi="仿宋" w:eastAsia="仿宋" w:cs="仿宋"/>
          <w:sz w:val="32"/>
          <w:szCs w:val="32"/>
        </w:rPr>
        <w:t>》，在项目符合产业政策与产业发展规划、选址符合区域土地利用规划等前提下，原则同意《报告表》结论。你公司须严格按照环评报告表所列建设项目的性质、规模、地点、环保对策措施及要求实施项目建设。</w:t>
      </w:r>
    </w:p>
    <w:p>
      <w:pPr>
        <w:pStyle w:val="2"/>
        <w:rPr>
          <w:rFonts w:hint="eastAsia"/>
        </w:rPr>
      </w:pPr>
    </w:p>
    <w:p>
      <w:pPr>
        <w:keepNext w:val="0"/>
        <w:keepLines w:val="0"/>
        <w:pageBreakBefore w:val="0"/>
        <w:widowControl w:val="0"/>
        <w:kinsoku/>
        <w:wordWrap/>
        <w:overflowPunct/>
        <w:topLinePunct w:val="0"/>
        <w:autoSpaceDE/>
        <w:autoSpaceDN/>
        <w:bidi w:val="0"/>
        <w:adjustRightInd/>
        <w:snapToGrid w:val="0"/>
        <w:spacing w:line="64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三、项目须严格按照《报告表》规定进行建设，采用先进的技术和设备，提高自动化控制水平。各项环保设施设计应当由具有环保设施工程设计资质的</w:t>
      </w:r>
      <w:r>
        <w:rPr>
          <w:rFonts w:hint="eastAsia" w:ascii="仿宋" w:hAnsi="仿宋" w:eastAsia="仿宋" w:cs="仿宋"/>
          <w:sz w:val="32"/>
          <w:szCs w:val="32"/>
          <w:lang w:eastAsia="zh-CN"/>
        </w:rPr>
        <w:t>单位承担，并重点做好以下工作：</w:t>
      </w:r>
    </w:p>
    <w:p>
      <w:pPr>
        <w:keepNext w:val="0"/>
        <w:keepLines w:val="0"/>
        <w:pageBreakBefore w:val="0"/>
        <w:widowControl w:val="0"/>
        <w:kinsoku/>
        <w:wordWrap/>
        <w:overflowPunct/>
        <w:topLinePunct w:val="0"/>
        <w:autoSpaceDE/>
        <w:autoSpaceDN/>
        <w:bidi w:val="0"/>
        <w:adjustRightInd/>
        <w:snapToGrid w:val="0"/>
        <w:spacing w:line="64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营运期：⑴废气：该项</w:t>
      </w:r>
      <w:r>
        <w:rPr>
          <w:rFonts w:hint="default" w:ascii="仿宋" w:hAnsi="仿宋" w:eastAsia="仿宋" w:cs="仿宋"/>
          <w:sz w:val="32"/>
          <w:szCs w:val="32"/>
          <w:lang w:val="en-US" w:eastAsia="zh-CN"/>
        </w:rPr>
        <w:t>目</w:t>
      </w:r>
      <w:r>
        <w:rPr>
          <w:rFonts w:hint="eastAsia" w:ascii="仿宋" w:hAnsi="仿宋" w:eastAsia="仿宋" w:cs="仿宋"/>
          <w:sz w:val="32"/>
          <w:szCs w:val="32"/>
          <w:lang w:eastAsia="zh-CN"/>
        </w:rPr>
        <w:t>有组织废气</w:t>
      </w:r>
      <w:r>
        <w:rPr>
          <w:rFonts w:hint="default" w:ascii="仿宋" w:hAnsi="仿宋" w:eastAsia="仿宋" w:cs="仿宋"/>
          <w:sz w:val="32"/>
          <w:szCs w:val="32"/>
          <w:lang w:val="en-US" w:eastAsia="zh-CN"/>
        </w:rPr>
        <w:t>大气污染物主要为拉丝机产生的颗粒物以及冷镦机、夹尾机、搓牙机、滚丝机产生的非甲烷总烃等</w:t>
      </w:r>
      <w:r>
        <w:rPr>
          <w:rFonts w:hint="eastAsia" w:ascii="仿宋" w:hAnsi="仿宋" w:eastAsia="仿宋" w:cs="仿宋"/>
          <w:sz w:val="32"/>
          <w:szCs w:val="32"/>
          <w:lang w:eastAsia="zh-CN"/>
        </w:rPr>
        <w:t>。</w:t>
      </w:r>
      <w:r>
        <w:rPr>
          <w:rFonts w:hint="default" w:ascii="仿宋" w:hAnsi="仿宋" w:eastAsia="仿宋" w:cs="仿宋"/>
          <w:sz w:val="32"/>
          <w:szCs w:val="32"/>
          <w:lang w:val="en-US" w:eastAsia="zh-CN"/>
        </w:rPr>
        <w:t>滚丝机、冷镦机、夹尾机、搓牙机设备上方设置集气罩，每个区各设一套油雾过滤器+</w:t>
      </w:r>
      <w:r>
        <w:rPr>
          <w:rFonts w:hint="eastAsia" w:ascii="仿宋" w:hAnsi="仿宋" w:eastAsia="仿宋" w:cs="仿宋"/>
          <w:sz w:val="32"/>
          <w:szCs w:val="32"/>
          <w:lang w:val="en-US" w:eastAsia="zh-CN"/>
        </w:rPr>
        <w:t>高压静电</w:t>
      </w:r>
      <w:r>
        <w:rPr>
          <w:rFonts w:hint="default" w:ascii="仿宋" w:hAnsi="仿宋" w:eastAsia="仿宋" w:cs="仿宋"/>
          <w:sz w:val="32"/>
          <w:szCs w:val="32"/>
          <w:lang w:val="en-US" w:eastAsia="zh-CN"/>
        </w:rPr>
        <w:t>式</w:t>
      </w:r>
      <w:r>
        <w:rPr>
          <w:rFonts w:hint="default" w:ascii="仿宋" w:hAnsi="仿宋" w:eastAsia="仿宋" w:cs="仿宋"/>
          <w:sz w:val="32"/>
          <w:szCs w:val="32"/>
        </w:rPr>
        <w:t>油雾净化器</w:t>
      </w:r>
      <w:r>
        <w:rPr>
          <w:rFonts w:hint="default" w:ascii="仿宋" w:hAnsi="仿宋" w:eastAsia="仿宋" w:cs="仿宋"/>
          <w:sz w:val="32"/>
          <w:szCs w:val="32"/>
          <w:lang w:val="en-US" w:eastAsia="zh-CN"/>
        </w:rPr>
        <w:t>+活性炭吸附装置处理，</w:t>
      </w:r>
      <w:r>
        <w:rPr>
          <w:rFonts w:hint="eastAsia" w:ascii="仿宋" w:hAnsi="仿宋" w:eastAsia="仿宋" w:cs="仿宋"/>
          <w:sz w:val="32"/>
          <w:szCs w:val="32"/>
        </w:rPr>
        <w:t>采取如上措施后，</w:t>
      </w:r>
      <w:r>
        <w:rPr>
          <w:rFonts w:hint="default" w:ascii="仿宋" w:hAnsi="仿宋" w:eastAsia="仿宋" w:cs="仿宋"/>
          <w:sz w:val="32"/>
          <w:szCs w:val="32"/>
          <w:lang w:val="en-US" w:eastAsia="zh-CN"/>
        </w:rPr>
        <w:t>各排放口污染物排放均</w:t>
      </w:r>
      <w:r>
        <w:rPr>
          <w:rFonts w:hint="default" w:ascii="仿宋" w:hAnsi="仿宋" w:eastAsia="仿宋" w:cs="仿宋"/>
          <w:sz w:val="32"/>
          <w:szCs w:val="32"/>
        </w:rPr>
        <w:t>满足河北省地方标准《工业企业挥发性有机物排放控制标准》（DB13/2322-2016）表1中其他行业排放标准</w:t>
      </w:r>
      <w:r>
        <w:rPr>
          <w:rFonts w:hint="default" w:ascii="仿宋" w:hAnsi="仿宋" w:eastAsia="仿宋" w:cs="仿宋"/>
          <w:sz w:val="32"/>
          <w:szCs w:val="32"/>
          <w:lang w:val="en-US" w:eastAsia="zh-CN"/>
        </w:rPr>
        <w:t>。</w:t>
      </w:r>
      <w:r>
        <w:rPr>
          <w:rFonts w:hint="eastAsia" w:ascii="仿宋" w:hAnsi="仿宋" w:eastAsia="仿宋" w:cs="仿宋"/>
          <w:sz w:val="32"/>
          <w:szCs w:val="32"/>
          <w:lang w:val="en-US" w:eastAsia="zh-CN"/>
        </w:rPr>
        <w:t>无</w:t>
      </w:r>
      <w:r>
        <w:rPr>
          <w:rFonts w:hint="eastAsia" w:ascii="仿宋" w:hAnsi="仿宋" w:eastAsia="仿宋" w:cs="仿宋"/>
          <w:sz w:val="32"/>
          <w:szCs w:val="32"/>
          <w:lang w:eastAsia="zh-CN"/>
        </w:rPr>
        <w:t>组织废气</w:t>
      </w:r>
      <w:r>
        <w:rPr>
          <w:rFonts w:hint="default" w:ascii="仿宋" w:hAnsi="仿宋" w:eastAsia="仿宋" w:cs="仿宋"/>
          <w:sz w:val="32"/>
          <w:szCs w:val="32"/>
          <w:lang w:val="en-US" w:eastAsia="zh-CN"/>
        </w:rPr>
        <w:t>拉丝废气厂房为密闭厂房，空气流速慢，拉丝粉盒为密闭结构，且金属颗粒物、拉丝粉质量比重大，沉降快，粉尘产生量较少，仅会有极少部分粉尘逸散。</w:t>
      </w:r>
      <w:r>
        <w:rPr>
          <w:rFonts w:hint="default" w:ascii="仿宋" w:hAnsi="仿宋" w:eastAsia="仿宋" w:cs="仿宋"/>
          <w:sz w:val="32"/>
          <w:szCs w:val="32"/>
        </w:rPr>
        <w:t>采取如上措施后，</w:t>
      </w:r>
      <w:r>
        <w:rPr>
          <w:rFonts w:hint="default" w:ascii="仿宋" w:hAnsi="仿宋" w:eastAsia="仿宋" w:cs="仿宋"/>
          <w:sz w:val="32"/>
          <w:szCs w:val="32"/>
          <w:lang w:eastAsia="zh-CN"/>
        </w:rPr>
        <w:t>预计</w:t>
      </w:r>
      <w:r>
        <w:rPr>
          <w:rFonts w:hint="default" w:ascii="仿宋" w:hAnsi="仿宋" w:eastAsia="仿宋" w:cs="仿宋"/>
          <w:sz w:val="32"/>
          <w:szCs w:val="32"/>
        </w:rPr>
        <w:t>厂界无组织颗粒物满足《大气污染物综合排放标准》（GB16297-1996）表2无组织排放浓度限值</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油池油气</w:t>
      </w:r>
      <w:r>
        <w:rPr>
          <w:rFonts w:hint="default" w:ascii="仿宋" w:hAnsi="仿宋" w:eastAsia="仿宋" w:cs="仿宋"/>
          <w:sz w:val="32"/>
          <w:szCs w:val="32"/>
          <w:lang w:val="en-US" w:eastAsia="zh-CN"/>
        </w:rPr>
        <w:t>厂房为密闭厂房，空气流速慢，</w:t>
      </w:r>
      <w:r>
        <w:rPr>
          <w:rFonts w:hint="eastAsia" w:ascii="仿宋" w:hAnsi="仿宋" w:eastAsia="仿宋" w:cs="仿宋"/>
          <w:sz w:val="32"/>
          <w:szCs w:val="32"/>
          <w:lang w:val="en-US" w:eastAsia="zh-CN"/>
        </w:rPr>
        <w:t>存油池</w:t>
      </w:r>
      <w:r>
        <w:rPr>
          <w:rFonts w:hint="default" w:ascii="仿宋" w:hAnsi="仿宋" w:eastAsia="仿宋" w:cs="仿宋"/>
          <w:sz w:val="32"/>
          <w:szCs w:val="32"/>
          <w:lang w:val="en-US" w:eastAsia="zh-CN"/>
        </w:rPr>
        <w:t>为密闭结构</w:t>
      </w:r>
      <w:r>
        <w:rPr>
          <w:rFonts w:hint="eastAsia" w:ascii="仿宋" w:hAnsi="仿宋" w:eastAsia="仿宋" w:cs="仿宋"/>
          <w:sz w:val="32"/>
          <w:szCs w:val="32"/>
          <w:lang w:val="en-US" w:eastAsia="zh-CN"/>
        </w:rPr>
        <w:t>，</w:t>
      </w:r>
      <w:r>
        <w:rPr>
          <w:rFonts w:hint="default" w:ascii="仿宋" w:hAnsi="仿宋" w:eastAsia="仿宋" w:cs="仿宋"/>
          <w:sz w:val="32"/>
          <w:szCs w:val="32"/>
        </w:rPr>
        <w:t>采取如上措施后，</w:t>
      </w:r>
      <w:r>
        <w:rPr>
          <w:rFonts w:hint="default" w:ascii="仿宋" w:hAnsi="仿宋" w:eastAsia="仿宋" w:cs="仿宋"/>
          <w:sz w:val="32"/>
          <w:szCs w:val="32"/>
          <w:lang w:val="en-US" w:eastAsia="zh-CN"/>
        </w:rPr>
        <w:t>满足《工业企业挥发性有机物排放控制标准》(DB13/2322-2016)表2企业边界大气污染物浓度限值</w:t>
      </w:r>
      <w:r>
        <w:rPr>
          <w:rFonts w:hint="eastAsia" w:ascii="仿宋" w:hAnsi="仿宋" w:eastAsia="仿宋" w:cs="仿宋"/>
          <w:sz w:val="32"/>
          <w:szCs w:val="32"/>
          <w:lang w:val="en-US" w:eastAsia="zh-CN"/>
        </w:rPr>
        <w:t>。</w:t>
      </w:r>
    </w:p>
    <w:p>
      <w:pPr>
        <w:keepNext w:val="0"/>
        <w:keepLines w:val="0"/>
        <w:pageBreakBefore w:val="0"/>
        <w:widowControl w:val="0"/>
        <w:kinsoku/>
        <w:wordWrap/>
        <w:overflowPunct/>
        <w:topLinePunct w:val="0"/>
        <w:autoSpaceDE/>
        <w:autoSpaceDN/>
        <w:bidi w:val="0"/>
        <w:adjustRightInd/>
        <w:snapToGrid w:val="0"/>
        <w:spacing w:line="64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w:t>
      </w:r>
      <w:r>
        <w:rPr>
          <w:rFonts w:hint="eastAsia" w:ascii="仿宋" w:hAnsi="仿宋" w:eastAsia="仿宋" w:cs="仿宋"/>
          <w:sz w:val="32"/>
          <w:szCs w:val="32"/>
        </w:rPr>
        <w:t>废水：</w:t>
      </w:r>
      <w:r>
        <w:rPr>
          <w:rFonts w:hint="eastAsia" w:ascii="仿宋" w:hAnsi="仿宋" w:eastAsia="仿宋" w:cs="仿宋"/>
          <w:sz w:val="32"/>
          <w:szCs w:val="32"/>
          <w:lang w:eastAsia="zh-CN"/>
        </w:rPr>
        <w:t>该</w:t>
      </w:r>
      <w:r>
        <w:rPr>
          <w:rFonts w:hint="eastAsia" w:ascii="仿宋" w:hAnsi="仿宋" w:eastAsia="仿宋" w:cs="仿宋"/>
          <w:sz w:val="32"/>
          <w:szCs w:val="32"/>
        </w:rPr>
        <w:t>项目废水主要为</w:t>
      </w:r>
      <w:r>
        <w:rPr>
          <w:rFonts w:hint="default" w:ascii="仿宋" w:hAnsi="仿宋" w:eastAsia="仿宋" w:cs="仿宋"/>
          <w:sz w:val="32"/>
          <w:szCs w:val="32"/>
          <w:lang w:val="en-US" w:eastAsia="zh-CN"/>
        </w:rPr>
        <w:t>职工盥洗污水以及职工</w:t>
      </w:r>
      <w:r>
        <w:rPr>
          <w:rFonts w:hint="eastAsia" w:ascii="仿宋" w:hAnsi="仿宋" w:eastAsia="仿宋" w:cs="仿宋"/>
          <w:sz w:val="32"/>
          <w:szCs w:val="32"/>
          <w:lang w:val="en-US" w:eastAsia="zh-CN"/>
        </w:rPr>
        <w:t>食堂污水，职工盥洗污水</w:t>
      </w:r>
      <w:r>
        <w:rPr>
          <w:rFonts w:hint="default" w:ascii="仿宋" w:hAnsi="仿宋" w:eastAsia="仿宋" w:cs="仿宋"/>
          <w:sz w:val="32"/>
          <w:szCs w:val="32"/>
          <w:lang w:val="en-US" w:eastAsia="zh-CN"/>
        </w:rPr>
        <w:t>采取化粪池预处理后排入园区污水处理厂</w:t>
      </w:r>
      <w:r>
        <w:rPr>
          <w:rFonts w:hint="eastAsia" w:ascii="仿宋" w:hAnsi="仿宋" w:eastAsia="仿宋" w:cs="仿宋"/>
          <w:sz w:val="32"/>
          <w:szCs w:val="32"/>
          <w:lang w:val="en-US" w:eastAsia="zh-CN"/>
        </w:rPr>
        <w:t>；职工食堂污水</w:t>
      </w:r>
      <w:r>
        <w:rPr>
          <w:rFonts w:hint="default" w:ascii="仿宋" w:hAnsi="仿宋" w:eastAsia="仿宋" w:cs="仿宋"/>
          <w:sz w:val="32"/>
          <w:szCs w:val="32"/>
          <w:lang w:val="en-US" w:eastAsia="zh-CN"/>
        </w:rPr>
        <w:t>采取隔油池预处理后排入园区污水处理厂</w:t>
      </w:r>
      <w:r>
        <w:rPr>
          <w:rFonts w:hint="eastAsia" w:ascii="仿宋" w:hAnsi="仿宋" w:eastAsia="仿宋" w:cs="仿宋"/>
          <w:sz w:val="32"/>
          <w:szCs w:val="32"/>
          <w:lang w:val="en-US" w:eastAsia="zh-CN"/>
        </w:rPr>
        <w:t>，生产过程中无废水产生。</w:t>
      </w:r>
    </w:p>
    <w:p>
      <w:pPr>
        <w:pStyle w:val="2"/>
        <w:rPr>
          <w:rFonts w:hint="eastAsia"/>
          <w:lang w:val="en-US" w:eastAsia="zh-CN"/>
        </w:rPr>
      </w:pPr>
    </w:p>
    <w:p>
      <w:pPr>
        <w:keepNext w:val="0"/>
        <w:keepLines w:val="0"/>
        <w:pageBreakBefore w:val="0"/>
        <w:widowControl w:val="0"/>
        <w:numPr>
          <w:ilvl w:val="0"/>
          <w:numId w:val="3"/>
        </w:numPr>
        <w:kinsoku/>
        <w:wordWrap/>
        <w:overflowPunct/>
        <w:topLinePunct w:val="0"/>
        <w:autoSpaceDE/>
        <w:autoSpaceDN/>
        <w:bidi w:val="0"/>
        <w:adjustRightInd/>
        <w:snapToGrid w:val="0"/>
        <w:spacing w:line="640" w:lineRule="exact"/>
        <w:ind w:firstLine="640" w:firstLineChars="200"/>
        <w:textAlignment w:val="auto"/>
        <w:rPr>
          <w:rFonts w:hint="eastAsia" w:ascii="仿宋" w:hAnsi="仿宋" w:eastAsia="仿宋" w:cs="仿宋"/>
          <w:sz w:val="32"/>
          <w:szCs w:val="32"/>
          <w:lang w:val="en-US" w:eastAsia="zh-CN"/>
        </w:rPr>
      </w:pPr>
      <w:bookmarkStart w:id="0" w:name="_GoBack"/>
      <w:bookmarkEnd w:id="0"/>
      <w:r>
        <w:rPr>
          <w:rFonts w:hint="eastAsia" w:ascii="仿宋" w:hAnsi="仿宋" w:eastAsia="仿宋" w:cs="仿宋"/>
          <w:sz w:val="32"/>
          <w:szCs w:val="32"/>
          <w:lang w:val="en-US" w:eastAsia="zh-CN"/>
        </w:rPr>
        <w:t>噪声：该项目噪声主要为生产设备运行时产生的噪声。在满足工艺和安全生产前提下，将噪声设备集中安排，增大主要噪声源与厂界的距离，并保持厂房密闭，以减小对厂界的影响；选用先进的低噪声设备，从声源上降低设备本身噪声；</w:t>
      </w:r>
      <w:r>
        <w:rPr>
          <w:rFonts w:hint="default" w:ascii="仿宋" w:hAnsi="仿宋" w:eastAsia="仿宋" w:cs="仿宋"/>
          <w:sz w:val="32"/>
          <w:szCs w:val="32"/>
          <w:lang w:val="en-US" w:eastAsia="zh-CN"/>
        </w:rPr>
        <w:t>加强设备的维护，设置基础减震，安装消声器等。</w:t>
      </w:r>
      <w:r>
        <w:rPr>
          <w:rFonts w:hint="eastAsia" w:ascii="仿宋" w:hAnsi="仿宋" w:eastAsia="仿宋" w:cs="仿宋"/>
          <w:sz w:val="32"/>
          <w:szCs w:val="32"/>
          <w:lang w:val="en-US" w:eastAsia="zh-CN"/>
        </w:rPr>
        <w:t>通过采取上述措施后，再经过距离衰减及绿化吸声后厂界噪声</w:t>
      </w:r>
      <w:r>
        <w:rPr>
          <w:rFonts w:hint="default" w:ascii="仿宋" w:hAnsi="仿宋" w:eastAsia="仿宋" w:cs="仿宋"/>
          <w:sz w:val="32"/>
          <w:szCs w:val="32"/>
          <w:lang w:val="en-US" w:eastAsia="zh-CN"/>
        </w:rPr>
        <w:t>可达到《工业企业厂界环境噪声排放标准》（GB 12348-2008）中3类标准限值的要求</w:t>
      </w:r>
      <w:r>
        <w:rPr>
          <w:rFonts w:hint="eastAsia" w:ascii="仿宋" w:hAnsi="仿宋" w:eastAsia="仿宋" w:cs="仿宋"/>
          <w:sz w:val="32"/>
          <w:szCs w:val="32"/>
          <w:lang w:val="en-US" w:eastAsia="zh-CN"/>
        </w:rPr>
        <w:t>。</w:t>
      </w:r>
    </w:p>
    <w:p>
      <w:pPr>
        <w:pStyle w:val="2"/>
        <w:numPr>
          <w:ilvl w:val="0"/>
          <w:numId w:val="0"/>
        </w:numPr>
        <w:rPr>
          <w:rFonts w:hint="eastAsia"/>
          <w:lang w:val="en-US" w:eastAsia="zh-CN"/>
        </w:rPr>
      </w:pPr>
    </w:p>
    <w:p>
      <w:pPr>
        <w:keepNext w:val="0"/>
        <w:keepLines w:val="0"/>
        <w:pageBreakBefore w:val="0"/>
        <w:widowControl w:val="0"/>
        <w:kinsoku/>
        <w:wordWrap/>
        <w:overflowPunct/>
        <w:topLinePunct w:val="0"/>
        <w:autoSpaceDE/>
        <w:autoSpaceDN/>
        <w:bidi w:val="0"/>
        <w:adjustRightInd/>
        <w:snapToGrid w:val="0"/>
        <w:spacing w:line="64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（4）固体废物：该项目固体废物主要为</w:t>
      </w:r>
      <w:r>
        <w:rPr>
          <w:rFonts w:hint="default" w:ascii="仿宋" w:hAnsi="仿宋" w:eastAsia="仿宋" w:cs="仿宋"/>
          <w:sz w:val="32"/>
          <w:szCs w:val="32"/>
          <w:lang w:val="zh-CN" w:eastAsia="zh-CN"/>
        </w:rPr>
        <w:t>职工生活垃圾、</w:t>
      </w:r>
      <w:r>
        <w:rPr>
          <w:rFonts w:hint="default" w:ascii="仿宋" w:hAnsi="仿宋" w:eastAsia="仿宋" w:cs="仿宋"/>
          <w:sz w:val="32"/>
          <w:szCs w:val="32"/>
          <w:lang w:val="en-US" w:eastAsia="zh-CN"/>
        </w:rPr>
        <w:t>厨余垃圾</w:t>
      </w:r>
      <w:r>
        <w:rPr>
          <w:rFonts w:hint="eastAsia" w:ascii="仿宋" w:hAnsi="仿宋" w:eastAsia="仿宋" w:cs="仿宋"/>
          <w:sz w:val="32"/>
          <w:szCs w:val="32"/>
          <w:lang w:val="en-US" w:eastAsia="zh-CN"/>
        </w:rPr>
        <w:t>、</w:t>
      </w:r>
      <w:r>
        <w:rPr>
          <w:rFonts w:hint="default" w:ascii="仿宋" w:hAnsi="仿宋" w:eastAsia="仿宋" w:cs="仿宋"/>
          <w:sz w:val="32"/>
          <w:szCs w:val="32"/>
          <w:lang w:val="zh-CN" w:eastAsia="zh-CN"/>
        </w:rPr>
        <w:t>废拉丝粉、下脚料及废金属件、废垫片、</w:t>
      </w:r>
      <w:r>
        <w:rPr>
          <w:rFonts w:hint="eastAsia" w:ascii="仿宋" w:hAnsi="仿宋" w:eastAsia="仿宋" w:cs="仿宋"/>
          <w:sz w:val="32"/>
          <w:szCs w:val="32"/>
          <w:lang w:val="zh-CN" w:eastAsia="zh-CN"/>
        </w:rPr>
        <w:t>油泥</w:t>
      </w:r>
      <w:r>
        <w:rPr>
          <w:rFonts w:hint="default" w:ascii="仿宋" w:hAnsi="仿宋" w:eastAsia="仿宋" w:cs="仿宋"/>
          <w:sz w:val="32"/>
          <w:szCs w:val="32"/>
          <w:lang w:val="zh-CN" w:eastAsia="zh-CN"/>
        </w:rPr>
        <w:t>、废油桶、</w:t>
      </w:r>
      <w:r>
        <w:rPr>
          <w:rFonts w:hint="default" w:ascii="仿宋" w:hAnsi="仿宋" w:eastAsia="仿宋" w:cs="仿宋"/>
          <w:sz w:val="32"/>
          <w:szCs w:val="32"/>
          <w:lang w:val="en-US" w:eastAsia="zh-CN"/>
        </w:rPr>
        <w:t>净化装置回收的润滑油</w:t>
      </w:r>
      <w:r>
        <w:rPr>
          <w:rFonts w:hint="default" w:ascii="仿宋" w:hAnsi="仿宋" w:eastAsia="仿宋" w:cs="仿宋"/>
          <w:sz w:val="32"/>
          <w:szCs w:val="32"/>
          <w:lang w:val="zh-CN" w:eastAsia="zh-CN"/>
        </w:rPr>
        <w:t>、</w:t>
      </w:r>
      <w:r>
        <w:rPr>
          <w:rFonts w:hint="default" w:ascii="仿宋" w:hAnsi="仿宋" w:eastAsia="仿宋" w:cs="仿宋"/>
          <w:sz w:val="32"/>
          <w:szCs w:val="32"/>
          <w:lang w:val="en-US" w:eastAsia="zh-CN"/>
        </w:rPr>
        <w:t>废活性炭</w:t>
      </w:r>
      <w:r>
        <w:rPr>
          <w:rFonts w:hint="eastAsia" w:ascii="仿宋" w:hAnsi="仿宋" w:eastAsia="仿宋" w:cs="仿宋"/>
          <w:sz w:val="32"/>
          <w:szCs w:val="32"/>
          <w:lang w:val="en-US" w:eastAsia="zh-CN"/>
        </w:rPr>
        <w:t>。生活垃圾、</w:t>
      </w:r>
      <w:r>
        <w:rPr>
          <w:rFonts w:hint="default" w:ascii="仿宋" w:hAnsi="仿宋" w:eastAsia="仿宋" w:cs="仿宋"/>
          <w:sz w:val="32"/>
          <w:szCs w:val="32"/>
          <w:lang w:val="en-US" w:eastAsia="zh-CN"/>
        </w:rPr>
        <w:t>厨余垃圾</w:t>
      </w:r>
      <w:r>
        <w:rPr>
          <w:rFonts w:hint="eastAsia" w:ascii="仿宋" w:hAnsi="仿宋" w:eastAsia="仿宋" w:cs="仿宋"/>
          <w:sz w:val="32"/>
          <w:szCs w:val="32"/>
          <w:lang w:val="en-US" w:eastAsia="zh-CN"/>
        </w:rPr>
        <w:t>源于职工日常生活办公，委托环卫部门定期清运；</w:t>
      </w:r>
      <w:r>
        <w:rPr>
          <w:rFonts w:hint="default" w:ascii="仿宋" w:hAnsi="仿宋" w:eastAsia="仿宋" w:cs="仿宋"/>
          <w:sz w:val="32"/>
          <w:szCs w:val="32"/>
          <w:lang w:val="zh-CN" w:eastAsia="zh-CN"/>
        </w:rPr>
        <w:t>废拉丝粉</w:t>
      </w:r>
      <w:r>
        <w:rPr>
          <w:rFonts w:hint="eastAsia" w:ascii="仿宋" w:hAnsi="仿宋" w:eastAsia="仿宋" w:cs="仿宋"/>
          <w:sz w:val="32"/>
          <w:szCs w:val="32"/>
          <w:lang w:val="zh-CN" w:eastAsia="zh-CN"/>
        </w:rPr>
        <w:t>、</w:t>
      </w:r>
      <w:r>
        <w:rPr>
          <w:rFonts w:hint="default" w:ascii="仿宋" w:hAnsi="仿宋" w:eastAsia="仿宋" w:cs="仿宋"/>
          <w:sz w:val="32"/>
          <w:szCs w:val="32"/>
          <w:lang w:val="en-US" w:eastAsia="zh-CN"/>
        </w:rPr>
        <w:t>下脚料及废金属件</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废垫片集中收集后外售处理</w:t>
      </w:r>
      <w:r>
        <w:rPr>
          <w:rFonts w:hint="eastAsia" w:ascii="仿宋" w:hAnsi="仿宋" w:eastAsia="仿宋" w:cs="仿宋"/>
          <w:sz w:val="32"/>
          <w:szCs w:val="32"/>
          <w:lang w:val="en-US" w:eastAsia="zh-CN"/>
        </w:rPr>
        <w:t>；</w:t>
      </w:r>
      <w:r>
        <w:rPr>
          <w:rFonts w:hint="eastAsia" w:ascii="仿宋" w:hAnsi="仿宋" w:eastAsia="仿宋" w:cs="仿宋"/>
          <w:sz w:val="32"/>
          <w:szCs w:val="32"/>
          <w:lang w:val="zh-CN" w:eastAsia="zh-CN"/>
        </w:rPr>
        <w:t>油泥</w:t>
      </w:r>
      <w:r>
        <w:rPr>
          <w:rFonts w:hint="default" w:ascii="仿宋" w:hAnsi="仿宋" w:eastAsia="仿宋" w:cs="仿宋"/>
          <w:sz w:val="32"/>
          <w:szCs w:val="32"/>
          <w:lang w:val="zh-CN" w:eastAsia="zh-CN"/>
        </w:rPr>
        <w:t>、废油桶</w:t>
      </w:r>
      <w:r>
        <w:rPr>
          <w:rFonts w:hint="eastAsia" w:ascii="仿宋" w:hAnsi="仿宋" w:eastAsia="仿宋" w:cs="仿宋"/>
          <w:sz w:val="32"/>
          <w:szCs w:val="32"/>
          <w:lang w:val="zh-CN" w:eastAsia="zh-CN"/>
        </w:rPr>
        <w:t>、</w:t>
      </w:r>
      <w:r>
        <w:rPr>
          <w:rFonts w:hint="default" w:ascii="仿宋" w:hAnsi="仿宋" w:eastAsia="仿宋" w:cs="仿宋"/>
          <w:sz w:val="32"/>
          <w:szCs w:val="32"/>
          <w:lang w:val="en-US" w:eastAsia="zh-CN"/>
        </w:rPr>
        <w:t>废活性炭定期由资质的单位处</w:t>
      </w:r>
      <w:r>
        <w:rPr>
          <w:rFonts w:hint="eastAsia" w:ascii="仿宋" w:hAnsi="仿宋" w:eastAsia="仿宋" w:cs="仿宋"/>
          <w:sz w:val="32"/>
          <w:szCs w:val="32"/>
          <w:lang w:val="en-US" w:eastAsia="zh-CN"/>
        </w:rPr>
        <w:t>置；</w:t>
      </w:r>
      <w:r>
        <w:rPr>
          <w:rFonts w:hint="default" w:ascii="仿宋" w:hAnsi="仿宋" w:eastAsia="仿宋" w:cs="仿宋"/>
          <w:sz w:val="32"/>
          <w:szCs w:val="32"/>
          <w:lang w:val="zh-CN" w:eastAsia="zh-CN"/>
        </w:rPr>
        <w:t>净化装置回收的润滑油</w:t>
      </w:r>
      <w:r>
        <w:rPr>
          <w:rFonts w:hint="eastAsia" w:ascii="仿宋" w:hAnsi="仿宋" w:eastAsia="仿宋" w:cs="仿宋"/>
          <w:sz w:val="32"/>
          <w:szCs w:val="32"/>
          <w:lang w:val="en-US" w:eastAsia="zh-CN"/>
        </w:rPr>
        <w:t>经存油池沉淀后循环使用，不作为危险废物处置</w:t>
      </w:r>
      <w:r>
        <w:rPr>
          <w:rFonts w:hint="default" w:ascii="仿宋" w:hAnsi="仿宋" w:eastAsia="仿宋" w:cs="仿宋"/>
          <w:sz w:val="32"/>
          <w:szCs w:val="32"/>
          <w:lang w:val="en-US" w:eastAsia="zh-CN"/>
        </w:rPr>
        <w:t>。</w:t>
      </w:r>
    </w:p>
    <w:p>
      <w:pPr>
        <w:pStyle w:val="2"/>
        <w:rPr>
          <w:rFonts w:hint="eastAsia"/>
          <w:lang w:val="en-US" w:eastAsia="zh-CN"/>
        </w:rPr>
      </w:pPr>
    </w:p>
    <w:p>
      <w:pPr>
        <w:keepNext w:val="0"/>
        <w:keepLines w:val="0"/>
        <w:pageBreakBefore w:val="0"/>
        <w:widowControl w:val="0"/>
        <w:numPr>
          <w:ilvl w:val="0"/>
          <w:numId w:val="4"/>
        </w:numPr>
        <w:kinsoku/>
        <w:wordWrap/>
        <w:overflowPunct/>
        <w:topLinePunct w:val="0"/>
        <w:autoSpaceDE/>
        <w:autoSpaceDN/>
        <w:bidi w:val="0"/>
        <w:adjustRightInd/>
        <w:snapToGrid w:val="0"/>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项目建设必须严格执行配套建设的环境保护设施与主体工程同时设计、同时施工、同时投产使用的环境保护“三同时”制度。</w:t>
      </w:r>
    </w:p>
    <w:p>
      <w:pPr>
        <w:pStyle w:val="2"/>
        <w:numPr>
          <w:ilvl w:val="0"/>
          <w:numId w:val="0"/>
        </w:numPr>
        <w:rPr>
          <w:rFonts w:hint="eastAsia"/>
        </w:rPr>
      </w:pPr>
    </w:p>
    <w:p>
      <w:pPr>
        <w:keepNext w:val="0"/>
        <w:keepLines w:val="0"/>
        <w:pageBreakBefore w:val="0"/>
        <w:widowControl w:val="0"/>
        <w:numPr>
          <w:ilvl w:val="0"/>
          <w:numId w:val="4"/>
        </w:numPr>
        <w:kinsoku/>
        <w:wordWrap/>
        <w:overflowPunct/>
        <w:topLinePunct w:val="0"/>
        <w:autoSpaceDE/>
        <w:autoSpaceDN/>
        <w:bidi w:val="0"/>
        <w:adjustRightInd/>
        <w:snapToGrid w:val="0"/>
        <w:spacing w:line="64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该项目如可研审查或设计和施工变化造成项目性质、规模、工艺和选址或者防治生态破坏、防治污染的措施发生重大变动的，应当在调整前重新报批本项目环境影响评价文件。工程自批复之日起五年后方决定开工建设的，需将环评文件报我局重新审核。</w:t>
      </w:r>
    </w:p>
    <w:p>
      <w:pPr>
        <w:pStyle w:val="2"/>
        <w:numPr>
          <w:ilvl w:val="0"/>
          <w:numId w:val="0"/>
        </w:numPr>
        <w:ind w:leftChars="200"/>
        <w:rPr>
          <w:rFonts w:hint="eastAsia"/>
        </w:rPr>
      </w:pPr>
    </w:p>
    <w:p>
      <w:pPr>
        <w:keepNext w:val="0"/>
        <w:keepLines w:val="0"/>
        <w:pageBreakBefore w:val="0"/>
        <w:widowControl w:val="0"/>
        <w:numPr>
          <w:ilvl w:val="0"/>
          <w:numId w:val="4"/>
        </w:numPr>
        <w:kinsoku/>
        <w:wordWrap/>
        <w:overflowPunct/>
        <w:topLinePunct w:val="0"/>
        <w:autoSpaceDE/>
        <w:autoSpaceDN/>
        <w:bidi w:val="0"/>
        <w:adjustRightInd/>
        <w:snapToGrid w:val="0"/>
        <w:spacing w:line="64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按照关于印发《建设项目环境保护事中事后监督管理办法（试行）》（环发﹝2015﹞163号）及其他文件要求，本项目环保方面的事中事后监督管理由邯郸市生态环境局魏县分局负责。你公司按规定接受各级环境保护行政主管部门的日常监督管理。</w:t>
      </w:r>
    </w:p>
    <w:p>
      <w:pPr>
        <w:pStyle w:val="2"/>
        <w:numPr>
          <w:ilvl w:val="0"/>
          <w:numId w:val="0"/>
        </w:numPr>
        <w:ind w:leftChars="200"/>
        <w:rPr>
          <w:rFonts w:hint="eastAsia"/>
        </w:rPr>
      </w:pPr>
    </w:p>
    <w:p>
      <w:pPr>
        <w:keepNext w:val="0"/>
        <w:keepLines w:val="0"/>
        <w:pageBreakBefore w:val="0"/>
        <w:widowControl w:val="0"/>
        <w:kinsoku/>
        <w:wordWrap/>
        <w:overflowPunct/>
        <w:topLinePunct w:val="0"/>
        <w:autoSpaceDE/>
        <w:autoSpaceDN/>
        <w:bidi w:val="0"/>
        <w:adjustRightInd/>
        <w:snapToGrid w:val="0"/>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七、本批复仅代表环评方面意见，在认真落实环境影响报告表提出的各项污染防治措施的基础上，从环保角度分析，项目建设可行。按照法律规定，项目开工建设和投产使用还需土地、规划等其他方面手续，请你单位尽快到相关部门办理其他相关手续，相关部门出具意见之前不得开工建设。</w:t>
      </w:r>
    </w:p>
    <w:p>
      <w:pPr>
        <w:keepNext w:val="0"/>
        <w:keepLines w:val="0"/>
        <w:pageBreakBefore w:val="0"/>
        <w:widowControl w:val="0"/>
        <w:kinsoku/>
        <w:wordWrap/>
        <w:overflowPunct/>
        <w:topLinePunct w:val="0"/>
        <w:autoSpaceDE/>
        <w:autoSpaceDN/>
        <w:bidi w:val="0"/>
        <w:adjustRightInd/>
        <w:snapToGrid w:val="0"/>
        <w:spacing w:line="640" w:lineRule="exact"/>
        <w:textAlignment w:val="auto"/>
        <w:rPr>
          <w:rFonts w:hint="eastAsia" w:ascii="仿宋" w:hAnsi="仿宋" w:eastAsia="仿宋" w:cs="仿宋"/>
          <w:color w:val="auto"/>
          <w:sz w:val="32"/>
          <w:szCs w:val="32"/>
        </w:rPr>
      </w:pPr>
    </w:p>
    <w:p>
      <w:pPr>
        <w:keepNext w:val="0"/>
        <w:keepLines w:val="0"/>
        <w:pageBreakBefore w:val="0"/>
        <w:widowControl w:val="0"/>
        <w:kinsoku/>
        <w:wordWrap/>
        <w:overflowPunct/>
        <w:topLinePunct w:val="0"/>
        <w:autoSpaceDE/>
        <w:autoSpaceDN/>
        <w:bidi w:val="0"/>
        <w:adjustRightInd/>
        <w:snapToGrid w:val="0"/>
        <w:spacing w:line="640" w:lineRule="exact"/>
        <w:ind w:firstLine="5760" w:firstLineChars="1800"/>
        <w:textAlignment w:val="auto"/>
        <w:rPr>
          <w:rFonts w:hint="eastAsia" w:ascii="仿宋" w:hAnsi="仿宋" w:eastAsia="仿宋" w:cs="仿宋"/>
          <w:color w:val="auto"/>
          <w:sz w:val="32"/>
          <w:szCs w:val="32"/>
        </w:rPr>
      </w:pPr>
    </w:p>
    <w:p>
      <w:pPr>
        <w:keepNext w:val="0"/>
        <w:keepLines w:val="0"/>
        <w:pageBreakBefore w:val="0"/>
        <w:widowControl w:val="0"/>
        <w:kinsoku/>
        <w:wordWrap/>
        <w:overflowPunct/>
        <w:topLinePunct w:val="0"/>
        <w:autoSpaceDE/>
        <w:autoSpaceDN/>
        <w:bidi w:val="0"/>
        <w:adjustRightInd/>
        <w:snapToGrid w:val="0"/>
        <w:spacing w:line="640" w:lineRule="exact"/>
        <w:textAlignment w:val="auto"/>
        <w:rPr>
          <w:rFonts w:hint="eastAsia" w:ascii="仿宋" w:hAnsi="仿宋" w:eastAsia="仿宋" w:cs="仿宋"/>
          <w:color w:val="auto"/>
          <w:sz w:val="32"/>
          <w:szCs w:val="32"/>
        </w:rPr>
      </w:pPr>
    </w:p>
    <w:p>
      <w:pPr>
        <w:keepNext w:val="0"/>
        <w:keepLines w:val="0"/>
        <w:pageBreakBefore w:val="0"/>
        <w:widowControl w:val="0"/>
        <w:kinsoku/>
        <w:wordWrap/>
        <w:overflowPunct/>
        <w:topLinePunct w:val="0"/>
        <w:autoSpaceDE/>
        <w:autoSpaceDN/>
        <w:bidi w:val="0"/>
        <w:adjustRightInd/>
        <w:snapToGrid w:val="0"/>
        <w:spacing w:line="640" w:lineRule="exact"/>
        <w:ind w:firstLine="5760" w:firstLineChars="18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魏县行政审批局</w:t>
      </w:r>
    </w:p>
    <w:p>
      <w:pPr>
        <w:keepNext w:val="0"/>
        <w:keepLines w:val="0"/>
        <w:pageBreakBefore w:val="0"/>
        <w:widowControl w:val="0"/>
        <w:kinsoku/>
        <w:wordWrap/>
        <w:overflowPunct/>
        <w:topLinePunct w:val="0"/>
        <w:autoSpaceDE/>
        <w:autoSpaceDN/>
        <w:bidi w:val="0"/>
        <w:adjustRightInd/>
        <w:snapToGrid w:val="0"/>
        <w:spacing w:line="640" w:lineRule="exact"/>
        <w:ind w:firstLine="5440" w:firstLineChars="17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二〇二</w:t>
      </w:r>
      <w:r>
        <w:rPr>
          <w:rFonts w:hint="eastAsia" w:ascii="仿宋" w:hAnsi="仿宋" w:eastAsia="仿宋" w:cs="仿宋"/>
          <w:color w:val="auto"/>
          <w:sz w:val="32"/>
          <w:szCs w:val="32"/>
          <w:lang w:eastAsia="zh-CN"/>
        </w:rPr>
        <w:t>一</w:t>
      </w:r>
      <w:r>
        <w:rPr>
          <w:rFonts w:hint="eastAsia" w:ascii="仿宋" w:hAnsi="仿宋" w:eastAsia="仿宋" w:cs="仿宋"/>
          <w:color w:val="auto"/>
          <w:sz w:val="32"/>
          <w:szCs w:val="32"/>
        </w:rPr>
        <w:t>年</w:t>
      </w:r>
      <w:r>
        <w:rPr>
          <w:rFonts w:hint="eastAsia" w:ascii="仿宋" w:hAnsi="仿宋" w:eastAsia="仿宋" w:cs="仿宋"/>
          <w:color w:val="auto"/>
          <w:sz w:val="32"/>
          <w:szCs w:val="32"/>
          <w:lang w:eastAsia="zh-CN"/>
        </w:rPr>
        <w:t>九</w:t>
      </w:r>
      <w:r>
        <w:rPr>
          <w:rFonts w:hint="eastAsia" w:ascii="仿宋" w:hAnsi="仿宋" w:eastAsia="仿宋" w:cs="仿宋"/>
          <w:color w:val="auto"/>
          <w:sz w:val="32"/>
          <w:szCs w:val="32"/>
        </w:rPr>
        <w:t>月</w:t>
      </w:r>
      <w:r>
        <w:rPr>
          <w:rFonts w:hint="eastAsia" w:ascii="仿宋" w:hAnsi="仿宋" w:eastAsia="仿宋" w:cs="仿宋"/>
          <w:color w:val="auto"/>
          <w:sz w:val="32"/>
          <w:szCs w:val="32"/>
          <w:lang w:eastAsia="zh-CN"/>
        </w:rPr>
        <w:t>三十</w:t>
      </w:r>
      <w:r>
        <w:rPr>
          <w:rFonts w:hint="eastAsia" w:ascii="仿宋" w:hAnsi="仿宋" w:eastAsia="仿宋" w:cs="仿宋"/>
          <w:color w:val="auto"/>
          <w:sz w:val="32"/>
          <w:szCs w:val="32"/>
        </w:rPr>
        <w:t>日</w:t>
      </w:r>
    </w:p>
    <w:p>
      <w:pPr>
        <w:keepNext w:val="0"/>
        <w:keepLines w:val="0"/>
        <w:pageBreakBefore w:val="0"/>
        <w:widowControl w:val="0"/>
        <w:kinsoku/>
        <w:wordWrap/>
        <w:overflowPunct/>
        <w:topLinePunct w:val="0"/>
        <w:autoSpaceDE/>
        <w:autoSpaceDN/>
        <w:bidi w:val="0"/>
        <w:adjustRightInd/>
        <w:spacing w:line="640" w:lineRule="exact"/>
        <w:textAlignment w:val="auto"/>
        <w:rPr>
          <w:rFonts w:hint="eastAsia" w:ascii="仿宋" w:hAnsi="仿宋" w:eastAsia="仿宋" w:cs="仿宋"/>
          <w:color w:val="auto"/>
          <w:sz w:val="32"/>
          <w:szCs w:val="32"/>
        </w:rPr>
      </w:pPr>
    </w:p>
    <w:p>
      <w:pPr>
        <w:keepNext w:val="0"/>
        <w:keepLines w:val="0"/>
        <w:pageBreakBefore w:val="0"/>
        <w:widowControl w:val="0"/>
        <w:kinsoku/>
        <w:wordWrap/>
        <w:overflowPunct/>
        <w:topLinePunct w:val="0"/>
        <w:autoSpaceDE/>
        <w:autoSpaceDN/>
        <w:bidi w:val="0"/>
        <w:adjustRightInd/>
        <w:spacing w:line="640" w:lineRule="exact"/>
        <w:textAlignment w:val="auto"/>
        <w:rPr>
          <w:rFonts w:ascii="Times New Roman" w:hAnsi="Times New Roman" w:eastAsia="仿宋_GB2312" w:cs="Times New Roman"/>
          <w:color w:val="auto"/>
          <w:sz w:val="28"/>
          <w:szCs w:val="28"/>
        </w:rPr>
      </w:pPr>
    </w:p>
    <w:p>
      <w:pPr>
        <w:keepNext w:val="0"/>
        <w:keepLines w:val="0"/>
        <w:pageBreakBefore w:val="0"/>
        <w:widowControl w:val="0"/>
        <w:kinsoku/>
        <w:wordWrap/>
        <w:overflowPunct/>
        <w:topLinePunct w:val="0"/>
        <w:autoSpaceDE/>
        <w:autoSpaceDN/>
        <w:bidi w:val="0"/>
        <w:adjustRightInd/>
        <w:spacing w:line="640" w:lineRule="exact"/>
        <w:textAlignment w:val="auto"/>
        <w:rPr>
          <w:rFonts w:ascii="Times New Roman" w:hAnsi="Times New Roman" w:eastAsia="仿宋_GB2312" w:cs="Times New Roman"/>
          <w:color w:val="auto"/>
          <w:sz w:val="28"/>
          <w:szCs w:val="28"/>
        </w:rPr>
      </w:pPr>
    </w:p>
    <w:p>
      <w:pPr>
        <w:pStyle w:val="2"/>
        <w:rPr>
          <w:rFonts w:ascii="Times New Roman" w:hAnsi="Times New Roman" w:eastAsia="仿宋_GB2312" w:cs="Times New Roman"/>
          <w:color w:val="auto"/>
          <w:sz w:val="28"/>
          <w:szCs w:val="28"/>
        </w:rPr>
      </w:pPr>
    </w:p>
    <w:p>
      <w:pPr>
        <w:rPr>
          <w:rFonts w:ascii="Times New Roman" w:hAnsi="Times New Roman" w:eastAsia="仿宋_GB2312" w:cs="Times New Roman"/>
          <w:color w:val="auto"/>
          <w:sz w:val="28"/>
          <w:szCs w:val="28"/>
        </w:rPr>
      </w:pPr>
    </w:p>
    <w:p>
      <w:pPr>
        <w:pStyle w:val="2"/>
        <w:rPr>
          <w:rFonts w:ascii="Times New Roman" w:hAnsi="Times New Roman" w:eastAsia="仿宋_GB2312" w:cs="Times New Roman"/>
          <w:color w:val="auto"/>
          <w:sz w:val="28"/>
          <w:szCs w:val="28"/>
        </w:rPr>
      </w:pPr>
    </w:p>
    <w:p>
      <w:pPr>
        <w:pStyle w:val="3"/>
        <w:numPr>
          <w:ilvl w:val="3"/>
          <w:numId w:val="0"/>
        </w:numPr>
        <w:ind w:leftChars="0"/>
        <w:rPr>
          <w:rFonts w:ascii="Times New Roman" w:hAnsi="Times New Roman" w:eastAsia="仿宋_GB2312" w:cs="Times New Roman"/>
          <w:color w:val="auto"/>
          <w:sz w:val="28"/>
          <w:szCs w:val="28"/>
        </w:rPr>
      </w:pPr>
    </w:p>
    <w:p>
      <w:pPr>
        <w:rPr>
          <w:rFonts w:ascii="Times New Roman" w:hAnsi="Times New Roman" w:eastAsia="仿宋_GB2312" w:cs="Times New Roman"/>
          <w:color w:val="auto"/>
          <w:sz w:val="28"/>
          <w:szCs w:val="28"/>
        </w:rPr>
      </w:pPr>
    </w:p>
    <w:p>
      <w:pPr>
        <w:pStyle w:val="2"/>
      </w:pPr>
    </w:p>
    <w:p>
      <w:pPr>
        <w:pStyle w:val="3"/>
        <w:numPr>
          <w:ilvl w:val="3"/>
          <w:numId w:val="0"/>
        </w:numPr>
        <w:ind w:leftChars="0"/>
      </w:pPr>
    </w:p>
    <w:p/>
    <w:p>
      <w:pPr>
        <w:pStyle w:val="2"/>
      </w:pPr>
    </w:p>
    <w:p>
      <w:pPr>
        <w:pStyle w:val="3"/>
        <w:numPr>
          <w:ilvl w:val="3"/>
          <w:numId w:val="0"/>
        </w:numPr>
        <w:ind w:leftChars="0"/>
      </w:pPr>
    </w:p>
    <w:p>
      <w:pPr>
        <w:keepNext w:val="0"/>
        <w:keepLines w:val="0"/>
        <w:pageBreakBefore w:val="0"/>
        <w:widowControl w:val="0"/>
        <w:kinsoku/>
        <w:wordWrap/>
        <w:overflowPunct/>
        <w:topLinePunct w:val="0"/>
        <w:autoSpaceDE/>
        <w:autoSpaceDN/>
        <w:bidi w:val="0"/>
        <w:adjustRightInd/>
        <w:spacing w:line="640" w:lineRule="exact"/>
        <w:textAlignment w:val="auto"/>
        <w:rPr>
          <w:rFonts w:ascii="Times New Roman" w:hAnsi="Times New Roman" w:eastAsia="仿宋_GB2312" w:cs="Times New Roman"/>
          <w:color w:val="auto"/>
          <w:sz w:val="28"/>
          <w:szCs w:val="28"/>
        </w:rPr>
      </w:pPr>
    </w:p>
    <w:p>
      <w:pPr>
        <w:keepNext w:val="0"/>
        <w:keepLines w:val="0"/>
        <w:pageBreakBefore w:val="0"/>
        <w:widowControl w:val="0"/>
        <w:kinsoku/>
        <w:wordWrap/>
        <w:overflowPunct/>
        <w:topLinePunct w:val="0"/>
        <w:autoSpaceDE/>
        <w:autoSpaceDN/>
        <w:bidi w:val="0"/>
        <w:adjustRightInd/>
        <w:spacing w:line="640" w:lineRule="exact"/>
        <w:textAlignment w:val="auto"/>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抄送：县大气办、邯郸市生态环境局魏县分局</w:t>
      </w:r>
    </w:p>
    <w:p>
      <w:pPr>
        <w:keepNext w:val="0"/>
        <w:keepLines w:val="0"/>
        <w:pageBreakBefore w:val="0"/>
        <w:widowControl w:val="0"/>
        <w:kinsoku/>
        <w:wordWrap/>
        <w:overflowPunct/>
        <w:topLinePunct w:val="0"/>
        <w:autoSpaceDE/>
        <w:autoSpaceDN/>
        <w:bidi w:val="0"/>
        <w:adjustRightInd/>
        <w:spacing w:line="640" w:lineRule="exact"/>
        <w:textAlignment w:val="auto"/>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pict>
          <v:line id="_x0000_s1028" o:spid="_x0000_s1028" o:spt="20" style="position:absolute;left:0pt;margin-left:1.25pt;margin-top:3pt;height:0pt;width:441pt;z-index:251659264;mso-width-relative:page;mso-height-relative:page;" coordsize="21600,21600" o:gfxdata="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ia3EO0gAAAAUBAAAPAAAAAAAAAAEA&#10;IAAAACIAAABkcnMvZG93bnJldi54bWxQSwECFAAUAAAACACHTuJAfo8WK9wBAACYAwAADgAAAAAA&#10;AAABACAAAAAhAQAAZHJzL2Uyb0RvYy54bWxQSwUGAAAAAAYABgBZAQAAbwUAAAAA&#10;">
            <v:path arrowok="t"/>
            <v:fill focussize="0,0"/>
            <v:stroke/>
            <v:imagedata o:title=""/>
            <o:lock v:ext="edit"/>
          </v:line>
        </w:pict>
      </w:r>
      <w:r>
        <w:rPr>
          <w:rFonts w:ascii="Times New Roman" w:hAnsi="Times New Roman" w:eastAsia="仿宋_GB2312" w:cs="Times New Roman"/>
          <w:color w:val="auto"/>
          <w:sz w:val="28"/>
          <w:szCs w:val="28"/>
        </w:rPr>
        <w:t>魏县行政审批局</w:t>
      </w:r>
      <w:r>
        <w:rPr>
          <w:rFonts w:hint="eastAsia" w:ascii="Times New Roman" w:hAnsi="Times New Roman" w:eastAsia="仿宋_GB2312" w:cs="Times New Roman"/>
          <w:color w:val="auto"/>
          <w:sz w:val="28"/>
          <w:szCs w:val="28"/>
        </w:rPr>
        <w:t>202</w:t>
      </w:r>
      <w:r>
        <w:rPr>
          <w:rFonts w:hint="eastAsia" w:ascii="Times New Roman" w:hAnsi="Times New Roman" w:eastAsia="仿宋_GB2312" w:cs="Times New Roman"/>
          <w:color w:val="auto"/>
          <w:sz w:val="28"/>
          <w:szCs w:val="28"/>
          <w:lang w:val="en-US" w:eastAsia="zh-CN"/>
        </w:rPr>
        <w:t>1</w:t>
      </w:r>
      <w:r>
        <w:rPr>
          <w:rFonts w:ascii="Times New Roman" w:hAnsi="Times New Roman" w:eastAsia="仿宋_GB2312" w:cs="Times New Roman"/>
          <w:color w:val="auto"/>
          <w:sz w:val="28"/>
          <w:szCs w:val="28"/>
        </w:rPr>
        <w:t>年</w:t>
      </w:r>
      <w:r>
        <w:rPr>
          <w:rFonts w:hint="eastAsia" w:ascii="Times New Roman" w:hAnsi="Times New Roman" w:eastAsia="仿宋_GB2312" w:cs="Times New Roman"/>
          <w:color w:val="auto"/>
          <w:sz w:val="28"/>
          <w:szCs w:val="28"/>
          <w:lang w:val="en-US" w:eastAsia="zh-CN"/>
        </w:rPr>
        <w:t>9</w:t>
      </w:r>
      <w:r>
        <w:rPr>
          <w:rFonts w:ascii="Times New Roman" w:hAnsi="Times New Roman" w:eastAsia="仿宋_GB2312" w:cs="Times New Roman"/>
          <w:color w:val="auto"/>
          <w:sz w:val="28"/>
          <w:szCs w:val="28"/>
        </w:rPr>
        <w:t>月</w:t>
      </w:r>
      <w:r>
        <w:rPr>
          <w:rFonts w:hint="eastAsia" w:ascii="Times New Roman" w:hAnsi="Times New Roman" w:eastAsia="仿宋_GB2312" w:cs="Times New Roman"/>
          <w:color w:val="auto"/>
          <w:sz w:val="28"/>
          <w:szCs w:val="28"/>
          <w:lang w:val="en-US" w:eastAsia="zh-CN"/>
        </w:rPr>
        <w:t>30</w:t>
      </w:r>
      <w:r>
        <w:rPr>
          <w:rFonts w:ascii="Times New Roman" w:hAnsi="Times New Roman" w:eastAsia="仿宋_GB2312" w:cs="Times New Roman"/>
          <w:color w:val="auto"/>
          <w:sz w:val="28"/>
          <w:szCs w:val="28"/>
        </w:rPr>
        <w:t>日</w:t>
      </w:r>
    </w:p>
    <w:p>
      <w:pPr>
        <w:keepNext w:val="0"/>
        <w:keepLines w:val="0"/>
        <w:pageBreakBefore w:val="0"/>
        <w:widowControl w:val="0"/>
        <w:kinsoku/>
        <w:wordWrap/>
        <w:overflowPunct/>
        <w:topLinePunct w:val="0"/>
        <w:autoSpaceDE/>
        <w:autoSpaceDN/>
        <w:bidi w:val="0"/>
        <w:adjustRightInd/>
        <w:spacing w:line="640" w:lineRule="exact"/>
        <w:ind w:firstLine="7000" w:firstLineChars="2500"/>
        <w:textAlignment w:val="auto"/>
        <w:rPr>
          <w:rFonts w:ascii="Times New Roman" w:hAnsi="Times New Roman" w:cs="Times New Roman"/>
          <w:color w:val="auto"/>
          <w:sz w:val="28"/>
          <w:szCs w:val="28"/>
        </w:rPr>
      </w:pPr>
      <w:r>
        <w:rPr>
          <w:rFonts w:ascii="Times New Roman" w:hAnsi="Times New Roman" w:eastAsia="仿宋_GB2312" w:cs="Times New Roman"/>
          <w:color w:val="auto"/>
          <w:sz w:val="28"/>
          <w:szCs w:val="28"/>
        </w:rPr>
        <w:pict>
          <v:line id="_x0000_s1029" o:spid="_x0000_s1029" o:spt="20" style="position:absolute;left:0pt;margin-left:1.55pt;margin-top:3.35pt;height:0pt;width:441pt;z-index:251660288;mso-width-relative:page;mso-height-relative:page;" coordsize="21600,21600" o:gfxdata="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N73it0gAAAAUBAAAPAAAAAAAAAAEA&#10;IAAAACIAAABkcnMvZG93bnJldi54bWxQSwECFAAUAAAACACHTuJA4+9S69wBAACYAwAADgAAAAAA&#10;AAABACAAAAAhAQAAZHJzL2Uyb0RvYy54bWxQSwUGAAAAAAYABgBZAQAAbwUAAAAA&#10;">
            <v:path arrowok="t"/>
            <v:fill focussize="0,0"/>
            <v:stroke/>
            <v:imagedata o:title=""/>
            <o:lock v:ext="edit"/>
          </v:line>
        </w:pict>
      </w:r>
      <w:r>
        <w:rPr>
          <w:rFonts w:ascii="Times New Roman" w:hAnsi="Times New Roman" w:eastAsia="仿宋_GB2312" w:cs="Times New Roman"/>
          <w:color w:val="auto"/>
          <w:sz w:val="28"/>
          <w:szCs w:val="28"/>
        </w:rPr>
        <w:t>（共印</w:t>
      </w:r>
      <w:r>
        <w:rPr>
          <w:rFonts w:hint="eastAsia" w:ascii="Times New Roman" w:hAnsi="Times New Roman" w:eastAsia="仿宋_GB2312" w:cs="Times New Roman"/>
          <w:color w:val="auto"/>
          <w:sz w:val="28"/>
          <w:szCs w:val="28"/>
          <w:lang w:val="en-US" w:eastAsia="zh-CN"/>
        </w:rPr>
        <w:t>6</w:t>
      </w:r>
      <w:r>
        <w:rPr>
          <w:rFonts w:ascii="Times New Roman" w:hAnsi="Times New Roman" w:eastAsia="仿宋_GB2312" w:cs="Times New Roman"/>
          <w:color w:val="auto"/>
          <w:sz w:val="28"/>
          <w:szCs w:val="28"/>
        </w:rPr>
        <w:t>份）</w:t>
      </w:r>
    </w:p>
    <w:sectPr>
      <w:footerReference r:id="rId3" w:type="default"/>
      <w:pgSz w:w="11906" w:h="16838"/>
      <w:pgMar w:top="1588" w:right="1304" w:bottom="1247"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8"/>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center" w:pos="4507"/>
        <w:tab w:val="clear" w:pos="4153"/>
      </w:tabs>
    </w:pPr>
    <w:r>
      <w:pict>
        <v:shape id="_x0000_s4097" o:spid="_x0000_s4097" o:spt="202" type="#_x0000_t202" style="position:absolute;left:0pt;margin-top:0pt;height:144pt;width:24.85pt;mso-position-horizontal:center;mso-position-horizontal-relative:margin;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">
          <v:path/>
          <v:fill on="f" focussize="0,0"/>
          <v:stroke on="f" weight="0.5pt" joinstyle="miter"/>
          <v:imagedata o:title=""/>
          <o:lock v:ext="edit"/>
          <v:textbox inset="0mm,0mm,0mm,0mm" style="mso-fit-shape-to-text:t;">
            <w:txbxContent>
              <w:p>
                <w:pPr>
                  <w:pStyle w:val="9"/>
                  <w:rPr>
                    <w:sz w:val="28"/>
                    <w:szCs w:val="28"/>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- 2 -</w:t>
                </w:r>
                <w:r>
                  <w:rPr>
                    <w:rFonts w:hint="eastAsia"/>
                    <w:sz w:val="28"/>
                    <w:szCs w:val="28"/>
                  </w:rPr>
                  <w:fldChar w:fldCharType="end"/>
                </w:r>
              </w:p>
            </w:txbxContent>
          </v:textbox>
        </v:shape>
      </w:pict>
    </w:r>
    <w:r>
      <w:rPr>
        <w:rFonts w:hint="eastAsia"/>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439A9D"/>
    <w:multiLevelType w:val="singleLevel"/>
    <w:tmpl w:val="AD439A9D"/>
    <w:lvl w:ilvl="0" w:tentative="0">
      <w:start w:val="1"/>
      <w:numFmt w:val="chineseCounting"/>
      <w:suff w:val="nothing"/>
      <w:lvlText w:val="%1、"/>
      <w:lvlJc w:val="left"/>
      <w:rPr>
        <w:rFonts w:hint="eastAsia"/>
      </w:rPr>
    </w:lvl>
  </w:abstractNum>
  <w:abstractNum w:abstractNumId="1">
    <w:nsid w:val="B895C1FB"/>
    <w:multiLevelType w:val="singleLevel"/>
    <w:tmpl w:val="B895C1FB"/>
    <w:lvl w:ilvl="0" w:tentative="0">
      <w:start w:val="4"/>
      <w:numFmt w:val="chineseCounting"/>
      <w:suff w:val="nothing"/>
      <w:lvlText w:val="%1、"/>
      <w:lvlJc w:val="left"/>
      <w:rPr>
        <w:rFonts w:hint="eastAsia"/>
      </w:rPr>
    </w:lvl>
  </w:abstractNum>
  <w:abstractNum w:abstractNumId="2">
    <w:nsid w:val="00000006"/>
    <w:multiLevelType w:val="multilevel"/>
    <w:tmpl w:val="00000006"/>
    <w:lvl w:ilvl="0" w:tentative="0">
      <w:start w:val="1"/>
      <w:numFmt w:val="chineseCountingThousand"/>
      <w:suff w:val="space"/>
      <w:lvlText w:val="第%1章"/>
      <w:lvlJc w:val="left"/>
      <w:pPr>
        <w:ind w:left="0" w:firstLine="0"/>
      </w:pPr>
      <w:rPr>
        <w:rFonts w:hint="eastAsia" w:ascii="隶书" w:eastAsia="隶书"/>
        <w:b/>
        <w:i w:val="0"/>
        <w:color w:val="auto"/>
        <w:sz w:val="36"/>
      </w:rPr>
    </w:lvl>
    <w:lvl w:ilvl="1" w:tentative="0">
      <w:start w:val="1"/>
      <w:numFmt w:val="chineseCountingThousand"/>
      <w:suff w:val="nothing"/>
      <w:lvlText w:val="%2."/>
      <w:lvlJc w:val="left"/>
      <w:pPr>
        <w:ind w:left="785" w:hanging="425"/>
      </w:pPr>
      <w:rPr>
        <w:rFonts w:hint="eastAsia"/>
      </w:rPr>
    </w:lvl>
    <w:lvl w:ilvl="2" w:tentative="0">
      <w:start w:val="1"/>
      <w:numFmt w:val="chineseCountingThousand"/>
      <w:suff w:val="nothing"/>
      <w:lvlText w:val="(%3)."/>
      <w:lvlJc w:val="left"/>
      <w:pPr>
        <w:ind w:left="0" w:firstLine="0"/>
      </w:pPr>
      <w:rPr>
        <w:rFonts w:hint="eastAsia" w:ascii="楷体_GB2312" w:eastAsia="楷体_GB2312"/>
      </w:rPr>
    </w:lvl>
    <w:lvl w:ilvl="3" w:tentative="0">
      <w:start w:val="1"/>
      <w:numFmt w:val="decimal"/>
      <w:pStyle w:val="3"/>
      <w:suff w:val="nothing"/>
      <w:lvlText w:val="%4."/>
      <w:lvlJc w:val="left"/>
      <w:pPr>
        <w:ind w:left="0" w:firstLine="0"/>
      </w:pPr>
      <w:rPr>
        <w:rFonts w:hint="eastAsia" w:ascii="宋体" w:eastAsia="宋体"/>
      </w:rPr>
    </w:lvl>
    <w:lvl w:ilvl="4" w:tentative="0">
      <w:start w:val="1"/>
      <w:numFmt w:val="decimal"/>
      <w:suff w:val="nothing"/>
      <w:lvlText w:val="(%5)."/>
      <w:lvlJc w:val="left"/>
      <w:pPr>
        <w:ind w:left="0" w:firstLine="0"/>
      </w:pPr>
      <w:rPr>
        <w:rFonts w:hint="eastAsia" w:ascii="宋体" w:eastAsia="宋体"/>
      </w:rPr>
    </w:lvl>
    <w:lvl w:ilvl="5" w:tentative="0">
      <w:start w:val="1"/>
      <w:numFmt w:val="upperLetter"/>
      <w:lvlText w:val="%6."/>
      <w:lvlJc w:val="left"/>
      <w:pPr>
        <w:tabs>
          <w:tab w:val="left" w:pos="0"/>
        </w:tabs>
        <w:ind w:left="0" w:firstLine="0"/>
      </w:pPr>
      <w:rPr>
        <w:rFonts w:hint="eastAsia" w:ascii="宋体" w:eastAsia="宋体"/>
      </w:rPr>
    </w:lvl>
    <w:lvl w:ilvl="6" w:tentative="0">
      <w:start w:val="1"/>
      <w:numFmt w:val="decimal"/>
      <w:lvlText w:val="%7"/>
      <w:lvlJc w:val="left"/>
      <w:pPr>
        <w:tabs>
          <w:tab w:val="left" w:pos="0"/>
        </w:tabs>
        <w:ind w:left="0" w:firstLine="0"/>
      </w:pPr>
      <w:rPr>
        <w:rFonts w:hint="default" w:ascii="Times New Roman" w:hAnsi="Times New Roman"/>
      </w:rPr>
    </w:lvl>
    <w:lvl w:ilvl="7" w:tentative="0">
      <w:start w:val="1"/>
      <w:numFmt w:val="decimal"/>
      <w:lvlText w:val="%8"/>
      <w:lvlJc w:val="left"/>
      <w:pPr>
        <w:tabs>
          <w:tab w:val="left" w:pos="0"/>
        </w:tabs>
        <w:ind w:left="0" w:firstLine="0"/>
      </w:pPr>
      <w:rPr>
        <w:rFonts w:hint="default" w:ascii="Times New Roman" w:hAnsi="Times New Roman"/>
      </w:rPr>
    </w:lvl>
    <w:lvl w:ilvl="8" w:tentative="0">
      <w:start w:val="1"/>
      <w:numFmt w:val="decimal"/>
      <w:lvlText w:val="%9"/>
      <w:lvlJc w:val="left"/>
      <w:pPr>
        <w:tabs>
          <w:tab w:val="left" w:pos="0"/>
        </w:tabs>
        <w:ind w:left="0" w:firstLine="0"/>
      </w:pPr>
      <w:rPr>
        <w:rFonts w:hint="default" w:ascii="Times New Roman" w:hAnsi="Times New Roman"/>
      </w:rPr>
    </w:lvl>
  </w:abstractNum>
  <w:abstractNum w:abstractNumId="3">
    <w:nsid w:val="262E862A"/>
    <w:multiLevelType w:val="singleLevel"/>
    <w:tmpl w:val="262E862A"/>
    <w:lvl w:ilvl="0" w:tentative="0">
      <w:start w:val="3"/>
      <w:numFmt w:val="decimal"/>
      <w:suff w:val="nothing"/>
      <w:lvlText w:val="（%1）"/>
      <w:lvlJc w:val="left"/>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472528"/>
    <w:rsid w:val="00004A67"/>
    <w:rsid w:val="001A743A"/>
    <w:rsid w:val="001B658C"/>
    <w:rsid w:val="001C4062"/>
    <w:rsid w:val="002030EC"/>
    <w:rsid w:val="00211894"/>
    <w:rsid w:val="002620A0"/>
    <w:rsid w:val="00315DDD"/>
    <w:rsid w:val="00472528"/>
    <w:rsid w:val="007B2F9E"/>
    <w:rsid w:val="009B6EF7"/>
    <w:rsid w:val="009E3169"/>
    <w:rsid w:val="00A42BF5"/>
    <w:rsid w:val="00A55082"/>
    <w:rsid w:val="00C813DA"/>
    <w:rsid w:val="00CC516A"/>
    <w:rsid w:val="00CD1AAF"/>
    <w:rsid w:val="00DB7F25"/>
    <w:rsid w:val="00E41DD5"/>
    <w:rsid w:val="00E81A70"/>
    <w:rsid w:val="00F26C4E"/>
    <w:rsid w:val="00F46DFA"/>
    <w:rsid w:val="00F94154"/>
    <w:rsid w:val="0126741F"/>
    <w:rsid w:val="03A73B31"/>
    <w:rsid w:val="07490707"/>
    <w:rsid w:val="082E31FF"/>
    <w:rsid w:val="0A3E0954"/>
    <w:rsid w:val="0A9D106A"/>
    <w:rsid w:val="0A9F0C15"/>
    <w:rsid w:val="0C68597E"/>
    <w:rsid w:val="0C983984"/>
    <w:rsid w:val="0CF57537"/>
    <w:rsid w:val="0F1C2311"/>
    <w:rsid w:val="10425AEB"/>
    <w:rsid w:val="11DE4705"/>
    <w:rsid w:val="12AB7149"/>
    <w:rsid w:val="14491426"/>
    <w:rsid w:val="157E222F"/>
    <w:rsid w:val="16744EF8"/>
    <w:rsid w:val="17510115"/>
    <w:rsid w:val="19895A0E"/>
    <w:rsid w:val="1B362764"/>
    <w:rsid w:val="1DB67F7F"/>
    <w:rsid w:val="20E03FCA"/>
    <w:rsid w:val="20F90A4D"/>
    <w:rsid w:val="21AF7885"/>
    <w:rsid w:val="242D6531"/>
    <w:rsid w:val="254A07D3"/>
    <w:rsid w:val="25645A32"/>
    <w:rsid w:val="271D64A4"/>
    <w:rsid w:val="29A32F4D"/>
    <w:rsid w:val="2E02633C"/>
    <w:rsid w:val="2E2D6C30"/>
    <w:rsid w:val="2E434E08"/>
    <w:rsid w:val="2EF56638"/>
    <w:rsid w:val="34DF7064"/>
    <w:rsid w:val="35B62865"/>
    <w:rsid w:val="36CF1C25"/>
    <w:rsid w:val="38B24769"/>
    <w:rsid w:val="38FF31C3"/>
    <w:rsid w:val="3A7C5780"/>
    <w:rsid w:val="3B6E30B9"/>
    <w:rsid w:val="3E7120FF"/>
    <w:rsid w:val="3E973002"/>
    <w:rsid w:val="407107C4"/>
    <w:rsid w:val="41127513"/>
    <w:rsid w:val="42EF20D4"/>
    <w:rsid w:val="4311484D"/>
    <w:rsid w:val="43942C39"/>
    <w:rsid w:val="457204B0"/>
    <w:rsid w:val="467D4506"/>
    <w:rsid w:val="47746782"/>
    <w:rsid w:val="47BF2A01"/>
    <w:rsid w:val="4AB132DC"/>
    <w:rsid w:val="4BF941A0"/>
    <w:rsid w:val="4C473D74"/>
    <w:rsid w:val="4E610056"/>
    <w:rsid w:val="4EF77B4F"/>
    <w:rsid w:val="4F8668A3"/>
    <w:rsid w:val="51EE26FF"/>
    <w:rsid w:val="53E73FF6"/>
    <w:rsid w:val="53F72BDF"/>
    <w:rsid w:val="544F2E7F"/>
    <w:rsid w:val="57636D42"/>
    <w:rsid w:val="58102F39"/>
    <w:rsid w:val="5BA03DE2"/>
    <w:rsid w:val="5D041EC4"/>
    <w:rsid w:val="60D72570"/>
    <w:rsid w:val="62265EA5"/>
    <w:rsid w:val="63655EDA"/>
    <w:rsid w:val="63CA359B"/>
    <w:rsid w:val="65222343"/>
    <w:rsid w:val="658D21DE"/>
    <w:rsid w:val="66A7176F"/>
    <w:rsid w:val="66E4190D"/>
    <w:rsid w:val="718928E9"/>
    <w:rsid w:val="72E739F5"/>
    <w:rsid w:val="73234838"/>
    <w:rsid w:val="75E16874"/>
    <w:rsid w:val="77261A15"/>
    <w:rsid w:val="77387F1B"/>
    <w:rsid w:val="79531210"/>
    <w:rsid w:val="7A295A6E"/>
    <w:rsid w:val="7AE665D2"/>
    <w:rsid w:val="7C273A6C"/>
    <w:rsid w:val="7F0A587D"/>
    <w:rsid w:val="7F9922F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qFormat/>
    <w:uiPriority w:val="0"/>
    <w:pPr>
      <w:numPr>
        <w:ilvl w:val="3"/>
        <w:numId w:val="1"/>
      </w:numPr>
      <w:autoSpaceDE w:val="0"/>
      <w:autoSpaceDN w:val="0"/>
      <w:adjustRightInd w:val="0"/>
      <w:spacing w:before="120" w:after="120"/>
      <w:textAlignment w:val="baseline"/>
      <w:outlineLvl w:val="3"/>
    </w:pPr>
    <w:rPr>
      <w:rFonts w:ascii="宋体" w:hAnsi="Arial" w:eastAsia="楷体_GB2312"/>
      <w:b/>
      <w:kern w:val="24"/>
      <w:sz w:val="24"/>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3"/>
    <w:qFormat/>
    <w:uiPriority w:val="0"/>
    <w:pPr>
      <w:adjustRightInd w:val="0"/>
      <w:spacing w:line="360" w:lineRule="atLeast"/>
      <w:ind w:firstLine="420"/>
      <w:jc w:val="left"/>
      <w:textAlignment w:val="baseline"/>
    </w:pPr>
    <w:rPr>
      <w:kern w:val="0"/>
      <w:sz w:val="24"/>
    </w:rPr>
  </w:style>
  <w:style w:type="paragraph" w:styleId="4">
    <w:name w:val="Body Text Indent"/>
    <w:basedOn w:val="1"/>
    <w:qFormat/>
    <w:uiPriority w:val="0"/>
    <w:pPr>
      <w:spacing w:line="340" w:lineRule="exact"/>
      <w:ind w:firstLine="522"/>
    </w:pPr>
    <w:rPr>
      <w:color w:val="000000"/>
      <w:sz w:val="28"/>
    </w:rPr>
  </w:style>
  <w:style w:type="paragraph" w:styleId="5">
    <w:name w:val="Block Text"/>
    <w:basedOn w:val="1"/>
    <w:qFormat/>
    <w:uiPriority w:val="0"/>
    <w:pPr>
      <w:ind w:left="113" w:right="113" w:firstLine="595"/>
      <w:jc w:val="left"/>
    </w:pPr>
    <w:rPr>
      <w:sz w:val="28"/>
    </w:rPr>
  </w:style>
  <w:style w:type="paragraph" w:styleId="6">
    <w:name w:val="Plain Text"/>
    <w:basedOn w:val="1"/>
    <w:qFormat/>
    <w:uiPriority w:val="0"/>
    <w:rPr>
      <w:rFonts w:ascii="宋体" w:hAnsi="Courier New" w:eastAsia="宋体" w:cs="宋体"/>
      <w:sz w:val="24"/>
    </w:rPr>
  </w:style>
  <w:style w:type="paragraph" w:styleId="7">
    <w:name w:val="Body Text Indent 2"/>
    <w:basedOn w:val="1"/>
    <w:qFormat/>
    <w:uiPriority w:val="0"/>
    <w:pPr>
      <w:spacing w:line="480" w:lineRule="exact"/>
      <w:ind w:firstLine="570"/>
    </w:pPr>
    <w:rPr>
      <w:sz w:val="28"/>
    </w:rPr>
  </w:style>
  <w:style w:type="paragraph" w:styleId="8">
    <w:name w:val="Balloon Text"/>
    <w:basedOn w:val="1"/>
    <w:link w:val="22"/>
    <w:qFormat/>
    <w:uiPriority w:val="0"/>
    <w:rPr>
      <w:sz w:val="18"/>
      <w:szCs w:val="18"/>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toc 2"/>
    <w:basedOn w:val="1"/>
    <w:next w:val="1"/>
    <w:qFormat/>
    <w:uiPriority w:val="0"/>
    <w:pPr>
      <w:ind w:left="420" w:leftChars="200"/>
    </w:pPr>
  </w:style>
  <w:style w:type="paragraph" w:styleId="12">
    <w:name w:val="Body Text First Indent 2"/>
    <w:basedOn w:val="4"/>
    <w:qFormat/>
    <w:uiPriority w:val="0"/>
    <w:pPr>
      <w:spacing w:line="240" w:lineRule="auto"/>
      <w:ind w:left="420" w:leftChars="200" w:firstLine="420" w:firstLineChars="200"/>
    </w:pPr>
    <w:rPr>
      <w:sz w:val="21"/>
    </w:rPr>
  </w:style>
  <w:style w:type="table" w:styleId="14">
    <w:name w:val="Table Grid"/>
    <w:basedOn w:val="13"/>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page number"/>
    <w:basedOn w:val="15"/>
    <w:qFormat/>
    <w:uiPriority w:val="0"/>
  </w:style>
  <w:style w:type="paragraph" w:customStyle="1" w:styleId="1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8">
    <w:name w:val="样式 样式 样式 四号 左侧:  1.53 厘米 + 首行缩进:  2 字符 + 居中 左侧:  2 字符 首行缩进:  2..."/>
    <w:basedOn w:val="19"/>
    <w:qFormat/>
    <w:uiPriority w:val="0"/>
    <w:pPr>
      <w:jc w:val="center"/>
    </w:pPr>
  </w:style>
  <w:style w:type="paragraph" w:customStyle="1" w:styleId="19">
    <w:name w:val="样式 样式 四号 左侧:  1.53 厘米 + 首行缩进:  2 字符"/>
    <w:basedOn w:val="20"/>
    <w:qFormat/>
    <w:uiPriority w:val="0"/>
    <w:pPr>
      <w:ind w:left="200" w:leftChars="200"/>
    </w:pPr>
    <w:rPr>
      <w:szCs w:val="20"/>
    </w:rPr>
  </w:style>
  <w:style w:type="paragraph" w:customStyle="1" w:styleId="20">
    <w:name w:val="样式 四号 左侧:  1.53 厘米"/>
    <w:basedOn w:val="1"/>
    <w:qFormat/>
    <w:uiPriority w:val="0"/>
    <w:pPr>
      <w:adjustRightInd w:val="0"/>
    </w:pPr>
    <w:rPr>
      <w:w w:val="90"/>
      <w:sz w:val="28"/>
      <w:szCs w:val="28"/>
    </w:rPr>
  </w:style>
  <w:style w:type="paragraph" w:customStyle="1" w:styleId="21">
    <w:name w:val="正文1"/>
    <w:basedOn w:val="1"/>
    <w:qFormat/>
    <w:uiPriority w:val="0"/>
    <w:pPr>
      <w:adjustRightInd w:val="0"/>
      <w:snapToGrid w:val="0"/>
      <w:spacing w:line="480" w:lineRule="exact"/>
      <w:ind w:firstLine="200"/>
    </w:pPr>
    <w:rPr>
      <w:szCs w:val="20"/>
    </w:rPr>
  </w:style>
  <w:style w:type="character" w:customStyle="1" w:styleId="22">
    <w:name w:val="批注框文本 Char"/>
    <w:basedOn w:val="15"/>
    <w:link w:val="8"/>
    <w:qFormat/>
    <w:uiPriority w:val="0"/>
    <w:rPr>
      <w:rFonts w:asciiTheme="minorHAnsi" w:hAnsiTheme="minorHAnsi" w:eastAsiaTheme="minorEastAsia" w:cstheme="minorBidi"/>
      <w:kern w:val="2"/>
      <w:sz w:val="18"/>
      <w:szCs w:val="18"/>
    </w:rPr>
  </w:style>
  <w:style w:type="paragraph" w:customStyle="1" w:styleId="23">
    <w:name w:val="_Style 632"/>
    <w:basedOn w:val="1"/>
    <w:qFormat/>
    <w:uiPriority w:val="0"/>
    <w:pPr>
      <w:adjustRightInd w:val="0"/>
      <w:snapToGrid w:val="0"/>
      <w:spacing w:line="360" w:lineRule="auto"/>
      <w:ind w:firstLine="200" w:firstLineChars="200"/>
    </w:pPr>
    <w:rPr>
      <w:rFonts w:ascii="Calibri" w:hAnsi="Calibri" w:eastAsia="宋体" w:cs="Times New Roman"/>
    </w:rPr>
  </w:style>
  <w:style w:type="paragraph" w:styleId="24">
    <w:name w:val="List Paragraph"/>
    <w:basedOn w:val="1"/>
    <w:unhideWhenUsed/>
    <w:qFormat/>
    <w:uiPriority w:val="99"/>
    <w:pPr>
      <w:ind w:firstLine="420" w:firstLineChars="200"/>
    </w:pPr>
  </w:style>
  <w:style w:type="paragraph" w:customStyle="1" w:styleId="25">
    <w:name w:val="表"/>
    <w:qFormat/>
    <w:uiPriority w:val="0"/>
    <w:pPr>
      <w:spacing w:line="440" w:lineRule="exact"/>
      <w:ind w:firstLine="200" w:firstLineChars="200"/>
      <w:jc w:val="both"/>
    </w:pPr>
    <w:rPr>
      <w:rFonts w:ascii="Calibri" w:hAnsi="Calibri" w:eastAsia="宋体" w:cs="Times New Roman"/>
      <w:sz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1028"/>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208</Words>
  <Characters>1189</Characters>
  <Lines>9</Lines>
  <Paragraphs>2</Paragraphs>
  <TotalTime>20</TotalTime>
  <ScaleCrop>false</ScaleCrop>
  <LinksUpToDate>false</LinksUpToDate>
  <CharactersWithSpaces>1395</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ZWFWTYSL03</dc:creator>
  <cp:lastModifiedBy>司司</cp:lastModifiedBy>
  <cp:lastPrinted>2021-01-11T00:45:00Z</cp:lastPrinted>
  <dcterms:modified xsi:type="dcterms:W3CDTF">2021-09-29T06:52:22Z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78A02F6404464428BB7FBCDD679C8CD5</vt:lpwstr>
  </property>
</Properties>
</file>