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1</w:t>
      </w:r>
      <w:r>
        <w:rPr>
          <w:rFonts w:ascii="Times New Roman" w:hAnsi="Times New Roman" w:eastAsia="仿宋" w:cs="Times New Roman"/>
          <w:b/>
          <w:sz w:val="32"/>
          <w:szCs w:val="32"/>
        </w:rPr>
        <w:t>〕</w:t>
      </w:r>
      <w:r>
        <w:rPr>
          <w:rFonts w:hint="eastAsia" w:ascii="Times New Roman" w:hAnsi="Times New Roman" w:eastAsia="仿宋" w:cs="Times New Roman"/>
          <w:b/>
          <w:color w:val="auto"/>
          <w:sz w:val="32"/>
          <w:szCs w:val="32"/>
          <w:lang w:val="en-US" w:eastAsia="zh-CN"/>
        </w:rPr>
        <w:t>26</w:t>
      </w:r>
      <w:r>
        <w:rPr>
          <w:rFonts w:ascii="Times New Roman" w:hAnsi="Times New Roman" w:eastAsia="仿宋" w:cs="Times New Roman"/>
          <w:b/>
          <w:sz w:val="32"/>
          <w:szCs w:val="32"/>
        </w:rPr>
        <w:t>号</w:t>
      </w:r>
    </w:p>
    <w:p>
      <w:pPr>
        <w:pStyle w:val="6"/>
        <w:keepNext w:val="0"/>
        <w:keepLines w:val="0"/>
        <w:pageBreakBefore w:val="0"/>
        <w:widowControl w:val="0"/>
        <w:kinsoku/>
        <w:wordWrap/>
        <w:overflowPunct/>
        <w:topLinePunct w:val="0"/>
        <w:autoSpaceDE/>
        <w:autoSpaceDN/>
        <w:bidi w:val="0"/>
        <w:adjustRightInd/>
        <w:spacing w:line="640" w:lineRule="exact"/>
        <w:ind w:left="0" w:firstLine="0"/>
        <w:textAlignment w:val="auto"/>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lang w:val="en-US" w:eastAsia="zh-CN"/>
        </w:rPr>
        <w:t>魏县勤希建材科技有限公司年产40万平方米复合保温板</w:t>
      </w:r>
      <w:r>
        <w:rPr>
          <w:rFonts w:hint="eastAsia" w:ascii="Times New Roman" w:hAnsi="Times New Roman" w:eastAsia="宋体" w:cs="Times New Roman"/>
          <w:b/>
          <w:w w:val="92"/>
          <w:sz w:val="44"/>
          <w:szCs w:val="44"/>
        </w:rPr>
        <w:t>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仿宋" w:hAnsi="仿宋" w:eastAsia="仿宋" w:cs="Times New Roman"/>
          <w:b/>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仿宋" w:hAnsi="仿宋" w:eastAsia="仿宋"/>
          <w:sz w:val="32"/>
          <w:szCs w:val="32"/>
        </w:rPr>
      </w:pPr>
      <w:r>
        <w:rPr>
          <w:rFonts w:hint="eastAsia" w:ascii="仿宋" w:hAnsi="仿宋" w:eastAsia="仿宋" w:cs="仿宋"/>
          <w:sz w:val="32"/>
          <w:szCs w:val="32"/>
          <w:lang w:val="en-US" w:eastAsia="zh-CN"/>
        </w:rPr>
        <w:t>魏县勤希建材科技有限公司</w:t>
      </w:r>
      <w:r>
        <w:rPr>
          <w:rFonts w:hint="eastAsia" w:ascii="仿宋" w:hAnsi="仿宋" w:eastAsia="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sz w:val="32"/>
          <w:szCs w:val="32"/>
        </w:rPr>
        <w:t>你公司所报《</w:t>
      </w:r>
      <w:r>
        <w:rPr>
          <w:rFonts w:hint="eastAsia" w:ascii="仿宋" w:hAnsi="仿宋" w:eastAsia="仿宋"/>
          <w:sz w:val="32"/>
          <w:szCs w:val="32"/>
          <w:lang w:val="en-US" w:eastAsia="zh-CN"/>
        </w:rPr>
        <w:t>魏县勤希建材科技有限公司年产40万平方米复合保温板</w:t>
      </w:r>
      <w:r>
        <w:rPr>
          <w:rFonts w:hint="eastAsia" w:ascii="仿宋" w:hAnsi="仿宋" w:eastAsia="仿宋"/>
          <w:sz w:val="32"/>
          <w:szCs w:val="32"/>
          <w:lang w:eastAsia="zh-CN"/>
        </w:rPr>
        <w:t>项目环境影响报告表》收</w:t>
      </w:r>
      <w:r>
        <w:rPr>
          <w:rFonts w:hint="eastAsia" w:ascii="仿宋" w:hAnsi="仿宋" w:eastAsia="仿宋" w:cs="仿宋"/>
          <w:sz w:val="32"/>
          <w:szCs w:val="32"/>
        </w:rPr>
        <w:t>悉。经研究，批复如下：</w:t>
      </w:r>
    </w:p>
    <w:p>
      <w:pPr>
        <w:keepNext w:val="0"/>
        <w:keepLines w:val="0"/>
        <w:pageBreakBefore w:val="0"/>
        <w:widowControl w:val="0"/>
        <w:numPr>
          <w:ilvl w:val="0"/>
          <w:numId w:val="2"/>
        </w:numPr>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sz w:val="32"/>
          <w:szCs w:val="32"/>
          <w:lang w:val="en-US" w:eastAsia="zh-CN"/>
        </w:rPr>
        <w:t>该项目位于河北省邯郸市魏县望远北街北段路东邯郸市豪天机械设备股份有限公司现有厂区内，</w:t>
      </w:r>
      <w:r>
        <w:rPr>
          <w:rFonts w:hint="eastAsia" w:ascii="仿宋" w:hAnsi="仿宋" w:eastAsia="仿宋" w:cs="仿宋"/>
          <w:sz w:val="32"/>
          <w:szCs w:val="32"/>
        </w:rPr>
        <w:t>厂址中心地理坐标为北纬36°</w:t>
      </w:r>
      <w:r>
        <w:rPr>
          <w:rFonts w:hint="eastAsia" w:ascii="仿宋" w:hAnsi="仿宋" w:eastAsia="仿宋" w:cs="仿宋"/>
          <w:sz w:val="32"/>
          <w:szCs w:val="32"/>
          <w:lang w:val="en-US" w:eastAsia="zh-CN"/>
        </w:rPr>
        <w:t>23</w:t>
      </w:r>
      <w:r>
        <w:rPr>
          <w:rFonts w:hint="eastAsia" w:ascii="仿宋" w:hAnsi="仿宋" w:eastAsia="仿宋" w:cs="仿宋"/>
          <w:sz w:val="32"/>
          <w:szCs w:val="32"/>
        </w:rPr>
        <w:t>'</w:t>
      </w:r>
      <w:r>
        <w:rPr>
          <w:rFonts w:hint="eastAsia" w:ascii="仿宋" w:hAnsi="仿宋" w:eastAsia="仿宋" w:cs="仿宋"/>
          <w:sz w:val="32"/>
          <w:szCs w:val="32"/>
          <w:lang w:val="en-US" w:eastAsia="zh-CN"/>
        </w:rPr>
        <w:t>18</w:t>
      </w:r>
      <w:r>
        <w:rPr>
          <w:rFonts w:hint="eastAsia" w:ascii="仿宋" w:hAnsi="仿宋" w:eastAsia="仿宋" w:cs="仿宋"/>
          <w:sz w:val="32"/>
          <w:szCs w:val="32"/>
        </w:rPr>
        <w:t>.</w:t>
      </w:r>
      <w:r>
        <w:rPr>
          <w:rFonts w:hint="eastAsia" w:ascii="仿宋" w:hAnsi="仿宋" w:eastAsia="仿宋" w:cs="仿宋"/>
          <w:sz w:val="32"/>
          <w:szCs w:val="32"/>
          <w:lang w:val="en-US" w:eastAsia="zh-CN"/>
        </w:rPr>
        <w:t>606</w:t>
      </w:r>
      <w:r>
        <w:rPr>
          <w:rFonts w:hint="eastAsia" w:ascii="仿宋" w:hAnsi="仿宋" w:eastAsia="仿宋" w:cs="仿宋"/>
          <w:sz w:val="32"/>
          <w:szCs w:val="32"/>
        </w:rPr>
        <w:t>"，东经114°</w:t>
      </w:r>
      <w:r>
        <w:rPr>
          <w:rFonts w:hint="eastAsia" w:ascii="仿宋" w:hAnsi="仿宋" w:eastAsia="仿宋" w:cs="仿宋"/>
          <w:sz w:val="32"/>
          <w:szCs w:val="32"/>
          <w:lang w:val="en-US" w:eastAsia="zh-CN"/>
        </w:rPr>
        <w:t>55</w:t>
      </w:r>
      <w:r>
        <w:rPr>
          <w:rFonts w:hint="eastAsia" w:ascii="仿宋" w:hAnsi="仿宋" w:eastAsia="仿宋" w:cs="仿宋"/>
          <w:sz w:val="32"/>
          <w:szCs w:val="32"/>
        </w:rPr>
        <w:t>'</w:t>
      </w:r>
      <w:r>
        <w:rPr>
          <w:rFonts w:hint="eastAsia" w:ascii="仿宋" w:hAnsi="仿宋" w:eastAsia="仿宋" w:cs="仿宋"/>
          <w:sz w:val="32"/>
          <w:szCs w:val="32"/>
          <w:lang w:val="en-US" w:eastAsia="zh-CN"/>
        </w:rPr>
        <w:t>33</w:t>
      </w:r>
      <w:r>
        <w:rPr>
          <w:rFonts w:hint="eastAsia" w:ascii="仿宋" w:hAnsi="仿宋" w:eastAsia="仿宋" w:cs="仿宋"/>
          <w:sz w:val="32"/>
          <w:szCs w:val="32"/>
        </w:rPr>
        <w:t>.</w:t>
      </w:r>
      <w:r>
        <w:rPr>
          <w:rFonts w:hint="eastAsia" w:ascii="仿宋" w:hAnsi="仿宋" w:eastAsia="仿宋" w:cs="仿宋"/>
          <w:sz w:val="32"/>
          <w:szCs w:val="32"/>
          <w:lang w:val="en-US" w:eastAsia="zh-CN"/>
        </w:rPr>
        <w:t>808</w:t>
      </w:r>
      <w:r>
        <w:rPr>
          <w:rFonts w:hint="eastAsia" w:ascii="仿宋" w:hAnsi="仿宋" w:eastAsia="仿宋" w:cs="仿宋"/>
          <w:sz w:val="32"/>
          <w:szCs w:val="32"/>
        </w:rPr>
        <w:t>"。建设内容及建设规模：</w:t>
      </w:r>
      <w:r>
        <w:rPr>
          <w:rFonts w:hint="eastAsia" w:ascii="仿宋" w:hAnsi="仿宋" w:eastAsia="仿宋" w:cs="仿宋"/>
          <w:sz w:val="32"/>
          <w:szCs w:val="32"/>
          <w:lang w:eastAsia="zh-CN"/>
        </w:rPr>
        <w:t>该项目</w:t>
      </w:r>
      <w:r>
        <w:rPr>
          <w:rFonts w:hint="eastAsia" w:ascii="仿宋" w:hAnsi="仿宋" w:eastAsia="仿宋" w:cs="仿宋"/>
          <w:kern w:val="2"/>
          <w:sz w:val="32"/>
          <w:szCs w:val="32"/>
        </w:rPr>
        <w:t>占地面积</w:t>
      </w:r>
      <w:r>
        <w:rPr>
          <w:rFonts w:hint="eastAsia" w:ascii="仿宋" w:hAnsi="仿宋" w:eastAsia="仿宋" w:cs="仿宋"/>
          <w:kern w:val="2"/>
          <w:sz w:val="32"/>
          <w:szCs w:val="32"/>
          <w:lang w:val="en-US" w:eastAsia="zh-CN"/>
        </w:rPr>
        <w:t>1885</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建筑面积</w:t>
      </w:r>
      <w:r>
        <w:rPr>
          <w:rFonts w:hint="eastAsia" w:ascii="仿宋" w:hAnsi="仿宋" w:eastAsia="仿宋" w:cs="仿宋"/>
          <w:sz w:val="32"/>
          <w:szCs w:val="32"/>
          <w:lang w:val="en-US" w:eastAsia="zh-CN"/>
        </w:rPr>
        <w:t>1500</w:t>
      </w:r>
      <w:r>
        <w:rPr>
          <w:rFonts w:hint="eastAsia" w:ascii="仿宋" w:hAnsi="仿宋" w:eastAsia="仿宋" w:cs="仿宋"/>
          <w:sz w:val="32"/>
          <w:szCs w:val="32"/>
        </w:rPr>
        <w:t>㎡</w:t>
      </w:r>
      <w:r>
        <w:rPr>
          <w:rFonts w:hint="eastAsia" w:ascii="仿宋" w:hAnsi="仿宋" w:eastAsia="仿宋" w:cs="仿宋"/>
          <w:sz w:val="32"/>
          <w:szCs w:val="32"/>
          <w:lang w:eastAsia="zh-CN"/>
        </w:rPr>
        <w:t>；建设</w:t>
      </w:r>
      <w:r>
        <w:rPr>
          <w:rFonts w:hint="eastAsia" w:ascii="仿宋" w:hAnsi="仿宋" w:eastAsia="仿宋" w:cs="仿宋"/>
          <w:sz w:val="32"/>
          <w:szCs w:val="32"/>
        </w:rPr>
        <w:t>生产车间</w:t>
      </w:r>
      <w:r>
        <w:rPr>
          <w:rFonts w:hint="eastAsia" w:ascii="仿宋" w:hAnsi="仿宋" w:eastAsia="仿宋" w:cs="仿宋"/>
          <w:sz w:val="32"/>
          <w:szCs w:val="32"/>
          <w:lang w:val="en-US" w:eastAsia="zh-CN"/>
        </w:rPr>
        <w:t>、原料区、办公区等</w:t>
      </w:r>
      <w:r>
        <w:rPr>
          <w:rFonts w:hint="eastAsia" w:ascii="仿宋" w:hAnsi="仿宋" w:eastAsia="仿宋" w:cs="仿宋"/>
          <w:sz w:val="32"/>
          <w:szCs w:val="32"/>
        </w:rPr>
        <w:t>，购置</w:t>
      </w:r>
      <w:r>
        <w:rPr>
          <w:rFonts w:hint="eastAsia" w:ascii="仿宋" w:hAnsi="仿宋" w:eastAsia="仿宋" w:cs="仿宋"/>
          <w:sz w:val="32"/>
          <w:szCs w:val="32"/>
          <w:lang w:val="en-US" w:eastAsia="zh-CN"/>
        </w:rPr>
        <w:t>水泥罐、搅拌机、码垛机、打孔机</w:t>
      </w:r>
      <w:r>
        <w:rPr>
          <w:rFonts w:hint="eastAsia" w:ascii="仿宋" w:hAnsi="仿宋" w:eastAsia="仿宋" w:cs="仿宋"/>
          <w:sz w:val="32"/>
          <w:szCs w:val="32"/>
        </w:rPr>
        <w:t>等</w:t>
      </w:r>
      <w:r>
        <w:rPr>
          <w:rFonts w:hint="eastAsia" w:ascii="仿宋" w:hAnsi="仿宋" w:eastAsia="仿宋" w:cs="仿宋"/>
          <w:sz w:val="32"/>
          <w:szCs w:val="32"/>
          <w:lang w:eastAsia="zh-CN"/>
        </w:rPr>
        <w:t>设备；</w:t>
      </w:r>
      <w:r>
        <w:rPr>
          <w:rFonts w:hint="eastAsia" w:ascii="仿宋" w:hAnsi="仿宋" w:eastAsia="仿宋" w:cs="仿宋"/>
          <w:sz w:val="32"/>
          <w:szCs w:val="32"/>
          <w:lang w:val="en-US" w:eastAsia="zh-CN"/>
        </w:rPr>
        <w:t>总投资850万元，其中环保投资40万元，占总投资的4.7%</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sz w:val="32"/>
          <w:szCs w:val="32"/>
          <w:lang w:val="en-US" w:eastAsia="zh-CN"/>
        </w:rPr>
        <w:t>河北奇正环境科技有限公司</w:t>
      </w:r>
      <w:r>
        <w:rPr>
          <w:rFonts w:hint="eastAsia" w:ascii="仿宋" w:hAnsi="仿宋" w:eastAsia="仿宋" w:cs="仿宋"/>
          <w:sz w:val="32"/>
          <w:szCs w:val="32"/>
        </w:rPr>
        <w:t>编制的《</w:t>
      </w:r>
      <w:r>
        <w:rPr>
          <w:rFonts w:hint="eastAsia" w:ascii="仿宋" w:hAnsi="仿宋" w:eastAsia="仿宋"/>
          <w:sz w:val="32"/>
          <w:szCs w:val="32"/>
          <w:lang w:val="en-US" w:eastAsia="zh-CN"/>
        </w:rPr>
        <w:t>魏县勤希建材科技有限公司年产40万平方米复合保温板</w:t>
      </w:r>
      <w:r>
        <w:rPr>
          <w:rFonts w:hint="eastAsia" w:ascii="仿宋" w:hAnsi="仿宋" w:eastAsia="仿宋"/>
          <w:sz w:val="32"/>
          <w:szCs w:val="32"/>
          <w:lang w:eastAsia="zh-CN"/>
        </w:rPr>
        <w:t>项目环境影响报告表</w:t>
      </w:r>
      <w:r>
        <w:rPr>
          <w:rFonts w:hint="eastAsia" w:ascii="仿宋" w:hAnsi="仿宋" w:eastAsia="仿宋" w:cs="仿宋"/>
          <w:sz w:val="32"/>
          <w:szCs w:val="32"/>
        </w:rPr>
        <w:t>》，在项目符合产业政策与产业发展规划、选址符合区域土地利用规划等前提下，原则同意《报告表》结论。你公司须严格按照环评报告表所列建设项目的性质、规模、地点、环保对策措施及要求实施项目建设。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w:t>
      </w:r>
      <w:r>
        <w:rPr>
          <w:rFonts w:hint="eastAsia" w:ascii="仿宋" w:hAnsi="仿宋" w:eastAsia="仿宋" w:cs="仿宋"/>
          <w:sz w:val="32"/>
          <w:szCs w:val="32"/>
          <w:lang w:val="en-US" w:eastAsia="zh-CN"/>
        </w:rPr>
        <w:t>单位承担，并重点做好以下工作：</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营运期：⑴废气：该项目废气主要为</w:t>
      </w:r>
      <w:r>
        <w:rPr>
          <w:rFonts w:hint="eastAsia" w:ascii="仿宋" w:hAnsi="仿宋" w:eastAsia="仿宋" w:cs="仿宋"/>
          <w:sz w:val="32"/>
          <w:szCs w:val="32"/>
        </w:rPr>
        <w:t>水泥罐和粉煤灰罐含尘、上料、搅拌、储料罐含尘、进料</w:t>
      </w:r>
      <w:r>
        <w:rPr>
          <w:rFonts w:hint="eastAsia" w:ascii="仿宋" w:hAnsi="仿宋" w:eastAsia="仿宋" w:cs="仿宋"/>
          <w:sz w:val="32"/>
          <w:szCs w:val="32"/>
          <w:lang w:eastAsia="zh-CN"/>
        </w:rPr>
        <w:t>有组织废气</w:t>
      </w:r>
      <w:r>
        <w:rPr>
          <w:rFonts w:hint="eastAsia" w:ascii="仿宋" w:hAnsi="仿宋" w:eastAsia="仿宋" w:cs="仿宋"/>
          <w:sz w:val="32"/>
          <w:szCs w:val="32"/>
        </w:rPr>
        <w:t>和无组织废气。</w:t>
      </w:r>
      <w:r>
        <w:rPr>
          <w:rFonts w:hint="eastAsia" w:ascii="仿宋" w:hAnsi="仿宋" w:eastAsia="仿宋" w:cs="仿宋"/>
          <w:sz w:val="32"/>
          <w:szCs w:val="32"/>
          <w:lang w:eastAsia="zh-CN"/>
        </w:rPr>
        <w:t>有组织废气通过</w:t>
      </w:r>
      <w:r>
        <w:rPr>
          <w:rFonts w:hint="eastAsia" w:ascii="仿宋" w:hAnsi="仿宋" w:eastAsia="仿宋" w:cs="仿宋"/>
          <w:sz w:val="32"/>
          <w:szCs w:val="32"/>
        </w:rPr>
        <w:t>设置集气罩收集，</w:t>
      </w:r>
      <w:r>
        <w:rPr>
          <w:rFonts w:hint="eastAsia" w:ascii="仿宋" w:hAnsi="仿宋" w:eastAsia="仿宋" w:cs="仿宋"/>
          <w:sz w:val="32"/>
          <w:szCs w:val="32"/>
          <w:lang w:eastAsia="zh-CN"/>
        </w:rPr>
        <w:t>经</w:t>
      </w:r>
      <w:r>
        <w:rPr>
          <w:rFonts w:hint="eastAsia" w:ascii="仿宋" w:hAnsi="仿宋" w:eastAsia="仿宋" w:cs="仿宋"/>
          <w:sz w:val="32"/>
          <w:szCs w:val="32"/>
        </w:rPr>
        <w:t>布袋除尘器排放。</w:t>
      </w:r>
      <w:r>
        <w:rPr>
          <w:rFonts w:hint="eastAsia" w:ascii="仿宋" w:hAnsi="仿宋" w:eastAsia="仿宋" w:cs="仿宋"/>
          <w:sz w:val="32"/>
          <w:szCs w:val="32"/>
          <w:lang w:eastAsia="zh-CN"/>
        </w:rPr>
        <w:t>满足</w:t>
      </w:r>
      <w:r>
        <w:rPr>
          <w:rFonts w:hint="eastAsia" w:ascii="仿宋" w:hAnsi="仿宋" w:eastAsia="仿宋" w:cs="仿宋"/>
          <w:sz w:val="32"/>
          <w:szCs w:val="32"/>
        </w:rPr>
        <w:t>河北省地方标准《水泥工业大气污染物超低排放标准》（DB13/2167-2020）表1中散装水泥中转站及水泥制品生产排放限值</w:t>
      </w:r>
      <w:r>
        <w:rPr>
          <w:rFonts w:hint="eastAsia" w:ascii="仿宋" w:hAnsi="仿宋" w:eastAsia="仿宋" w:cs="仿宋"/>
          <w:sz w:val="32"/>
          <w:szCs w:val="32"/>
          <w:lang w:eastAsia="zh-CN"/>
        </w:rPr>
        <w:t>。无组织废气</w:t>
      </w:r>
      <w:r>
        <w:rPr>
          <w:rFonts w:hint="eastAsia" w:ascii="仿宋" w:hAnsi="仿宋" w:eastAsia="仿宋" w:cs="仿宋"/>
          <w:sz w:val="32"/>
          <w:szCs w:val="32"/>
        </w:rPr>
        <w:t>项目车间无组织废气主要为集气罩未收集的含尘废气，通过采取外购的水泥和粉煤灰密闭泵入原料罐内、加强有组织收集、车间密闭、洒水抑尘等措施，可减少粉尘无组织排放。厂界颗粒物浓度满足河北省地方标准《水泥工业大气污染物超低排放标准》（DB13/2167-2020）表2中颗粒物排放限值</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lang w:val="en-US" w:eastAsia="zh-CN"/>
        </w:rPr>
        <w:t>废水：</w:t>
      </w:r>
      <w:r>
        <w:rPr>
          <w:rFonts w:hint="eastAsia" w:ascii="仿宋" w:hAnsi="仿宋" w:eastAsia="仿宋" w:cs="仿宋"/>
          <w:color w:val="auto"/>
          <w:sz w:val="32"/>
          <w:szCs w:val="32"/>
          <w:lang w:val="en-US" w:eastAsia="zh-CN"/>
        </w:rPr>
        <w:t>该项目废</w:t>
      </w:r>
      <w:r>
        <w:rPr>
          <w:rFonts w:hint="eastAsia" w:ascii="仿宋" w:hAnsi="仿宋" w:eastAsia="仿宋" w:cs="仿宋"/>
          <w:color w:val="auto"/>
          <w:sz w:val="32"/>
          <w:szCs w:val="32"/>
        </w:rPr>
        <w:t>水主要为搅拌机清洗废水、冷却废水、车辆冲洗废水和职工生活污水。搅拌机清洗废水和车辆冲洗废水经沉淀池沉淀处理后回用于湿混工序，不外排；冷却废水经沉淀池沉淀处理后循环使用，不外排；职工生活盥洗水用于厂区泼洒抑尘，并依托现有防渗旱厕，定期清掏用作农肥。</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（3）噪声：</w:t>
      </w:r>
      <w:r>
        <w:rPr>
          <w:rFonts w:hint="eastAsia" w:ascii="仿宋" w:hAnsi="仿宋" w:eastAsia="仿宋" w:cs="仿宋"/>
          <w:color w:val="auto"/>
          <w:sz w:val="32"/>
          <w:szCs w:val="32"/>
          <w:lang w:eastAsia="zh-CN"/>
        </w:rPr>
        <w:t>该</w:t>
      </w:r>
      <w:r>
        <w:rPr>
          <w:rFonts w:hint="eastAsia" w:ascii="仿宋" w:hAnsi="仿宋" w:eastAsia="仿宋" w:cs="仿宋"/>
          <w:color w:val="auto"/>
          <w:sz w:val="32"/>
          <w:szCs w:val="32"/>
        </w:rPr>
        <w:t>项目噪声主要为绞龙上料机、干粉砂浆机、搅拌机、打孔机、四面切割锯、风机等设备产生的噪声，通过采取选用低噪声设备、基础减振、厂房隔声、风机消音等措施</w:t>
      </w:r>
      <w:r>
        <w:rPr>
          <w:rFonts w:hint="eastAsia" w:ascii="仿宋" w:hAnsi="仿宋" w:eastAsia="仿宋" w:cs="仿宋"/>
          <w:color w:val="auto"/>
          <w:sz w:val="32"/>
          <w:szCs w:val="32"/>
          <w:lang w:eastAsia="zh-CN"/>
        </w:rPr>
        <w:t>后，</w:t>
      </w:r>
      <w:r>
        <w:rPr>
          <w:rFonts w:hint="eastAsia" w:ascii="仿宋" w:hAnsi="仿宋" w:eastAsia="仿宋" w:cs="仿宋"/>
          <w:color w:val="auto"/>
          <w:sz w:val="32"/>
          <w:szCs w:val="32"/>
        </w:rPr>
        <w:t>满足《工业企业厂界环境噪声排放标准》（GB12348-2008）中2类标准。</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eastAsiaTheme="minorEastAsia"/>
          <w:color w:val="auto"/>
          <w:sz w:val="24"/>
          <w:lang w:eastAsia="zh-CN"/>
        </w:rPr>
      </w:pPr>
      <w:r>
        <w:rPr>
          <w:rFonts w:hint="eastAsia" w:ascii="仿宋" w:hAnsi="仿宋" w:eastAsia="仿宋" w:cs="仿宋"/>
          <w:color w:val="auto"/>
          <w:sz w:val="32"/>
          <w:szCs w:val="32"/>
        </w:rPr>
        <w:t>（4）固体废物：该</w:t>
      </w:r>
      <w:r>
        <w:rPr>
          <w:rFonts w:hint="eastAsia" w:ascii="仿宋" w:hAnsi="仿宋" w:eastAsia="仿宋" w:cs="仿宋"/>
          <w:color w:val="auto"/>
          <w:sz w:val="32"/>
          <w:szCs w:val="32"/>
          <w:lang w:eastAsia="zh-CN"/>
        </w:rPr>
        <w:t>项目固体废物为</w:t>
      </w:r>
      <w:r>
        <w:rPr>
          <w:rFonts w:hint="eastAsia" w:ascii="仿宋" w:hAnsi="仿宋" w:eastAsia="仿宋" w:cs="仿宋"/>
          <w:color w:val="auto"/>
          <w:sz w:val="32"/>
          <w:szCs w:val="32"/>
        </w:rPr>
        <w:t>一般工业固体废物和职工生活垃圾。一般工业固体废物为废包装材料</w:t>
      </w:r>
      <w:r>
        <w:rPr>
          <w:rFonts w:hint="eastAsia" w:ascii="仿宋" w:hAnsi="仿宋" w:eastAsia="仿宋" w:cs="仿宋"/>
          <w:color w:val="auto"/>
          <w:sz w:val="32"/>
          <w:szCs w:val="32"/>
          <w:lang w:eastAsia="zh-CN"/>
        </w:rPr>
        <w:t>和下脚料</w:t>
      </w:r>
      <w:r>
        <w:rPr>
          <w:rFonts w:hint="eastAsia" w:ascii="仿宋" w:hAnsi="仿宋" w:eastAsia="仿宋" w:cs="仿宋"/>
          <w:color w:val="auto"/>
          <w:sz w:val="32"/>
          <w:szCs w:val="32"/>
        </w:rPr>
        <w:t>定期外售综合利用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除尘灰和沉淀池污泥回用于干混工序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生活垃圾集中收集后由环卫部门统一处理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不会对周围环境产生影响。</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autoSpaceDE/>
        <w:autoSpaceDN/>
        <w:bidi w:val="0"/>
        <w:adjustRightInd/>
        <w:snapToGrid w:val="0"/>
        <w:spacing w:line="640" w:lineRule="exact"/>
        <w:ind w:firstLine="5760" w:firstLineChars="18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firstLine="5760" w:firstLineChars="18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firstLine="5760" w:firstLineChars="18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firstLine="5760" w:firstLineChars="1800"/>
        <w:textAlignment w:val="auto"/>
        <w:rPr>
          <w:rFonts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640" w:lineRule="exact"/>
        <w:ind w:firstLine="5440" w:firstLineChars="1700"/>
        <w:textAlignment w:val="auto"/>
        <w:rPr>
          <w:rFonts w:ascii="Times New Roman" w:hAnsi="Times New Roman" w:eastAsia="仿宋_GB2312" w:cs="Times New Roman"/>
          <w:color w:val="auto"/>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bookmarkStart w:id="0" w:name="_GoBack"/>
      <w:bookmarkEnd w:id="0"/>
    </w:p>
    <w:p>
      <w:pPr>
        <w:pStyle w:val="2"/>
        <w:rPr>
          <w:rFonts w:ascii="Times New Roman" w:hAnsi="Times New Roman" w:eastAsia="仿宋_GB2312" w:cs="Times New Roman"/>
          <w:color w:val="auto"/>
          <w:sz w:val="28"/>
          <w:szCs w:val="28"/>
        </w:rPr>
      </w:pPr>
    </w:p>
    <w:p>
      <w:pPr>
        <w:rPr>
          <w:rFonts w:ascii="Times New Roman" w:hAnsi="Times New Roman" w:eastAsia="仿宋_GB2312" w:cs="Times New Roman"/>
          <w:color w:val="auto"/>
          <w:sz w:val="28"/>
          <w:szCs w:val="28"/>
        </w:rPr>
      </w:pPr>
    </w:p>
    <w:p>
      <w:pPr>
        <w:pStyle w:val="2"/>
      </w:pPr>
    </w:p>
    <w:p>
      <w:pPr>
        <w:keepNext w:val="0"/>
        <w:keepLines w:val="0"/>
        <w:pageBreakBefore w:val="0"/>
        <w:widowControl w:val="0"/>
        <w:kinsoku/>
        <w:wordWrap/>
        <w:overflowPunct/>
        <w:topLinePunct w:val="0"/>
        <w:autoSpaceDE/>
        <w:autoSpaceDN/>
        <w:bidi w:val="0"/>
        <w:adjustRightInd/>
        <w:spacing w:line="640" w:lineRule="exact"/>
        <w:textAlignment w:val="auto"/>
      </w:pP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9</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autoSpaceDE/>
        <w:autoSpaceDN/>
        <w:bidi w:val="0"/>
        <w:adjustRightInd/>
        <w:spacing w:line="64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1AFEC"/>
    <w:multiLevelType w:val="singleLevel"/>
    <w:tmpl w:val="DCF1AFEC"/>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3A73B31"/>
    <w:rsid w:val="07286881"/>
    <w:rsid w:val="07490707"/>
    <w:rsid w:val="082E31FF"/>
    <w:rsid w:val="0860118A"/>
    <w:rsid w:val="0A9D106A"/>
    <w:rsid w:val="0C68597E"/>
    <w:rsid w:val="0F1C2311"/>
    <w:rsid w:val="12AB7149"/>
    <w:rsid w:val="14491426"/>
    <w:rsid w:val="157E222F"/>
    <w:rsid w:val="17510115"/>
    <w:rsid w:val="19895A0E"/>
    <w:rsid w:val="20E03FCA"/>
    <w:rsid w:val="20F90A4D"/>
    <w:rsid w:val="21AF7885"/>
    <w:rsid w:val="21C62CD9"/>
    <w:rsid w:val="25645A32"/>
    <w:rsid w:val="270C7858"/>
    <w:rsid w:val="271D64A4"/>
    <w:rsid w:val="2E2D6C30"/>
    <w:rsid w:val="2E434E08"/>
    <w:rsid w:val="2EF56638"/>
    <w:rsid w:val="35B62865"/>
    <w:rsid w:val="36102230"/>
    <w:rsid w:val="36175486"/>
    <w:rsid w:val="38B24769"/>
    <w:rsid w:val="3B6E30B9"/>
    <w:rsid w:val="3E7120FF"/>
    <w:rsid w:val="3E973002"/>
    <w:rsid w:val="41127513"/>
    <w:rsid w:val="4311484D"/>
    <w:rsid w:val="43942C39"/>
    <w:rsid w:val="47746782"/>
    <w:rsid w:val="47AE689A"/>
    <w:rsid w:val="47BF2A01"/>
    <w:rsid w:val="4AB132DC"/>
    <w:rsid w:val="4C473D74"/>
    <w:rsid w:val="4E610056"/>
    <w:rsid w:val="4EF77B4F"/>
    <w:rsid w:val="53E73FF6"/>
    <w:rsid w:val="53F72BDF"/>
    <w:rsid w:val="57636D42"/>
    <w:rsid w:val="57D24C17"/>
    <w:rsid w:val="58102F39"/>
    <w:rsid w:val="5D041EC4"/>
    <w:rsid w:val="63655EDA"/>
    <w:rsid w:val="63CA359B"/>
    <w:rsid w:val="65222343"/>
    <w:rsid w:val="658D21DE"/>
    <w:rsid w:val="66A7176F"/>
    <w:rsid w:val="66E4190D"/>
    <w:rsid w:val="718928E9"/>
    <w:rsid w:val="73234838"/>
    <w:rsid w:val="77387F1B"/>
    <w:rsid w:val="79531210"/>
    <w:rsid w:val="79EE4907"/>
    <w:rsid w:val="7A295A6E"/>
    <w:rsid w:val="7AE665D2"/>
    <w:rsid w:val="7C273A6C"/>
    <w:rsid w:val="7E5B406A"/>
    <w:rsid w:val="7F0A587D"/>
    <w:rsid w:val="7F9922F7"/>
    <w:rsid w:val="7FE741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ody Text Indent"/>
    <w:basedOn w:val="1"/>
    <w:qFormat/>
    <w:uiPriority w:val="0"/>
    <w:pPr>
      <w:spacing w:line="340" w:lineRule="exact"/>
      <w:ind w:firstLine="522"/>
    </w:pPr>
    <w:rPr>
      <w:color w:val="000000"/>
      <w:sz w:val="28"/>
    </w:rPr>
  </w:style>
  <w:style w:type="paragraph" w:styleId="6">
    <w:name w:val="Block Text"/>
    <w:basedOn w:val="1"/>
    <w:qFormat/>
    <w:uiPriority w:val="0"/>
    <w:pPr>
      <w:ind w:left="113" w:right="113" w:firstLine="595"/>
      <w:jc w:val="left"/>
    </w:pPr>
    <w:rPr>
      <w:sz w:val="28"/>
    </w:rPr>
  </w:style>
  <w:style w:type="paragraph" w:styleId="7">
    <w:name w:val="Plain Text"/>
    <w:basedOn w:val="1"/>
    <w:qFormat/>
    <w:uiPriority w:val="0"/>
    <w:rPr>
      <w:rFonts w:ascii="宋体" w:hAnsi="Courier New" w:eastAsia="宋体" w:cs="宋体"/>
      <w:sz w:val="24"/>
    </w:rPr>
  </w:style>
  <w:style w:type="paragraph" w:styleId="8">
    <w:name w:val="Balloon Text"/>
    <w:basedOn w:val="1"/>
    <w:link w:val="20"/>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First Indent 2"/>
    <w:basedOn w:val="5"/>
    <w:qFormat/>
    <w:uiPriority w:val="0"/>
    <w:pPr>
      <w:spacing w:line="240" w:lineRule="auto"/>
      <w:ind w:left="420" w:leftChars="200" w:firstLine="420" w:firstLineChars="200"/>
    </w:pPr>
    <w:rPr>
      <w:sz w:val="21"/>
    </w:rPr>
  </w:style>
  <w:style w:type="table" w:styleId="13">
    <w:name w:val="Table Grid"/>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样式 样式 样式 四号 左侧:  1.53 厘米 + 首行缩进:  2 字符 + 居中 左侧:  2 字符 首行缩进:  2..."/>
    <w:basedOn w:val="17"/>
    <w:qFormat/>
    <w:uiPriority w:val="0"/>
    <w:pPr>
      <w:jc w:val="center"/>
    </w:pPr>
  </w:style>
  <w:style w:type="paragraph" w:customStyle="1" w:styleId="17">
    <w:name w:val="样式 样式 四号 左侧:  1.53 厘米 + 首行缩进:  2 字符"/>
    <w:basedOn w:val="18"/>
    <w:qFormat/>
    <w:uiPriority w:val="0"/>
    <w:pPr>
      <w:ind w:left="200" w:leftChars="200"/>
    </w:pPr>
    <w:rPr>
      <w:szCs w:val="20"/>
    </w:rPr>
  </w:style>
  <w:style w:type="paragraph" w:customStyle="1" w:styleId="18">
    <w:name w:val="样式 四号 左侧:  1.53 厘米"/>
    <w:basedOn w:val="1"/>
    <w:qFormat/>
    <w:uiPriority w:val="0"/>
    <w:pPr>
      <w:adjustRightInd w:val="0"/>
    </w:pPr>
    <w:rPr>
      <w:w w:val="90"/>
      <w:sz w:val="28"/>
      <w:szCs w:val="28"/>
    </w:rPr>
  </w:style>
  <w:style w:type="paragraph" w:customStyle="1" w:styleId="19">
    <w:name w:val="正文1"/>
    <w:basedOn w:val="1"/>
    <w:qFormat/>
    <w:uiPriority w:val="0"/>
    <w:pPr>
      <w:adjustRightInd w:val="0"/>
      <w:snapToGrid w:val="0"/>
      <w:spacing w:line="480" w:lineRule="exact"/>
      <w:ind w:firstLine="200"/>
    </w:pPr>
    <w:rPr>
      <w:szCs w:val="20"/>
    </w:rPr>
  </w:style>
  <w:style w:type="character" w:customStyle="1" w:styleId="20">
    <w:name w:val="批注框文本 Char"/>
    <w:basedOn w:val="14"/>
    <w:link w:val="8"/>
    <w:qFormat/>
    <w:uiPriority w:val="0"/>
    <w:rPr>
      <w:rFonts w:asciiTheme="minorHAnsi" w:hAnsiTheme="minorHAnsi" w:eastAsiaTheme="minorEastAsia" w:cstheme="minorBidi"/>
      <w:kern w:val="2"/>
      <w:sz w:val="18"/>
      <w:szCs w:val="18"/>
    </w:rPr>
  </w:style>
  <w:style w:type="paragraph" w:customStyle="1" w:styleId="21">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2">
    <w:name w:val="List Paragraph"/>
    <w:basedOn w:val="1"/>
    <w:unhideWhenUsed/>
    <w:qFormat/>
    <w:uiPriority w:val="99"/>
    <w:pPr>
      <w:ind w:firstLine="420" w:firstLineChars="200"/>
    </w:pPr>
  </w:style>
  <w:style w:type="paragraph" w:customStyle="1" w:styleId="23">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4">
    <w:name w:val="Default"/>
    <w:qFormat/>
    <w:uiPriority w:val="0"/>
    <w:pPr>
      <w:widowControl w:val="0"/>
      <w:autoSpaceDE w:val="0"/>
      <w:autoSpaceDN w:val="0"/>
      <w:adjustRightInd w:val="0"/>
    </w:pPr>
    <w:rPr>
      <w:rFonts w:ascii="Calibri" w:hAnsi="Calibri" w:eastAsia="Calibri"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4</TotalTime>
  <ScaleCrop>false</ScaleCrop>
  <LinksUpToDate>false</LinksUpToDate>
  <CharactersWithSpaces>1395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司司</cp:lastModifiedBy>
  <cp:lastPrinted>2020-10-19T01:39:00Z</cp:lastPrinted>
  <dcterms:modified xsi:type="dcterms:W3CDTF">2021-09-02T02:00:39Z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F5438914432143599CF38E72C6D8755D</vt:lpwstr>
  </property>
</Properties>
</file>