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12</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autoSpaceDE/>
        <w:autoSpaceDN/>
        <w:bidi w:val="0"/>
        <w:adjustRightInd/>
        <w:spacing w:line="640" w:lineRule="exact"/>
        <w:ind w:left="0" w:firstLine="0"/>
        <w:textAlignment w:val="auto"/>
      </w:pPr>
    </w:p>
    <w:p>
      <w:pPr>
        <w:pStyle w:val="6"/>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Times New Roman" w:hAnsi="Times New Roman" w:eastAsia="宋体" w:cs="Times New Roman"/>
          <w:b/>
          <w:w w:val="92"/>
          <w:sz w:val="44"/>
          <w:szCs w:val="44"/>
          <w:lang w:eastAsia="zh-CN"/>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lang w:eastAsia="zh-CN"/>
        </w:rPr>
        <w:t>河北恩赛纳微新材料科技发展有限公司</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hint="eastAsia" w:ascii="Times New Roman" w:hAnsi="Times New Roman" w:eastAsia="宋体" w:cs="Times New Roman"/>
          <w:b/>
          <w:w w:val="92"/>
          <w:sz w:val="44"/>
          <w:szCs w:val="44"/>
        </w:rPr>
      </w:pPr>
      <w:r>
        <w:rPr>
          <w:rFonts w:hint="eastAsia" w:ascii="Times New Roman" w:hAnsi="Times New Roman" w:eastAsia="宋体" w:cs="Times New Roman"/>
          <w:b/>
          <w:w w:val="92"/>
          <w:sz w:val="44"/>
          <w:szCs w:val="44"/>
          <w:lang w:val="en-US" w:eastAsia="zh-CN"/>
        </w:rPr>
        <w:t>NCC新材料装配式建筑产业基地</w:t>
      </w:r>
      <w:r>
        <w:rPr>
          <w:rFonts w:hint="eastAsia" w:ascii="Times New Roman" w:hAnsi="Times New Roman" w:eastAsia="宋体" w:cs="Times New Roman"/>
          <w:b/>
          <w:w w:val="92"/>
          <w:sz w:val="44"/>
          <w:szCs w:val="44"/>
        </w:rPr>
        <w:t>项目</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lang w:eastAsia="zh-CN"/>
        </w:rPr>
        <w:t>河北恩赛纳微新材料科技发展有限公司</w:t>
      </w:r>
      <w:r>
        <w:rPr>
          <w:rFonts w:hint="eastAsia" w:ascii="仿宋" w:hAnsi="仿宋" w:eastAsia="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w:t>
      </w:r>
      <w:r>
        <w:rPr>
          <w:rFonts w:hint="eastAsia" w:ascii="仿宋" w:hAnsi="仿宋" w:eastAsia="仿宋"/>
          <w:sz w:val="32"/>
          <w:szCs w:val="32"/>
          <w:lang w:eastAsia="zh-CN"/>
        </w:rPr>
        <w:t>河北恩赛纳微新材料科技发展有限公司</w:t>
      </w:r>
      <w:r>
        <w:rPr>
          <w:rFonts w:hint="eastAsia" w:ascii="仿宋" w:hAnsi="仿宋" w:eastAsia="仿宋"/>
          <w:sz w:val="32"/>
          <w:szCs w:val="32"/>
          <w:lang w:val="en-US" w:eastAsia="zh-CN"/>
        </w:rPr>
        <w:t>NCC新材料装配式建筑产业基地</w:t>
      </w:r>
      <w:r>
        <w:rPr>
          <w:rFonts w:hint="eastAsia" w:ascii="仿宋" w:hAnsi="仿宋" w:eastAsia="仿宋"/>
          <w:sz w:val="32"/>
          <w:szCs w:val="32"/>
          <w:lang w:eastAsia="zh-CN"/>
        </w:rPr>
        <w:t>项</w:t>
      </w:r>
      <w:r>
        <w:rPr>
          <w:rFonts w:hint="eastAsia" w:ascii="仿宋" w:hAnsi="仿宋" w:eastAsia="仿宋"/>
          <w:sz w:val="32"/>
          <w:szCs w:val="32"/>
        </w:rPr>
        <w:t>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w:t>
      </w:r>
      <w:r>
        <w:rPr>
          <w:rFonts w:hint="eastAsia" w:ascii="仿宋" w:hAnsi="仿宋" w:eastAsia="仿宋"/>
          <w:sz w:val="32"/>
          <w:szCs w:val="32"/>
          <w:lang w:eastAsia="zh-CN"/>
        </w:rPr>
        <w:t>郸市魏县德政镇</w:t>
      </w:r>
      <w:r>
        <w:rPr>
          <w:rFonts w:hint="eastAsia" w:ascii="仿宋" w:hAnsi="仿宋" w:eastAsia="仿宋"/>
          <w:sz w:val="32"/>
          <w:szCs w:val="32"/>
          <w:lang w:val="en-US" w:eastAsia="zh-CN"/>
        </w:rPr>
        <w:t>经济开发区魏州东路河北慕湖工程材料有限公司魏县分公司现有厂区内</w:t>
      </w:r>
      <w:r>
        <w:rPr>
          <w:rFonts w:hint="eastAsia" w:ascii="仿宋" w:hAnsi="仿宋" w:eastAsia="仿宋"/>
          <w:sz w:val="32"/>
          <w:szCs w:val="32"/>
          <w:lang w:eastAsia="zh-CN"/>
        </w:rPr>
        <w:t>，厂址中心地理坐标为北纬36°</w:t>
      </w:r>
      <w:r>
        <w:rPr>
          <w:rFonts w:hint="eastAsia" w:ascii="仿宋" w:hAnsi="仿宋" w:eastAsia="仿宋"/>
          <w:sz w:val="32"/>
          <w:szCs w:val="32"/>
          <w:lang w:val="en-US" w:eastAsia="zh-CN"/>
        </w:rPr>
        <w:t>20</w:t>
      </w:r>
      <w:r>
        <w:rPr>
          <w:rFonts w:hint="eastAsia" w:ascii="仿宋" w:hAnsi="仿宋" w:eastAsia="仿宋"/>
          <w:sz w:val="32"/>
          <w:szCs w:val="32"/>
          <w:lang w:eastAsia="zh-CN"/>
        </w:rPr>
        <w:t>'</w:t>
      </w:r>
      <w:r>
        <w:rPr>
          <w:rFonts w:hint="eastAsia" w:ascii="仿宋" w:hAnsi="仿宋" w:eastAsia="仿宋"/>
          <w:sz w:val="32"/>
          <w:szCs w:val="32"/>
          <w:lang w:val="en-US" w:eastAsia="zh-CN"/>
        </w:rPr>
        <w:t>30</w:t>
      </w:r>
      <w:r>
        <w:rPr>
          <w:rFonts w:hint="eastAsia" w:ascii="仿宋" w:hAnsi="仿宋" w:eastAsia="仿宋"/>
          <w:sz w:val="32"/>
          <w:szCs w:val="32"/>
          <w:lang w:eastAsia="zh-CN"/>
        </w:rPr>
        <w:t>.</w:t>
      </w:r>
      <w:r>
        <w:rPr>
          <w:rFonts w:hint="eastAsia" w:ascii="仿宋" w:hAnsi="仿宋" w:eastAsia="仿宋"/>
          <w:sz w:val="32"/>
          <w:szCs w:val="32"/>
          <w:lang w:val="en-US" w:eastAsia="zh-CN"/>
        </w:rPr>
        <w:t>95</w:t>
      </w:r>
      <w:r>
        <w:rPr>
          <w:rFonts w:hint="eastAsia" w:ascii="仿宋" w:hAnsi="仿宋" w:eastAsia="仿宋"/>
          <w:sz w:val="32"/>
          <w:szCs w:val="32"/>
          <w:lang w:eastAsia="zh-CN"/>
        </w:rPr>
        <w:t>"，东经114°</w:t>
      </w:r>
      <w:r>
        <w:rPr>
          <w:rFonts w:hint="eastAsia" w:ascii="仿宋" w:hAnsi="仿宋" w:eastAsia="仿宋"/>
          <w:sz w:val="32"/>
          <w:szCs w:val="32"/>
          <w:lang w:val="en-US" w:eastAsia="zh-CN"/>
        </w:rPr>
        <w:t>59</w:t>
      </w:r>
      <w:r>
        <w:rPr>
          <w:rFonts w:hint="eastAsia" w:ascii="仿宋" w:hAnsi="仿宋" w:eastAsia="仿宋"/>
          <w:sz w:val="32"/>
          <w:szCs w:val="32"/>
          <w:lang w:eastAsia="zh-CN"/>
        </w:rPr>
        <w:t>'2</w:t>
      </w:r>
      <w:r>
        <w:rPr>
          <w:rFonts w:hint="eastAsia" w:ascii="仿宋" w:hAnsi="仿宋" w:eastAsia="仿宋"/>
          <w:sz w:val="32"/>
          <w:szCs w:val="32"/>
          <w:lang w:val="en-US" w:eastAsia="zh-CN"/>
        </w:rPr>
        <w:t>2</w:t>
      </w:r>
      <w:r>
        <w:rPr>
          <w:rFonts w:hint="eastAsia" w:ascii="仿宋" w:hAnsi="仿宋" w:eastAsia="仿宋"/>
          <w:sz w:val="32"/>
          <w:szCs w:val="32"/>
          <w:lang w:eastAsia="zh-CN"/>
        </w:rPr>
        <w:t>.</w:t>
      </w:r>
      <w:r>
        <w:rPr>
          <w:rFonts w:hint="eastAsia" w:ascii="仿宋" w:hAnsi="仿宋" w:eastAsia="仿宋"/>
          <w:sz w:val="32"/>
          <w:szCs w:val="32"/>
          <w:lang w:val="en-US" w:eastAsia="zh-CN"/>
        </w:rPr>
        <w:t>56</w:t>
      </w:r>
      <w:r>
        <w:rPr>
          <w:rFonts w:hint="eastAsia" w:ascii="仿宋" w:hAnsi="仿宋" w:eastAsia="仿宋"/>
          <w:sz w:val="32"/>
          <w:szCs w:val="32"/>
          <w:lang w:eastAsia="zh-CN"/>
        </w:rPr>
        <w:t>"。建设内容及建设规模：该项目占地面积41333.5㎡，建设生产车间、办公室、原料库和成品库等，建筑面积20000㎡；购置原料筒仓</w:t>
      </w:r>
      <w:r>
        <w:rPr>
          <w:rFonts w:hint="eastAsia" w:ascii="仿宋" w:hAnsi="仿宋" w:eastAsia="仿宋"/>
          <w:sz w:val="32"/>
          <w:szCs w:val="32"/>
          <w:lang w:val="en-US" w:eastAsia="zh-CN"/>
        </w:rPr>
        <w:t>、</w:t>
      </w:r>
      <w:r>
        <w:rPr>
          <w:rFonts w:hint="eastAsia" w:ascii="仿宋" w:hAnsi="仿宋" w:eastAsia="仿宋"/>
          <w:sz w:val="32"/>
          <w:szCs w:val="32"/>
          <w:lang w:eastAsia="zh-CN"/>
        </w:rPr>
        <w:t>混合搅拌机</w:t>
      </w:r>
      <w:r>
        <w:rPr>
          <w:rFonts w:hint="eastAsia" w:ascii="仿宋" w:hAnsi="仿宋" w:eastAsia="仿宋"/>
          <w:sz w:val="32"/>
          <w:szCs w:val="32"/>
          <w:lang w:val="en-US" w:eastAsia="zh-CN"/>
        </w:rPr>
        <w:t>、</w:t>
      </w:r>
      <w:r>
        <w:rPr>
          <w:rFonts w:hint="eastAsia" w:ascii="仿宋" w:hAnsi="仿宋" w:eastAsia="仿宋"/>
          <w:sz w:val="32"/>
          <w:szCs w:val="32"/>
          <w:lang w:eastAsia="zh-CN"/>
        </w:rPr>
        <w:t>砂浆搅拌机</w:t>
      </w:r>
      <w:r>
        <w:rPr>
          <w:rFonts w:hint="eastAsia" w:ascii="仿宋" w:hAnsi="仿宋" w:eastAsia="仿宋"/>
          <w:sz w:val="32"/>
          <w:szCs w:val="32"/>
          <w:lang w:val="en-US" w:eastAsia="zh-CN"/>
        </w:rPr>
        <w:t>、</w:t>
      </w:r>
      <w:r>
        <w:rPr>
          <w:rFonts w:hint="eastAsia" w:ascii="仿宋" w:hAnsi="仿宋" w:eastAsia="仿宋"/>
          <w:sz w:val="32"/>
          <w:szCs w:val="32"/>
          <w:lang w:eastAsia="zh-CN"/>
        </w:rPr>
        <w:t>半成品料仓</w:t>
      </w:r>
      <w:r>
        <w:rPr>
          <w:rFonts w:hint="eastAsia" w:ascii="仿宋" w:hAnsi="仿宋" w:eastAsia="仿宋"/>
          <w:sz w:val="32"/>
          <w:szCs w:val="32"/>
          <w:lang w:val="en-US" w:eastAsia="zh-CN"/>
        </w:rPr>
        <w:t>、</w:t>
      </w:r>
      <w:r>
        <w:rPr>
          <w:rFonts w:hint="eastAsia" w:ascii="仿宋" w:hAnsi="仿宋" w:eastAsia="仿宋"/>
          <w:sz w:val="32"/>
          <w:szCs w:val="32"/>
          <w:lang w:eastAsia="zh-CN"/>
        </w:rPr>
        <w:t>螺旋输送机等设备；</w:t>
      </w:r>
      <w:r>
        <w:rPr>
          <w:rFonts w:hint="eastAsia" w:ascii="仿宋" w:hAnsi="仿宋" w:eastAsia="仿宋"/>
          <w:sz w:val="32"/>
          <w:szCs w:val="32"/>
          <w:lang w:val="en-US" w:eastAsia="zh-CN"/>
        </w:rPr>
        <w:t>总投资</w:t>
      </w:r>
      <w:r>
        <w:rPr>
          <w:rFonts w:hint="eastAsia" w:ascii="仿宋" w:hAnsi="仿宋" w:eastAsia="仿宋"/>
          <w:sz w:val="32"/>
          <w:szCs w:val="32"/>
          <w:lang w:eastAsia="zh-CN"/>
        </w:rPr>
        <w:t>15000万元，其中环保投资152万元，占总投资的1.01%。</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河北奇正环境科技有限公司</w:t>
      </w:r>
      <w:r>
        <w:rPr>
          <w:rFonts w:hint="eastAsia" w:ascii="仿宋" w:hAnsi="仿宋" w:eastAsia="仿宋" w:cs="仿宋"/>
          <w:sz w:val="32"/>
          <w:szCs w:val="32"/>
        </w:rPr>
        <w:t>编制的《</w:t>
      </w:r>
      <w:r>
        <w:rPr>
          <w:rFonts w:hint="eastAsia" w:ascii="仿宋" w:hAnsi="仿宋" w:eastAsia="仿宋"/>
          <w:sz w:val="32"/>
          <w:szCs w:val="32"/>
          <w:lang w:eastAsia="zh-CN"/>
        </w:rPr>
        <w:t>河北恩赛纳微新材料科技发展有限公司</w:t>
      </w:r>
      <w:r>
        <w:rPr>
          <w:rFonts w:hint="eastAsia" w:ascii="仿宋" w:hAnsi="仿宋" w:eastAsia="仿宋"/>
          <w:sz w:val="32"/>
          <w:szCs w:val="32"/>
          <w:lang w:val="en-US" w:eastAsia="zh-CN"/>
        </w:rPr>
        <w:t>NCC新材料装配式建筑产业基地</w:t>
      </w:r>
      <w:r>
        <w:rPr>
          <w:rFonts w:hint="eastAsia" w:ascii="仿宋" w:hAnsi="仿宋" w:eastAsia="仿宋"/>
          <w:sz w:val="32"/>
          <w:szCs w:val="32"/>
        </w:rPr>
        <w:t>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w:t>
      </w:r>
      <w:r>
        <w:rPr>
          <w:rFonts w:hint="eastAsia" w:ascii="仿宋" w:hAnsi="仿宋" w:eastAsia="仿宋" w:cs="仿宋"/>
          <w:sz w:val="32"/>
          <w:szCs w:val="32"/>
          <w:lang w:val="en-US" w:eastAsia="zh-CN"/>
        </w:rPr>
        <w:t>单位承担，并重点做好以下工作：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营运期：⑴废气：该项目废气主要为</w:t>
      </w:r>
      <w:r>
        <w:rPr>
          <w:rFonts w:hint="eastAsia" w:ascii="仿宋" w:hAnsi="仿宋" w:eastAsia="仿宋" w:cs="仿宋"/>
          <w:sz w:val="32"/>
          <w:szCs w:val="32"/>
        </w:rPr>
        <w:t>原料筒仓含尘废气、半成品料仓含尘废气、出料口含尘废气和无组织废气，主要污染物为颗粒物</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原料筒仓含尘废气通过原料筒仓各自的仓顶管道引出，共用1台布袋除尘器处理后，经1根15m高排气筒DA001排放。满足河北省地方标准《水泥工业大气污染物超低排放标准》（DB13/2167-2020）表1中散装水泥中转站及水泥制品生产排放限值。半成品料仓含尘废气和出料口含尘废气通过半成品料仓仓顶管道引出，由1台布袋除尘器处理后，经1根15m高排气筒DA002排放。包装机自带料仓的出料口出料时产生少量含尘废气，通过出料口四周密闭、设集气管道收集，由1台布袋除尘器处理后，与半成品料仓含尘废气共用1根15m高排气筒DA002排放。满足河北省地方标准《水泥工业大气污染物超低排放标准》（DB13/2167-2020）表1中散装水泥中转站及水泥制品生产排放限值。复配车间无组织废气通过采取加强有组织收集、车间密闭、加强清扫等措施，可减少无组织废气外排。运输车辆扬尘通过采取运输车辆利用苫布苫盖，厂区和车间地面硬化并洒水抑尘，厂区出入口设置洗车平台对运输车辆进行冲洗，可减少粉尘无组织排放。厂界颗粒物浓度满足河北省地方标准《水泥工业大气污染物超低排放标准》（DB13/2167-2020）表2中颗粒物排放限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（2）废水：该项目废</w:t>
      </w:r>
      <w:r>
        <w:rPr>
          <w:rFonts w:hint="eastAsia" w:ascii="仿宋" w:hAnsi="仿宋" w:eastAsia="仿宋" w:cs="仿宋"/>
          <w:sz w:val="32"/>
          <w:szCs w:val="32"/>
        </w:rPr>
        <w:t>水主要为主混合机清洗废水、运输车辆冲洗废水和职工生活污水。主混合机清洗废水和运输车辆冲洗废水一起经沉淀池沉淀处理后回用于湿混工序，不外排；职工生活盥洗水用于厂区泼洒抑尘，并设防渗旱厕，定期清掏用作农肥。</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项目噪声主要为混合搅拌机、主混合机、输送泵、螺杆空压机、风机等设备产生的噪声。通过选用低噪声设备、采取基础减振、厂房隔声、风机消音等措施后</w:t>
      </w:r>
      <w:r>
        <w:rPr>
          <w:rFonts w:hint="eastAsia" w:ascii="仿宋" w:hAnsi="仿宋" w:eastAsia="仿宋" w:cs="仿宋"/>
          <w:sz w:val="32"/>
          <w:szCs w:val="32"/>
          <w:lang w:eastAsia="zh-CN"/>
        </w:rPr>
        <w:t>，</w:t>
      </w:r>
      <w:r>
        <w:rPr>
          <w:rFonts w:hint="eastAsia" w:ascii="仿宋" w:hAnsi="仿宋" w:eastAsia="仿宋" w:cs="仿宋"/>
          <w:sz w:val="32"/>
          <w:szCs w:val="32"/>
        </w:rPr>
        <w:t>满足《工业企业厂界环境噪声排放标准》（GB12348-2008）中3类标准的要求。</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项目固体废物为</w:t>
      </w:r>
      <w:r>
        <w:rPr>
          <w:rFonts w:hint="eastAsia" w:ascii="仿宋" w:hAnsi="仿宋" w:eastAsia="仿宋" w:cs="仿宋"/>
          <w:sz w:val="32"/>
          <w:szCs w:val="32"/>
        </w:rPr>
        <w:t>一般工业固体废物和职工生活垃圾。其中一般工业固体废物主要为废包装材料、不合格品、损坏的拆卸式模板、除尘灰、沉淀池污泥</w:t>
      </w:r>
      <w:r>
        <w:rPr>
          <w:rFonts w:hint="eastAsia" w:ascii="仿宋" w:hAnsi="仿宋" w:eastAsia="仿宋" w:cs="仿宋"/>
          <w:sz w:val="32"/>
          <w:szCs w:val="32"/>
          <w:lang w:eastAsia="zh-CN"/>
        </w:rPr>
        <w:t>。</w:t>
      </w:r>
      <w:r>
        <w:rPr>
          <w:rFonts w:hint="eastAsia" w:ascii="仿宋" w:hAnsi="仿宋" w:eastAsia="仿宋" w:cs="仿宋"/>
          <w:sz w:val="32"/>
          <w:szCs w:val="32"/>
        </w:rPr>
        <w:t>一般工业固体废物经收集后外售综合利用</w:t>
      </w:r>
      <w:r>
        <w:rPr>
          <w:rFonts w:hint="eastAsia" w:ascii="仿宋" w:hAnsi="仿宋" w:eastAsia="仿宋" w:cs="仿宋"/>
          <w:sz w:val="32"/>
          <w:szCs w:val="32"/>
          <w:lang w:eastAsia="zh-CN"/>
        </w:rPr>
        <w:t>。</w:t>
      </w:r>
      <w:r>
        <w:rPr>
          <w:rFonts w:hint="eastAsia" w:ascii="仿宋" w:hAnsi="仿宋" w:eastAsia="仿宋" w:cs="仿宋"/>
          <w:sz w:val="32"/>
          <w:szCs w:val="32"/>
        </w:rPr>
        <w:t>职工生活垃圾集中收集后定期由环卫部门统一处理。一般固废执行《一般工业固体废物贮存和填埋污染控制标准》（GB18599-2020）中的相关规定，不会对周围环境产生影响。</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5760" w:firstLineChars="18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val="0"/>
        <w:spacing w:line="640" w:lineRule="exact"/>
        <w:ind w:firstLine="6080" w:firstLineChars="19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40" w:lineRule="exact"/>
        <w:ind w:firstLine="5440" w:firstLineChars="1700"/>
        <w:textAlignment w:val="auto"/>
        <w:rPr>
          <w:rFonts w:ascii="Times New Roman" w:hAnsi="Times New Roman" w:eastAsia="仿宋_GB2312" w:cs="Times New Roman"/>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三十</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4</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30</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3A73B31"/>
    <w:rsid w:val="07286881"/>
    <w:rsid w:val="07490707"/>
    <w:rsid w:val="082E31FF"/>
    <w:rsid w:val="0A107B19"/>
    <w:rsid w:val="0A9D106A"/>
    <w:rsid w:val="0C68597E"/>
    <w:rsid w:val="0F1C2311"/>
    <w:rsid w:val="12AB7149"/>
    <w:rsid w:val="14491426"/>
    <w:rsid w:val="157E222F"/>
    <w:rsid w:val="17510115"/>
    <w:rsid w:val="18577024"/>
    <w:rsid w:val="19740811"/>
    <w:rsid w:val="19895A0E"/>
    <w:rsid w:val="20E03FCA"/>
    <w:rsid w:val="20F90A4D"/>
    <w:rsid w:val="21133C3D"/>
    <w:rsid w:val="21AF7885"/>
    <w:rsid w:val="25645A32"/>
    <w:rsid w:val="270C7858"/>
    <w:rsid w:val="271D64A4"/>
    <w:rsid w:val="2E2D6C30"/>
    <w:rsid w:val="2E434E08"/>
    <w:rsid w:val="2EF56638"/>
    <w:rsid w:val="30E83423"/>
    <w:rsid w:val="35B62865"/>
    <w:rsid w:val="36102230"/>
    <w:rsid w:val="38B24769"/>
    <w:rsid w:val="3B6E30B9"/>
    <w:rsid w:val="3E7120FF"/>
    <w:rsid w:val="3E973002"/>
    <w:rsid w:val="41127513"/>
    <w:rsid w:val="413C1DEB"/>
    <w:rsid w:val="4311484D"/>
    <w:rsid w:val="43942C39"/>
    <w:rsid w:val="47746782"/>
    <w:rsid w:val="47AE5060"/>
    <w:rsid w:val="47BF2A01"/>
    <w:rsid w:val="4AB132DC"/>
    <w:rsid w:val="4C473D74"/>
    <w:rsid w:val="4DC4048C"/>
    <w:rsid w:val="4E610056"/>
    <w:rsid w:val="4EF77B4F"/>
    <w:rsid w:val="53E73FF6"/>
    <w:rsid w:val="53F72BDF"/>
    <w:rsid w:val="56603A7B"/>
    <w:rsid w:val="57636D42"/>
    <w:rsid w:val="58102F39"/>
    <w:rsid w:val="58552384"/>
    <w:rsid w:val="5D041EC4"/>
    <w:rsid w:val="5EF911DB"/>
    <w:rsid w:val="623F6E6B"/>
    <w:rsid w:val="63655EDA"/>
    <w:rsid w:val="63CA359B"/>
    <w:rsid w:val="63D349F9"/>
    <w:rsid w:val="65222343"/>
    <w:rsid w:val="658D21DE"/>
    <w:rsid w:val="66A7176F"/>
    <w:rsid w:val="66E4190D"/>
    <w:rsid w:val="718928E9"/>
    <w:rsid w:val="73234838"/>
    <w:rsid w:val="76964530"/>
    <w:rsid w:val="77387F1B"/>
    <w:rsid w:val="79531210"/>
    <w:rsid w:val="79EE4907"/>
    <w:rsid w:val="7A295A6E"/>
    <w:rsid w:val="7A361219"/>
    <w:rsid w:val="7AE665D2"/>
    <w:rsid w:val="7C273A6C"/>
    <w:rsid w:val="7E5B406A"/>
    <w:rsid w:val="7F0A587D"/>
    <w:rsid w:val="7F893AA0"/>
    <w:rsid w:val="7F9922F7"/>
    <w:rsid w:val="7FE741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5"/>
    <w:qFormat/>
    <w:uiPriority w:val="0"/>
    <w:pPr>
      <w:spacing w:line="240" w:lineRule="auto"/>
      <w:ind w:left="420" w:leftChars="200" w:firstLine="420" w:firstLineChars="200"/>
    </w:pPr>
    <w:rPr>
      <w:sz w:val="21"/>
    </w:r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 w:type="paragraph" w:customStyle="1" w:styleId="23">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4">
    <w:name w:val="Default"/>
    <w:qFormat/>
    <w:uiPriority w:val="0"/>
    <w:pPr>
      <w:widowControl w:val="0"/>
      <w:autoSpaceDE w:val="0"/>
      <w:autoSpaceDN w:val="0"/>
      <w:adjustRightInd w:val="0"/>
    </w:pPr>
    <w:rPr>
      <w:rFonts w:ascii="Calibri" w:hAnsi="Calibri" w:eastAsia="Calibri"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7</TotalTime>
  <ScaleCrop>false</ScaleCrop>
  <LinksUpToDate>false</LinksUpToDate>
  <CharactersWithSpaces>1395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2020-10-19T01:39:00Z</cp:lastPrinted>
  <dcterms:modified xsi:type="dcterms:W3CDTF">2021-04-30T02:55:39Z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E522C627C8BC4F9AACF25934B81B1B2C</vt:lpwstr>
  </property>
</Properties>
</file>