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Theme="majorEastAsia" w:hAnsiTheme="majorEastAsia" w:eastAsiaTheme="majorEastAsia" w:cstheme="majorEastAsia"/>
          <w:b w:val="0"/>
          <w:bCs/>
          <w:sz w:val="36"/>
          <w:szCs w:val="36"/>
          <w:lang w:bidi="ar-SA"/>
        </w:rPr>
      </w:pPr>
      <w:r>
        <w:rPr>
          <w:rFonts w:hint="eastAsia" w:asciiTheme="majorEastAsia" w:hAnsiTheme="majorEastAsia" w:eastAsiaTheme="majorEastAsia" w:cstheme="majorEastAsia"/>
          <w:b w:val="0"/>
          <w:bCs/>
          <w:sz w:val="36"/>
          <w:szCs w:val="36"/>
          <w:lang w:bidi="ar-SA"/>
        </w:rPr>
        <w:t>魏县人民政府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Theme="majorEastAsia" w:hAnsiTheme="majorEastAsia" w:eastAsiaTheme="majorEastAsia" w:cstheme="majorEastAsia"/>
          <w:b w:val="0"/>
          <w:bCs/>
          <w:sz w:val="36"/>
          <w:szCs w:val="36"/>
        </w:rPr>
      </w:pPr>
      <w:r>
        <w:rPr>
          <w:rFonts w:hint="eastAsia" w:asciiTheme="majorEastAsia" w:hAnsiTheme="majorEastAsia" w:eastAsiaTheme="majorEastAsia" w:cstheme="majorEastAsia"/>
          <w:b w:val="0"/>
          <w:bCs/>
          <w:sz w:val="36"/>
          <w:szCs w:val="36"/>
          <w:lang w:bidi="ar-SA"/>
        </w:rPr>
        <w:t>关于公布魏县河湖保护名录的通告</w:t>
      </w:r>
      <w:r>
        <w:rPr>
          <w:rFonts w:hint="eastAsia" w:asciiTheme="majorEastAsia" w:hAnsiTheme="majorEastAsia" w:eastAsiaTheme="majorEastAsia" w:cstheme="majorEastAsia"/>
          <w:b w:val="0"/>
          <w:bCs/>
          <w:sz w:val="36"/>
          <w:szCs w:val="36"/>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left="0" w:leftChars="0" w:right="0" w:rightChars="0" w:firstLine="105" w:firstLineChars="50"/>
        <w:jc w:val="center"/>
        <w:textAlignment w:val="auto"/>
        <w:outlineLvl w:val="9"/>
        <w:rPr>
          <w:rFonts w:hint="default" w:ascii="Times New Roman" w:hAnsi="Times New Roman" w:eastAsia="宋体" w:cs="Times New Roman"/>
          <w:b/>
          <w:sz w:val="21"/>
          <w:szCs w:val="21"/>
          <w:lang w:bidi="ar-SA"/>
        </w:rPr>
      </w:pPr>
      <w:r>
        <w:rPr>
          <w:rFonts w:hint="default" w:ascii="Times New Roman" w:hAnsi="Times New Roman" w:eastAsia="宋体" w:cs="Times New Roman"/>
          <w:sz w:val="21"/>
          <w:szCs w:val="21"/>
          <w:lang w:bidi="ar-SA"/>
        </w:rPr>
        <w:t>魏政告〔2020〕</w:t>
      </w:r>
      <w:r>
        <w:rPr>
          <w:rFonts w:hint="default" w:ascii="Times New Roman" w:hAnsi="Times New Roman" w:eastAsia="宋体" w:cs="Times New Roman"/>
          <w:sz w:val="21"/>
          <w:szCs w:val="21"/>
          <w:lang w:val="en-US" w:eastAsia="zh-CN" w:bidi="ar-SA"/>
        </w:rPr>
        <w:t>5</w:t>
      </w:r>
      <w:r>
        <w:rPr>
          <w:rFonts w:hint="default" w:ascii="Times New Roman" w:hAnsi="Times New Roman" w:eastAsia="宋体" w:cs="Times New Roman"/>
          <w:sz w:val="21"/>
          <w:szCs w:val="21"/>
          <w:lang w:bidi="ar-SA"/>
        </w:rPr>
        <w:t>号</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315" w:firstLineChars="150"/>
        <w:jc w:val="both"/>
        <w:textAlignment w:val="auto"/>
        <w:outlineLvl w:val="9"/>
        <w:rPr>
          <w:rFonts w:hint="default" w:ascii="Times New Roman" w:hAnsi="Times New Roman" w:eastAsia="宋体" w:cs="Times New Roman"/>
          <w:sz w:val="21"/>
          <w:szCs w:val="21"/>
          <w:lang w:bidi="ar-SA"/>
        </w:rPr>
      </w:pPr>
      <w:r>
        <w:rPr>
          <w:rFonts w:hint="default" w:ascii="Times New Roman" w:hAnsi="Times New Roman" w:eastAsia="宋体" w:cs="Times New Roman"/>
          <w:sz w:val="21"/>
          <w:szCs w:val="21"/>
          <w:lang w:bidi="ar-SA"/>
        </w:rPr>
        <w:t>《魏县河湖保护名录》已经县政府审定，现予公布。有关乡镇政府、街道办</w:t>
      </w:r>
      <w:r>
        <w:rPr>
          <w:rFonts w:hint="default" w:ascii="Times New Roman" w:hAnsi="Times New Roman" w:eastAsia="宋体" w:cs="Times New Roman"/>
          <w:sz w:val="21"/>
          <w:szCs w:val="21"/>
          <w:lang w:eastAsia="zh-CN" w:bidi="ar-SA"/>
        </w:rPr>
        <w:t>、</w:t>
      </w:r>
      <w:r>
        <w:rPr>
          <w:rFonts w:hint="default" w:ascii="Times New Roman" w:hAnsi="Times New Roman" w:eastAsia="宋体" w:cs="Times New Roman"/>
          <w:sz w:val="21"/>
          <w:szCs w:val="21"/>
          <w:lang w:bidi="ar-SA"/>
        </w:rPr>
        <w:t>各级河长以及水利、自然资源、生态环境、农业农村、发展改革、财政、交通运输、公安、司法、住房和城乡建设、文化广电和旅游、应急管理、林果、综合行政执法等部门，要严格按照《河北省河湖保护和治理条例》</w:t>
      </w:r>
      <w:r>
        <w:rPr>
          <w:rFonts w:hint="default" w:ascii="Times New Roman" w:hAnsi="Times New Roman" w:eastAsia="宋体" w:cs="Times New Roman"/>
          <w:sz w:val="21"/>
          <w:szCs w:val="21"/>
          <w:lang w:eastAsia="zh-CN" w:bidi="ar-SA"/>
        </w:rPr>
        <w:t>的</w:t>
      </w:r>
      <w:r>
        <w:rPr>
          <w:rFonts w:hint="default" w:ascii="Times New Roman" w:hAnsi="Times New Roman" w:eastAsia="宋体" w:cs="Times New Roman"/>
          <w:sz w:val="21"/>
          <w:szCs w:val="21"/>
          <w:lang w:bidi="ar-SA"/>
        </w:rPr>
        <w:t>相关规定，认真做好</w:t>
      </w:r>
      <w:r>
        <w:rPr>
          <w:rFonts w:hint="default" w:ascii="Times New Roman" w:hAnsi="Times New Roman" w:eastAsia="宋体" w:cs="Times New Roman"/>
          <w:sz w:val="21"/>
          <w:szCs w:val="21"/>
          <w:lang w:eastAsia="zh-CN" w:bidi="ar-SA"/>
        </w:rPr>
        <w:t>我县</w:t>
      </w:r>
      <w:r>
        <w:rPr>
          <w:rFonts w:hint="default" w:ascii="Times New Roman" w:hAnsi="Times New Roman" w:eastAsia="宋体" w:cs="Times New Roman"/>
          <w:sz w:val="21"/>
          <w:szCs w:val="21"/>
          <w:lang w:bidi="ar-SA"/>
        </w:rPr>
        <w:t>河湖保护和治理工作，改善河湖生态环境，恢复河湖生态功能，维护河湖健康生命。</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Times New Roman" w:hAnsi="Times New Roman" w:cs="Times New Roman"/>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lang w:bidi="ar-SA"/>
        </w:rPr>
      </w:pPr>
      <w:r>
        <w:rPr>
          <w:rFonts w:hint="default" w:ascii="Times New Roman" w:hAnsi="Times New Roman" w:eastAsia="宋体" w:cs="Times New Roman"/>
          <w:sz w:val="28"/>
          <w:szCs w:val="28"/>
          <w:lang w:bidi="ar-SA"/>
        </w:rPr>
        <w:t>魏县河湖保护名录</w:t>
      </w:r>
    </w:p>
    <w:tbl>
      <w:tblPr>
        <w:tblStyle w:val="6"/>
        <w:tblpPr w:leftFromText="180" w:rightFromText="180" w:vertAnchor="text" w:horzAnchor="page" w:tblpX="1630" w:tblpY="584"/>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10"/>
        <w:gridCol w:w="1100"/>
        <w:gridCol w:w="3250"/>
        <w:gridCol w:w="2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736" w:type="dxa"/>
            <w:tcBorders>
              <w:top w:val="single" w:color="auto" w:sz="4" w:space="0"/>
              <w:bottom w:val="single" w:color="auto" w:sz="4" w:space="0"/>
              <w:right w:val="single" w:color="auto" w:sz="4" w:space="0"/>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黑体" w:cs="Times New Roman"/>
                <w:sz w:val="21"/>
                <w:szCs w:val="21"/>
                <w:lang w:bidi="ar-SA"/>
              </w:rPr>
            </w:pPr>
            <w:r>
              <w:rPr>
                <w:rFonts w:hint="default" w:ascii="Times New Roman" w:hAnsi="Times New Roman" w:eastAsia="黑体" w:cs="Times New Roman"/>
                <w:sz w:val="21"/>
                <w:szCs w:val="21"/>
                <w:lang w:bidi="ar-SA"/>
              </w:rPr>
              <w:t>序号</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黑体" w:cs="Times New Roman"/>
                <w:sz w:val="21"/>
                <w:szCs w:val="21"/>
                <w:lang w:bidi="ar-SA"/>
              </w:rPr>
            </w:pPr>
            <w:r>
              <w:rPr>
                <w:rFonts w:hint="default" w:ascii="Times New Roman" w:hAnsi="Times New Roman" w:eastAsia="黑体" w:cs="Times New Roman"/>
                <w:sz w:val="21"/>
                <w:szCs w:val="21"/>
                <w:lang w:bidi="ar-SA"/>
              </w:rPr>
              <w:t>河湖名称</w:t>
            </w:r>
          </w:p>
        </w:tc>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黑体" w:cs="Times New Roman"/>
                <w:sz w:val="21"/>
                <w:szCs w:val="21"/>
                <w:lang w:bidi="ar-SA"/>
              </w:rPr>
            </w:pPr>
            <w:r>
              <w:rPr>
                <w:rFonts w:hint="default" w:ascii="Times New Roman" w:hAnsi="Times New Roman" w:eastAsia="黑体" w:cs="Times New Roman"/>
                <w:sz w:val="21"/>
                <w:szCs w:val="21"/>
                <w:lang w:bidi="ar-SA"/>
              </w:rPr>
              <w:t>河湖长度（km）</w:t>
            </w:r>
          </w:p>
        </w:tc>
        <w:tc>
          <w:tcPr>
            <w:tcW w:w="3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黑体" w:cs="Times New Roman"/>
                <w:sz w:val="21"/>
                <w:szCs w:val="21"/>
                <w:lang w:bidi="ar-SA"/>
              </w:rPr>
            </w:pPr>
            <w:r>
              <w:rPr>
                <w:rFonts w:hint="default" w:ascii="Times New Roman" w:hAnsi="Times New Roman" w:eastAsia="黑体" w:cs="Times New Roman"/>
                <w:sz w:val="21"/>
                <w:szCs w:val="21"/>
                <w:lang w:bidi="ar-SA"/>
              </w:rPr>
              <w:t>起止点坐标</w:t>
            </w:r>
          </w:p>
        </w:tc>
        <w:tc>
          <w:tcPr>
            <w:tcW w:w="2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黑体" w:cs="Times New Roman"/>
                <w:sz w:val="21"/>
                <w:szCs w:val="21"/>
                <w:lang w:bidi="ar-SA"/>
              </w:rPr>
            </w:pPr>
            <w:r>
              <w:rPr>
                <w:rFonts w:hint="default" w:ascii="Times New Roman" w:hAnsi="Times New Roman" w:eastAsia="黑体" w:cs="Times New Roman"/>
                <w:sz w:val="21"/>
                <w:szCs w:val="21"/>
                <w:lang w:bidi="ar-SA"/>
              </w:rPr>
              <w:t>河流流经乡镇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736" w:type="dxa"/>
            <w:tcBorders>
              <w:top w:val="single" w:color="auto" w:sz="4" w:space="0"/>
              <w:bottom w:val="single" w:color="auto" w:sz="4" w:space="0"/>
              <w:right w:val="single" w:color="auto" w:sz="4" w:space="0"/>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1</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漳河</w:t>
            </w:r>
          </w:p>
        </w:tc>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32.3</w:t>
            </w:r>
          </w:p>
        </w:tc>
        <w:tc>
          <w:tcPr>
            <w:tcW w:w="3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w w:val="97"/>
                <w:sz w:val="18"/>
                <w:szCs w:val="18"/>
              </w:rPr>
            </w:pPr>
            <w:r>
              <w:rPr>
                <w:rFonts w:hint="eastAsia" w:ascii="Times New Roman" w:hAnsi="Times New Roman" w:cs="Times New Roman"/>
                <w:w w:val="97"/>
                <w:sz w:val="18"/>
                <w:szCs w:val="18"/>
                <w:lang w:eastAsia="zh-CN"/>
              </w:rPr>
              <w:t>起：</w:t>
            </w:r>
            <w:r>
              <w:rPr>
                <w:rFonts w:hint="default" w:ascii="Times New Roman" w:hAnsi="Times New Roman" w:eastAsia="宋体" w:cs="Times New Roman"/>
                <w:w w:val="97"/>
                <w:sz w:val="18"/>
                <w:szCs w:val="18"/>
              </w:rPr>
              <w:t>E114˚44ʹ55.84ʺN36˚12ʹ20.87ʺ</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sz w:val="18"/>
                <w:szCs w:val="18"/>
              </w:rPr>
            </w:pPr>
            <w:r>
              <w:rPr>
                <w:rFonts w:hint="default" w:ascii="Times New Roman" w:hAnsi="Times New Roman" w:eastAsia="宋体" w:cs="Times New Roman"/>
                <w:w w:val="97"/>
                <w:sz w:val="18"/>
                <w:szCs w:val="18"/>
              </w:rPr>
              <w:t>止</w:t>
            </w:r>
            <w:r>
              <w:rPr>
                <w:rFonts w:hint="eastAsia" w:ascii="Times New Roman" w:hAnsi="Times New Roman" w:cs="Times New Roman"/>
                <w:w w:val="97"/>
                <w:sz w:val="18"/>
                <w:szCs w:val="18"/>
                <w:lang w:eastAsia="zh-CN"/>
              </w:rPr>
              <w:t>：</w:t>
            </w:r>
            <w:r>
              <w:rPr>
                <w:rFonts w:hint="default" w:ascii="Times New Roman" w:hAnsi="Times New Roman" w:eastAsia="宋体" w:cs="Times New Roman"/>
                <w:w w:val="97"/>
                <w:sz w:val="18"/>
                <w:szCs w:val="18"/>
              </w:rPr>
              <w:t>E115˚4ʹ15.55ʺN36˚17ʹ50.86ʺ</w:t>
            </w:r>
          </w:p>
        </w:tc>
        <w:tc>
          <w:tcPr>
            <w:tcW w:w="2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rPr>
              <w:t>北皋镇、车往镇、北台头乡、南双庙镇、双井镇、大辛庄乡、沙口集乡、德政镇、野胡拐乡、仕望集乡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736" w:type="dxa"/>
            <w:tcBorders>
              <w:top w:val="single" w:color="auto" w:sz="4" w:space="0"/>
              <w:bottom w:val="single" w:color="auto" w:sz="4" w:space="0"/>
              <w:right w:val="single" w:color="auto" w:sz="4" w:space="0"/>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2</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卫河</w:t>
            </w:r>
          </w:p>
        </w:tc>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15.9</w:t>
            </w:r>
          </w:p>
        </w:tc>
        <w:tc>
          <w:tcPr>
            <w:tcW w:w="3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w w:val="98"/>
                <w:sz w:val="18"/>
                <w:szCs w:val="18"/>
              </w:rPr>
            </w:pPr>
            <w:r>
              <w:rPr>
                <w:rFonts w:hint="default" w:ascii="Times New Roman" w:hAnsi="Times New Roman" w:eastAsia="宋体" w:cs="Times New Roman"/>
                <w:w w:val="98"/>
                <w:sz w:val="18"/>
                <w:szCs w:val="18"/>
              </w:rPr>
              <w:t>起</w:t>
            </w:r>
            <w:r>
              <w:rPr>
                <w:rFonts w:hint="eastAsia" w:ascii="Times New Roman" w:hAnsi="Times New Roman" w:cs="Times New Roman"/>
                <w:w w:val="98"/>
                <w:sz w:val="18"/>
                <w:szCs w:val="18"/>
                <w:lang w:eastAsia="zh-CN"/>
              </w:rPr>
              <w:t>：</w:t>
            </w:r>
            <w:r>
              <w:rPr>
                <w:rFonts w:hint="default" w:ascii="Times New Roman" w:hAnsi="Times New Roman" w:eastAsia="宋体" w:cs="Times New Roman"/>
                <w:w w:val="98"/>
                <w:sz w:val="18"/>
                <w:szCs w:val="18"/>
              </w:rPr>
              <w:t>E114˚54ʹ52.01ʺ N36˚02ʹ53.28ʺ</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w w:val="98"/>
                <w:sz w:val="18"/>
                <w:szCs w:val="18"/>
              </w:rPr>
            </w:pPr>
            <w:r>
              <w:rPr>
                <w:rFonts w:hint="default" w:ascii="Times New Roman" w:hAnsi="Times New Roman" w:eastAsia="宋体" w:cs="Times New Roman"/>
                <w:w w:val="98"/>
                <w:sz w:val="18"/>
                <w:szCs w:val="18"/>
              </w:rPr>
              <w:t>止</w:t>
            </w:r>
            <w:r>
              <w:rPr>
                <w:rFonts w:hint="eastAsia" w:ascii="Times New Roman" w:hAnsi="Times New Roman" w:cs="Times New Roman"/>
                <w:w w:val="98"/>
                <w:sz w:val="18"/>
                <w:szCs w:val="18"/>
                <w:lang w:eastAsia="zh-CN"/>
              </w:rPr>
              <w:t>：</w:t>
            </w:r>
            <w:r>
              <w:rPr>
                <w:rFonts w:hint="default" w:ascii="Times New Roman" w:hAnsi="Times New Roman" w:eastAsia="宋体" w:cs="Times New Roman"/>
                <w:w w:val="98"/>
                <w:sz w:val="18"/>
                <w:szCs w:val="18"/>
              </w:rPr>
              <w:t>E115˚2ʹ33.65ʺ N36˚6ʹ47.29ʺ</w:t>
            </w:r>
          </w:p>
        </w:tc>
        <w:tc>
          <w:tcPr>
            <w:tcW w:w="2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rPr>
              <w:t>张二庄镇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736" w:type="dxa"/>
            <w:tcBorders>
              <w:top w:val="single" w:color="auto" w:sz="4" w:space="0"/>
              <w:bottom w:val="single" w:color="auto" w:sz="4" w:space="0"/>
              <w:right w:val="single" w:color="auto" w:sz="4" w:space="0"/>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3</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魏大馆排水渠</w:t>
            </w:r>
          </w:p>
        </w:tc>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34.3</w:t>
            </w:r>
          </w:p>
        </w:tc>
        <w:tc>
          <w:tcPr>
            <w:tcW w:w="3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w w:val="98"/>
                <w:sz w:val="18"/>
                <w:szCs w:val="18"/>
              </w:rPr>
            </w:pPr>
            <w:r>
              <w:rPr>
                <w:rFonts w:hint="default" w:ascii="Times New Roman" w:hAnsi="Times New Roman" w:eastAsia="宋体" w:cs="Times New Roman"/>
                <w:w w:val="98"/>
                <w:sz w:val="18"/>
                <w:szCs w:val="18"/>
              </w:rPr>
              <w:t>起</w:t>
            </w:r>
            <w:r>
              <w:rPr>
                <w:rFonts w:hint="eastAsia" w:ascii="Times New Roman" w:hAnsi="Times New Roman" w:cs="Times New Roman"/>
                <w:w w:val="98"/>
                <w:sz w:val="18"/>
                <w:szCs w:val="18"/>
                <w:lang w:eastAsia="zh-CN"/>
              </w:rPr>
              <w:t>：</w:t>
            </w:r>
            <w:r>
              <w:rPr>
                <w:rFonts w:hint="default" w:ascii="Times New Roman" w:hAnsi="Times New Roman" w:eastAsia="宋体" w:cs="Times New Roman"/>
                <w:w w:val="98"/>
                <w:sz w:val="18"/>
                <w:szCs w:val="18"/>
              </w:rPr>
              <w:t>E114˚44ʹ7.51ʺN36˚14ʹ50.69ʺ</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w w:val="98"/>
                <w:sz w:val="18"/>
                <w:szCs w:val="18"/>
              </w:rPr>
            </w:pPr>
            <w:r>
              <w:rPr>
                <w:rFonts w:hint="default" w:ascii="Times New Roman" w:hAnsi="Times New Roman" w:eastAsia="宋体" w:cs="Times New Roman"/>
                <w:w w:val="98"/>
                <w:sz w:val="18"/>
                <w:szCs w:val="18"/>
              </w:rPr>
              <w:t>止:E115˚4ʹ5.32ʺN36˚19ʹ19.71ʺ</w:t>
            </w:r>
          </w:p>
        </w:tc>
        <w:tc>
          <w:tcPr>
            <w:tcW w:w="2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rPr>
              <w:t>北皋镇、前大磨乡、仕望集乡、野胡拐乡、德政镇、沙口集乡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736" w:type="dxa"/>
            <w:tcBorders>
              <w:top w:val="single" w:color="auto" w:sz="4" w:space="0"/>
              <w:bottom w:val="single" w:color="auto" w:sz="4" w:space="0"/>
              <w:right w:val="single" w:color="auto" w:sz="4" w:space="0"/>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4</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超级支渠</w:t>
            </w:r>
          </w:p>
        </w:tc>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11.5</w:t>
            </w:r>
          </w:p>
        </w:tc>
        <w:tc>
          <w:tcPr>
            <w:tcW w:w="3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w w:val="98"/>
                <w:sz w:val="18"/>
                <w:szCs w:val="18"/>
              </w:rPr>
            </w:pPr>
            <w:r>
              <w:rPr>
                <w:rFonts w:hint="default" w:ascii="Times New Roman" w:hAnsi="Times New Roman" w:eastAsia="宋体" w:cs="Times New Roman"/>
                <w:w w:val="98"/>
                <w:sz w:val="18"/>
                <w:szCs w:val="18"/>
              </w:rPr>
              <w:t>起:E114˚57ʹ46.05ʺN36˚13ʹ13.31ʺ</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w w:val="98"/>
                <w:sz w:val="18"/>
                <w:szCs w:val="18"/>
              </w:rPr>
            </w:pPr>
            <w:r>
              <w:rPr>
                <w:rFonts w:hint="default" w:ascii="Times New Roman" w:hAnsi="Times New Roman" w:eastAsia="宋体" w:cs="Times New Roman"/>
                <w:w w:val="98"/>
                <w:sz w:val="18"/>
                <w:szCs w:val="18"/>
              </w:rPr>
              <w:t>止:E115˚5ʹ14.42ʺ N36˚13ʹ47.04ʺ</w:t>
            </w:r>
          </w:p>
        </w:tc>
        <w:tc>
          <w:tcPr>
            <w:tcW w:w="2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rPr>
              <w:t>双井镇、边马乡、大辛庄乡、大马村乡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36" w:type="dxa"/>
            <w:tcBorders>
              <w:top w:val="single" w:color="auto" w:sz="4" w:space="0"/>
              <w:bottom w:val="single" w:color="auto" w:sz="4" w:space="0"/>
              <w:right w:val="single" w:color="auto" w:sz="4" w:space="0"/>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5</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宋村沟</w:t>
            </w:r>
          </w:p>
        </w:tc>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10.5</w:t>
            </w:r>
          </w:p>
        </w:tc>
        <w:tc>
          <w:tcPr>
            <w:tcW w:w="3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w w:val="98"/>
                <w:sz w:val="18"/>
                <w:szCs w:val="18"/>
              </w:rPr>
            </w:pPr>
            <w:r>
              <w:rPr>
                <w:rFonts w:hint="default" w:ascii="Times New Roman" w:hAnsi="Times New Roman" w:eastAsia="宋体" w:cs="Times New Roman"/>
                <w:w w:val="98"/>
                <w:sz w:val="18"/>
                <w:szCs w:val="18"/>
              </w:rPr>
              <w:t>起:E114˚46ʹ8.61ʺN36˚11ʹ34.68ʺ</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w w:val="98"/>
                <w:sz w:val="18"/>
                <w:szCs w:val="18"/>
              </w:rPr>
            </w:pPr>
            <w:r>
              <w:rPr>
                <w:rFonts w:hint="default" w:ascii="Times New Roman" w:hAnsi="Times New Roman" w:eastAsia="宋体" w:cs="Times New Roman"/>
                <w:w w:val="98"/>
                <w:sz w:val="18"/>
                <w:szCs w:val="18"/>
              </w:rPr>
              <w:t>止:E114˚55ʹ48.87ʺN36˚5ʹ57.55ʺ</w:t>
            </w:r>
          </w:p>
        </w:tc>
        <w:tc>
          <w:tcPr>
            <w:tcW w:w="2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rPr>
              <w:t>车往镇、张二庄镇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736" w:type="dxa"/>
            <w:tcBorders>
              <w:top w:val="single" w:color="auto" w:sz="4" w:space="0"/>
              <w:bottom w:val="single" w:color="auto" w:sz="4" w:space="0"/>
              <w:right w:val="single" w:color="auto" w:sz="4" w:space="0"/>
            </w:tcBorders>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6</w:t>
            </w:r>
          </w:p>
        </w:tc>
        <w:tc>
          <w:tcPr>
            <w:tcW w:w="141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车固沟</w:t>
            </w:r>
          </w:p>
        </w:tc>
        <w:tc>
          <w:tcPr>
            <w:tcW w:w="110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1.5</w:t>
            </w:r>
          </w:p>
        </w:tc>
        <w:tc>
          <w:tcPr>
            <w:tcW w:w="3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w w:val="98"/>
                <w:sz w:val="18"/>
                <w:szCs w:val="18"/>
              </w:rPr>
            </w:pPr>
            <w:r>
              <w:rPr>
                <w:rFonts w:hint="default" w:ascii="Times New Roman" w:hAnsi="Times New Roman" w:eastAsia="宋体" w:cs="Times New Roman"/>
                <w:w w:val="98"/>
                <w:sz w:val="18"/>
                <w:szCs w:val="18"/>
              </w:rPr>
              <w:t>起:E114˚45ʹ31.24ʺN36˚9ʹ29.96ʺ</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w w:val="98"/>
                <w:sz w:val="18"/>
                <w:szCs w:val="18"/>
              </w:rPr>
            </w:pPr>
            <w:r>
              <w:rPr>
                <w:rFonts w:hint="default" w:ascii="Times New Roman" w:hAnsi="Times New Roman" w:eastAsia="宋体" w:cs="Times New Roman"/>
                <w:w w:val="98"/>
                <w:sz w:val="18"/>
                <w:szCs w:val="18"/>
              </w:rPr>
              <w:t>止:E114˚47ʹ46.42ʺN36˚7ʹ40.22ʺ</w:t>
            </w:r>
          </w:p>
        </w:tc>
        <w:tc>
          <w:tcPr>
            <w:tcW w:w="2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rPr>
              <w:t>回隆镇、张二庄镇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736" w:type="dxa"/>
            <w:tcBorders>
              <w:top w:val="single" w:color="auto" w:sz="4" w:space="0"/>
              <w:bottom w:val="single" w:color="auto" w:sz="4" w:space="0"/>
              <w:right w:val="single" w:color="auto" w:sz="4" w:space="0"/>
            </w:tcBorders>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7</w:t>
            </w:r>
          </w:p>
        </w:tc>
        <w:tc>
          <w:tcPr>
            <w:tcW w:w="141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滑河屯沟</w:t>
            </w:r>
          </w:p>
        </w:tc>
        <w:tc>
          <w:tcPr>
            <w:tcW w:w="110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2.5</w:t>
            </w:r>
          </w:p>
        </w:tc>
        <w:tc>
          <w:tcPr>
            <w:tcW w:w="3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w w:val="98"/>
                <w:sz w:val="18"/>
                <w:szCs w:val="18"/>
              </w:rPr>
            </w:pPr>
            <w:r>
              <w:rPr>
                <w:rFonts w:hint="default" w:ascii="Times New Roman" w:hAnsi="Times New Roman" w:eastAsia="宋体" w:cs="Times New Roman"/>
                <w:w w:val="98"/>
                <w:sz w:val="18"/>
                <w:szCs w:val="18"/>
              </w:rPr>
              <w:t>起:E114˚44ʹ38.58ʺN36˚9ʹ1.8ʺ</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w w:val="98"/>
                <w:sz w:val="18"/>
                <w:szCs w:val="18"/>
              </w:rPr>
            </w:pPr>
            <w:r>
              <w:rPr>
                <w:rFonts w:hint="default" w:ascii="Times New Roman" w:hAnsi="Times New Roman" w:eastAsia="宋体" w:cs="Times New Roman"/>
                <w:w w:val="98"/>
                <w:sz w:val="18"/>
                <w:szCs w:val="18"/>
              </w:rPr>
              <w:t>止:E114˚46ʹ18.1ʺN36˚7ʹ38.87ʺ</w:t>
            </w:r>
          </w:p>
        </w:tc>
        <w:tc>
          <w:tcPr>
            <w:tcW w:w="2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rPr>
              <w:t>回隆镇、张二庄镇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36" w:type="dxa"/>
            <w:tcBorders>
              <w:top w:val="single" w:color="auto" w:sz="4" w:space="0"/>
              <w:bottom w:val="single" w:color="auto" w:sz="4" w:space="0"/>
              <w:right w:val="single" w:color="auto" w:sz="4" w:space="0"/>
            </w:tcBorders>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8</w:t>
            </w:r>
          </w:p>
        </w:tc>
        <w:tc>
          <w:tcPr>
            <w:tcW w:w="141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玉泉河</w:t>
            </w:r>
          </w:p>
        </w:tc>
        <w:tc>
          <w:tcPr>
            <w:tcW w:w="110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8.2</w:t>
            </w:r>
          </w:p>
        </w:tc>
        <w:tc>
          <w:tcPr>
            <w:tcW w:w="3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w w:val="98"/>
                <w:sz w:val="18"/>
                <w:szCs w:val="18"/>
              </w:rPr>
            </w:pPr>
            <w:r>
              <w:rPr>
                <w:rFonts w:hint="default" w:ascii="Times New Roman" w:hAnsi="Times New Roman" w:eastAsia="宋体" w:cs="Times New Roman"/>
                <w:w w:val="98"/>
                <w:sz w:val="18"/>
                <w:szCs w:val="18"/>
              </w:rPr>
              <w:t>起：E114˚54ʹ23.63ʺN36˚22ʹ47.6ʺ</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w w:val="98"/>
                <w:sz w:val="18"/>
                <w:szCs w:val="18"/>
              </w:rPr>
            </w:pPr>
            <w:r>
              <w:rPr>
                <w:rFonts w:hint="default" w:ascii="Times New Roman" w:hAnsi="Times New Roman" w:eastAsia="宋体" w:cs="Times New Roman"/>
                <w:w w:val="98"/>
                <w:sz w:val="18"/>
                <w:szCs w:val="18"/>
              </w:rPr>
              <w:t>止：E114˚55ʹ26.11ʺN36˚18ʹ55.57ʺ</w:t>
            </w:r>
          </w:p>
        </w:tc>
        <w:tc>
          <w:tcPr>
            <w:tcW w:w="2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rPr>
              <w:t>魏城镇、街道办、仕望集乡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736" w:type="dxa"/>
            <w:tcBorders>
              <w:top w:val="single" w:color="auto" w:sz="4" w:space="0"/>
              <w:bottom w:val="single" w:color="auto" w:sz="4" w:space="0"/>
              <w:right w:val="single" w:color="auto" w:sz="4" w:space="0"/>
            </w:tcBorders>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9</w:t>
            </w:r>
          </w:p>
        </w:tc>
        <w:tc>
          <w:tcPr>
            <w:tcW w:w="141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东风渠</w:t>
            </w:r>
          </w:p>
        </w:tc>
        <w:tc>
          <w:tcPr>
            <w:tcW w:w="110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43.6</w:t>
            </w:r>
          </w:p>
        </w:tc>
        <w:tc>
          <w:tcPr>
            <w:tcW w:w="3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w w:val="98"/>
                <w:sz w:val="18"/>
                <w:szCs w:val="18"/>
              </w:rPr>
            </w:pPr>
            <w:r>
              <w:rPr>
                <w:rFonts w:hint="default" w:ascii="Times New Roman" w:hAnsi="Times New Roman" w:eastAsia="宋体" w:cs="Times New Roman"/>
                <w:w w:val="98"/>
                <w:sz w:val="18"/>
                <w:szCs w:val="18"/>
              </w:rPr>
              <w:t>起：E114˚54ʹ52.13ʺN36˚3ʹ3.34ʺ</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w w:val="98"/>
                <w:sz w:val="18"/>
                <w:szCs w:val="18"/>
              </w:rPr>
            </w:pPr>
            <w:r>
              <w:rPr>
                <w:rFonts w:hint="default" w:ascii="Times New Roman" w:hAnsi="Times New Roman" w:eastAsia="宋体" w:cs="Times New Roman"/>
                <w:w w:val="98"/>
                <w:sz w:val="18"/>
                <w:szCs w:val="18"/>
              </w:rPr>
              <w:t>止：E114˚57ʹ41.35ʺN36˚26ʹ29.54ʺ</w:t>
            </w:r>
          </w:p>
        </w:tc>
        <w:tc>
          <w:tcPr>
            <w:tcW w:w="2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rPr>
              <w:t>张二庄镇、牙里镇、泊口乡、南双庙镇、双井镇、野胡拐乡、德政镇、东代固镇、棘针寨镇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36" w:type="dxa"/>
            <w:tcBorders>
              <w:top w:val="single" w:color="auto" w:sz="4" w:space="0"/>
              <w:bottom w:val="single" w:color="auto" w:sz="4" w:space="0"/>
              <w:right w:val="single" w:color="auto" w:sz="4" w:space="0"/>
            </w:tcBorders>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10</w:t>
            </w:r>
          </w:p>
        </w:tc>
        <w:tc>
          <w:tcPr>
            <w:tcW w:w="141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东风一排支</w:t>
            </w:r>
          </w:p>
        </w:tc>
        <w:tc>
          <w:tcPr>
            <w:tcW w:w="110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18.5</w:t>
            </w:r>
          </w:p>
        </w:tc>
        <w:tc>
          <w:tcPr>
            <w:tcW w:w="3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w w:val="98"/>
                <w:sz w:val="18"/>
                <w:szCs w:val="18"/>
              </w:rPr>
            </w:pPr>
            <w:r>
              <w:rPr>
                <w:rFonts w:hint="default" w:ascii="Times New Roman" w:hAnsi="Times New Roman" w:eastAsia="宋体" w:cs="Times New Roman"/>
                <w:w w:val="98"/>
                <w:sz w:val="18"/>
                <w:szCs w:val="18"/>
              </w:rPr>
              <w:t>起：E114˚48ʹ23.57ʺN36˚20ʹ21.84ʺ</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w w:val="98"/>
                <w:sz w:val="18"/>
                <w:szCs w:val="18"/>
              </w:rPr>
            </w:pPr>
            <w:r>
              <w:rPr>
                <w:rFonts w:hint="default" w:ascii="Times New Roman" w:hAnsi="Times New Roman" w:eastAsia="宋体" w:cs="Times New Roman"/>
                <w:w w:val="98"/>
                <w:sz w:val="18"/>
                <w:szCs w:val="18"/>
              </w:rPr>
              <w:t>止：E114˚58ʹ57.68ʺN36˚22ʹ56.6ʺ</w:t>
            </w:r>
          </w:p>
        </w:tc>
        <w:tc>
          <w:tcPr>
            <w:tcW w:w="2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rPr>
              <w:t>院堡镇、魏城镇、东代固镇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736" w:type="dxa"/>
            <w:tcBorders>
              <w:top w:val="single" w:color="auto" w:sz="4" w:space="0"/>
              <w:right w:val="single" w:color="auto" w:sz="4" w:space="0"/>
            </w:tcBorders>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11</w:t>
            </w:r>
          </w:p>
        </w:tc>
        <w:tc>
          <w:tcPr>
            <w:tcW w:w="1410"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东风二排支</w:t>
            </w:r>
          </w:p>
        </w:tc>
        <w:tc>
          <w:tcPr>
            <w:tcW w:w="1100"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6.7</w:t>
            </w:r>
          </w:p>
        </w:tc>
        <w:tc>
          <w:tcPr>
            <w:tcW w:w="325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w w:val="98"/>
                <w:sz w:val="18"/>
                <w:szCs w:val="18"/>
              </w:rPr>
            </w:pPr>
            <w:r>
              <w:rPr>
                <w:rFonts w:hint="default" w:ascii="Times New Roman" w:hAnsi="Times New Roman" w:eastAsia="宋体" w:cs="Times New Roman"/>
                <w:w w:val="98"/>
                <w:sz w:val="18"/>
                <w:szCs w:val="18"/>
              </w:rPr>
              <w:t>起：E114˚54ʹ13.99ʺN36˚24ʹ32.18ʺ</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w w:val="98"/>
                <w:sz w:val="18"/>
                <w:szCs w:val="18"/>
              </w:rPr>
            </w:pPr>
            <w:r>
              <w:rPr>
                <w:rFonts w:hint="default" w:ascii="Times New Roman" w:hAnsi="Times New Roman" w:eastAsia="宋体" w:cs="Times New Roman"/>
                <w:w w:val="98"/>
                <w:sz w:val="18"/>
                <w:szCs w:val="18"/>
              </w:rPr>
              <w:t>止：E114˚58ʹ9.85ʺN36˚25ʹ53.03ʺ</w:t>
            </w:r>
          </w:p>
        </w:tc>
        <w:tc>
          <w:tcPr>
            <w:tcW w:w="2798"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rPr>
              <w:t>棘针寨镇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736" w:type="dxa"/>
            <w:tcBorders>
              <w:top w:val="single" w:color="auto" w:sz="4" w:space="0"/>
              <w:right w:val="single" w:color="auto" w:sz="4" w:space="0"/>
            </w:tcBorders>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12</w:t>
            </w:r>
          </w:p>
        </w:tc>
        <w:tc>
          <w:tcPr>
            <w:tcW w:w="1410" w:type="dxa"/>
            <w:tcBorders>
              <w:top w:val="single" w:color="auto" w:sz="4" w:space="0"/>
              <w:left w:val="single" w:color="auto" w:sz="4" w:space="0"/>
              <w:right w:val="single" w:color="auto" w:sz="4" w:space="0"/>
            </w:tcBorders>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牙里故道（漳河故道）</w:t>
            </w:r>
          </w:p>
        </w:tc>
        <w:tc>
          <w:tcPr>
            <w:tcW w:w="1100" w:type="dxa"/>
            <w:tcBorders>
              <w:top w:val="single" w:color="auto" w:sz="4" w:space="0"/>
              <w:left w:val="single" w:color="auto" w:sz="4" w:space="0"/>
              <w:right w:val="single" w:color="auto" w:sz="4" w:space="0"/>
            </w:tcBorders>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sz w:val="18"/>
                <w:szCs w:val="18"/>
                <w:lang w:bidi="ar-SA"/>
              </w:rPr>
            </w:pPr>
            <w:r>
              <w:rPr>
                <w:rFonts w:hint="default" w:ascii="Times New Roman" w:hAnsi="Times New Roman" w:eastAsia="宋体" w:cs="Times New Roman"/>
                <w:sz w:val="18"/>
                <w:szCs w:val="18"/>
                <w:lang w:bidi="ar-SA"/>
              </w:rPr>
              <w:t>10</w:t>
            </w:r>
          </w:p>
        </w:tc>
        <w:tc>
          <w:tcPr>
            <w:tcW w:w="325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w w:val="98"/>
                <w:sz w:val="18"/>
                <w:szCs w:val="18"/>
              </w:rPr>
            </w:pPr>
            <w:r>
              <w:rPr>
                <w:rFonts w:hint="default" w:ascii="Times New Roman" w:hAnsi="Times New Roman" w:eastAsia="宋体" w:cs="Times New Roman"/>
                <w:w w:val="98"/>
                <w:sz w:val="18"/>
                <w:szCs w:val="18"/>
              </w:rPr>
              <w:t>起：E114˚56ʹ29.49ʺN36˚8ʹ51.38ʺ</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w w:val="98"/>
                <w:sz w:val="18"/>
                <w:szCs w:val="18"/>
              </w:rPr>
            </w:pPr>
            <w:r>
              <w:rPr>
                <w:rFonts w:hint="default" w:ascii="Times New Roman" w:hAnsi="Times New Roman" w:eastAsia="宋体" w:cs="Times New Roman"/>
                <w:w w:val="98"/>
                <w:sz w:val="18"/>
                <w:szCs w:val="18"/>
              </w:rPr>
              <w:t>止：E115˚2ʹ27.28ʺN36˚9ʹ10.41ʺ</w:t>
            </w:r>
          </w:p>
        </w:tc>
        <w:tc>
          <w:tcPr>
            <w:tcW w:w="2798" w:type="dxa"/>
            <w:tcBorders>
              <w:top w:val="single" w:color="auto" w:sz="4" w:space="0"/>
              <w:left w:val="single" w:color="auto" w:sz="4" w:space="0"/>
              <w:right w:val="single" w:color="auto" w:sz="4" w:space="0"/>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牙里镇、边马乡</w:t>
            </w:r>
          </w:p>
        </w:tc>
      </w:tr>
    </w:tbl>
    <w:p>
      <w:pPr>
        <w:ind w:firstLine="420" w:firstLineChars="200"/>
        <w:rPr>
          <w:rFonts w:hint="default" w:ascii="Times New Roman" w:hAnsi="Times New Roman" w:eastAsia="宋体" w:cs="Times New Roman"/>
          <w:sz w:val="21"/>
          <w:szCs w:val="21"/>
          <w:lang w:bidi="ar-SA"/>
        </w:rPr>
      </w:pPr>
      <w:r>
        <w:rPr>
          <w:rFonts w:hint="default" w:ascii="Times New Roman" w:hAnsi="Times New Roman" w:eastAsia="宋体" w:cs="Times New Roman"/>
          <w:sz w:val="21"/>
          <w:szCs w:val="21"/>
          <w:lang w:bidi="ar-SA"/>
        </w:rPr>
        <w:t>本通告自发布之日起实施，魏县人民政府2020年8月5日公布的《魏县河湖保护名录》（魏政告〔2020〕4号）通告同时废止。</w:t>
      </w:r>
    </w:p>
    <w:p>
      <w:pPr>
        <w:rPr>
          <w:rFonts w:hint="default" w:ascii="Times New Roman" w:hAnsi="Times New Roman" w:eastAsia="宋体" w:cs="Times New Roman"/>
          <w:sz w:val="21"/>
          <w:szCs w:val="21"/>
          <w:lang w:bidi="ar-SA"/>
        </w:rPr>
      </w:pPr>
    </w:p>
    <w:p>
      <w:pPr>
        <w:ind w:left="0" w:firstLine="6405" w:firstLineChars="3050"/>
        <w:rPr>
          <w:rFonts w:hint="default" w:ascii="Times New Roman" w:hAnsi="Times New Roman" w:eastAsia="宋体" w:cs="Times New Roman"/>
          <w:sz w:val="21"/>
          <w:szCs w:val="21"/>
          <w:lang w:bidi="ar-SA"/>
        </w:rPr>
      </w:pPr>
      <w:r>
        <w:rPr>
          <w:rFonts w:hint="default" w:ascii="Times New Roman" w:hAnsi="Times New Roman" w:eastAsia="宋体" w:cs="Times New Roman"/>
          <w:sz w:val="21"/>
          <w:szCs w:val="21"/>
          <w:lang w:bidi="ar-SA"/>
        </w:rPr>
        <w:t>魏县人民政府</w:t>
      </w:r>
    </w:p>
    <w:p>
      <w:pPr>
        <w:ind w:firstLine="210" w:firstLineChars="100"/>
        <w:rPr>
          <w:rFonts w:hint="default" w:ascii="Times New Roman" w:hAnsi="Times New Roman" w:eastAsia="宋体" w:cs="Times New Roman"/>
          <w:sz w:val="21"/>
          <w:szCs w:val="21"/>
          <w:lang w:bidi="ar-SA"/>
        </w:rPr>
      </w:pPr>
      <w:r>
        <w:rPr>
          <w:rFonts w:hint="default" w:ascii="Times New Roman" w:hAnsi="Times New Roman" w:eastAsia="宋体" w:cs="Times New Roman"/>
          <w:sz w:val="21"/>
          <w:szCs w:val="21"/>
          <w:lang w:bidi="ar-SA"/>
        </w:rPr>
        <w:t xml:space="preserve">                              </w:t>
      </w:r>
      <w:r>
        <w:rPr>
          <w:rFonts w:hint="eastAsia" w:ascii="Times New Roman" w:hAnsi="Times New Roman" w:cs="Times New Roman"/>
          <w:sz w:val="21"/>
          <w:szCs w:val="21"/>
          <w:lang w:val="en-US" w:eastAsia="zh-CN" w:bidi="ar-SA"/>
        </w:rPr>
        <w:t xml:space="preserve">                           </w:t>
      </w:r>
      <w:r>
        <w:rPr>
          <w:rFonts w:hint="default" w:ascii="Times New Roman" w:hAnsi="Times New Roman" w:eastAsia="宋体" w:cs="Times New Roman"/>
          <w:sz w:val="21"/>
          <w:szCs w:val="21"/>
          <w:lang w:bidi="ar-SA"/>
        </w:rPr>
        <w:t>2020年10月</w:t>
      </w:r>
      <w:r>
        <w:rPr>
          <w:rFonts w:hint="default" w:ascii="Times New Roman" w:hAnsi="Times New Roman" w:eastAsia="宋体" w:cs="Times New Roman"/>
          <w:sz w:val="21"/>
          <w:szCs w:val="21"/>
          <w:lang w:val="en-US" w:eastAsia="zh-CN" w:bidi="ar-SA"/>
        </w:rPr>
        <w:t>17</w:t>
      </w:r>
      <w:r>
        <w:rPr>
          <w:rFonts w:hint="default" w:ascii="Times New Roman" w:hAnsi="Times New Roman" w:eastAsia="宋体" w:cs="Times New Roman"/>
          <w:sz w:val="21"/>
          <w:szCs w:val="21"/>
          <w:lang w:bidi="ar-SA"/>
        </w:rPr>
        <w:t>日</w:t>
      </w:r>
    </w:p>
    <w:p>
      <w:pPr>
        <w:rPr>
          <w:rFonts w:hint="default" w:ascii="Times New Roman" w:hAnsi="Times New Roman" w:eastAsia="宋体" w:cs="Times New Roman"/>
          <w:sz w:val="21"/>
          <w:szCs w:val="21"/>
        </w:rPr>
      </w:pPr>
    </w:p>
    <w:p>
      <w:pPr>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bCs/>
          <w:sz w:val="36"/>
          <w:szCs w:val="36"/>
        </w:rPr>
      </w:pPr>
      <w:r>
        <w:rPr>
          <w:bCs/>
          <w:sz w:val="36"/>
          <w:szCs w:val="36"/>
        </w:rPr>
        <w:t>魏县人民政府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bCs/>
          <w:spacing w:val="-17"/>
          <w:sz w:val="36"/>
          <w:szCs w:val="36"/>
        </w:rPr>
      </w:pPr>
      <w:r>
        <w:rPr>
          <w:bCs/>
          <w:spacing w:val="-17"/>
          <w:sz w:val="36"/>
          <w:szCs w:val="36"/>
        </w:rPr>
        <w:t>关于划定牙里故道（漳河故道）魏县段管理范围的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eastAsia="仿宋_GB2312" w:cs="仿宋_GB2312"/>
          <w:bCs/>
          <w:sz w:val="36"/>
          <w:szCs w:val="36"/>
          <w:lang w:bidi="ar-SA"/>
        </w:rPr>
      </w:pPr>
      <w:r>
        <w:rPr>
          <w:bCs/>
          <w:sz w:val="36"/>
          <w:szCs w:val="36"/>
        </w:rPr>
        <w:t>通</w:t>
      </w:r>
      <w:r>
        <w:rPr>
          <w:rFonts w:hint="eastAsia"/>
          <w:bCs/>
          <w:sz w:val="36"/>
          <w:szCs w:val="36"/>
          <w:lang w:val="en-US" w:eastAsia="zh-CN"/>
        </w:rPr>
        <w:t xml:space="preserve">    </w:t>
      </w:r>
      <w:r>
        <w:rPr>
          <w:bCs/>
          <w:sz w:val="36"/>
          <w:szCs w:val="36"/>
        </w:rPr>
        <w:t>告</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bCs/>
          <w:sz w:val="21"/>
          <w:szCs w:val="21"/>
          <w:lang w:bidi="ar-SA"/>
        </w:rPr>
      </w:pPr>
      <w:r>
        <w:rPr>
          <w:rFonts w:hint="default" w:ascii="Times New Roman" w:hAnsi="Times New Roman" w:eastAsia="宋体" w:cs="Times New Roman"/>
          <w:bCs/>
          <w:sz w:val="21"/>
          <w:szCs w:val="21"/>
          <w:lang w:bidi="ar-SA"/>
        </w:rPr>
        <w:t>魏政</w:t>
      </w:r>
      <w:r>
        <w:rPr>
          <w:rFonts w:hint="default" w:ascii="Times New Roman" w:hAnsi="Times New Roman" w:eastAsia="宋体" w:cs="Times New Roman"/>
          <w:bCs/>
          <w:sz w:val="21"/>
          <w:szCs w:val="21"/>
          <w:lang w:eastAsia="zh-CN" w:bidi="ar-SA"/>
        </w:rPr>
        <w:t>规〔</w:t>
      </w:r>
      <w:r>
        <w:rPr>
          <w:rFonts w:hint="default" w:ascii="Times New Roman" w:hAnsi="Times New Roman" w:eastAsia="宋体" w:cs="Times New Roman"/>
          <w:bCs/>
          <w:sz w:val="21"/>
          <w:szCs w:val="21"/>
          <w:lang w:bidi="ar-SA"/>
        </w:rPr>
        <w:t>2020</w:t>
      </w:r>
      <w:r>
        <w:rPr>
          <w:rFonts w:hint="default" w:ascii="Times New Roman" w:hAnsi="Times New Roman" w:eastAsia="宋体" w:cs="Times New Roman"/>
          <w:bCs/>
          <w:sz w:val="21"/>
          <w:szCs w:val="21"/>
          <w:lang w:eastAsia="zh-CN" w:bidi="ar-SA"/>
        </w:rPr>
        <w:t>〕</w:t>
      </w:r>
      <w:r>
        <w:rPr>
          <w:rFonts w:hint="default" w:ascii="Times New Roman" w:hAnsi="Times New Roman" w:eastAsia="宋体" w:cs="Times New Roman"/>
          <w:bCs/>
          <w:sz w:val="21"/>
          <w:szCs w:val="21"/>
          <w:lang w:val="en-US" w:eastAsia="zh-CN" w:bidi="ar-SA"/>
        </w:rPr>
        <w:t>8</w:t>
      </w:r>
      <w:r>
        <w:rPr>
          <w:rFonts w:hint="default" w:ascii="Times New Roman" w:hAnsi="Times New Roman" w:eastAsia="宋体" w:cs="Times New Roman"/>
          <w:bCs/>
          <w:sz w:val="21"/>
          <w:szCs w:val="21"/>
          <w:lang w:bidi="ar-SA"/>
        </w:rPr>
        <w:t>号</w:t>
      </w:r>
    </w:p>
    <w:p>
      <w:pPr>
        <w:keepNext w:val="0"/>
        <w:keepLines w:val="0"/>
        <w:pageBreakBefore w:val="0"/>
        <w:widowControl w:val="0"/>
        <w:tabs>
          <w:tab w:val="left" w:pos="2520"/>
        </w:tabs>
        <w:kinsoku/>
        <w:wordWrap/>
        <w:overflowPunct/>
        <w:topLinePunct w:val="0"/>
        <w:autoSpaceDE/>
        <w:autoSpaceDN/>
        <w:bidi w:val="0"/>
        <w:adjustRightInd/>
        <w:snapToGrid/>
        <w:spacing w:line="520" w:lineRule="exact"/>
        <w:ind w:left="0" w:firstLine="640" w:firstLineChars="200"/>
        <w:jc w:val="left"/>
        <w:textAlignment w:val="auto"/>
        <w:rPr>
          <w:rFonts w:hint="eastAsia" w:ascii="仿宋_GB2312" w:eastAsia="仿宋_GB2312" w:cs="仿宋_GB2312"/>
          <w:bCs/>
          <w:sz w:val="32"/>
          <w:szCs w:val="32"/>
          <w:lang w:bidi="ar-SA"/>
        </w:rPr>
      </w:pPr>
    </w:p>
    <w:p>
      <w:pPr>
        <w:keepNext w:val="0"/>
        <w:keepLines w:val="0"/>
        <w:pageBreakBefore w:val="0"/>
        <w:widowControl w:val="0"/>
        <w:tabs>
          <w:tab w:val="left" w:pos="2520"/>
        </w:tabs>
        <w:kinsoku/>
        <w:wordWrap/>
        <w:overflowPunct/>
        <w:topLinePunct w:val="0"/>
        <w:autoSpaceDE/>
        <w:autoSpaceDN/>
        <w:bidi w:val="0"/>
        <w:adjustRightInd/>
        <w:snapToGrid/>
        <w:spacing w:line="380" w:lineRule="exact"/>
        <w:ind w:left="0" w:right="0" w:rightChars="0" w:firstLine="420" w:firstLineChars="200"/>
        <w:jc w:val="both"/>
        <w:textAlignment w:val="auto"/>
        <w:outlineLvl w:val="9"/>
        <w:rPr>
          <w:rFonts w:hint="default" w:ascii="Times New Roman" w:hAnsi="Times New Roman" w:eastAsia="宋体" w:cs="Times New Roman"/>
          <w:bCs/>
          <w:sz w:val="21"/>
          <w:szCs w:val="21"/>
          <w:lang w:bidi="ar-SA"/>
        </w:rPr>
      </w:pPr>
      <w:r>
        <w:rPr>
          <w:rFonts w:hint="default" w:ascii="Times New Roman" w:hAnsi="Times New Roman" w:eastAsia="宋体" w:cs="Times New Roman"/>
          <w:bCs/>
          <w:sz w:val="21"/>
          <w:szCs w:val="21"/>
          <w:lang w:bidi="ar-SA"/>
        </w:rPr>
        <w:t>为加强牙里故道（漳河故道）魏县段的管理，提高公民保护意识，维护公共利益安全，根据《中华人民共和国水法》《中华人民共和国河道管理条例》《河北省水利工程管理条例》《邯郸市水利工程管理条例》等有关法规规定，对该河道管理范围进行划定，现将有关事项通告如下：</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200" w:right="0" w:rightChars="0"/>
        <w:jc w:val="both"/>
        <w:textAlignment w:val="auto"/>
        <w:outlineLvl w:val="9"/>
        <w:rPr>
          <w:rFonts w:hint="default" w:ascii="Times New Roman" w:hAnsi="Times New Roman" w:eastAsia="宋体" w:cs="Times New Roman"/>
          <w:bCs/>
          <w:sz w:val="21"/>
          <w:szCs w:val="21"/>
          <w:lang w:bidi="ar-SA"/>
        </w:rPr>
      </w:pPr>
      <w:r>
        <w:rPr>
          <w:rFonts w:hint="default" w:ascii="Times New Roman" w:hAnsi="Times New Roman" w:eastAsia="宋体" w:cs="Times New Roman"/>
          <w:bCs/>
          <w:sz w:val="21"/>
          <w:szCs w:val="21"/>
          <w:lang w:eastAsia="zh-CN" w:bidi="ar-SA"/>
        </w:rPr>
        <w:t>一、</w:t>
      </w:r>
      <w:r>
        <w:rPr>
          <w:rFonts w:hint="default" w:ascii="Times New Roman" w:hAnsi="Times New Roman" w:eastAsia="宋体" w:cs="Times New Roman"/>
          <w:bCs/>
          <w:sz w:val="21"/>
          <w:szCs w:val="21"/>
          <w:lang w:bidi="ar-SA"/>
        </w:rPr>
        <w:t>牙里故道（漳河故道）管理范围说明：</w:t>
      </w:r>
    </w:p>
    <w:tbl>
      <w:tblPr>
        <w:tblStyle w:val="6"/>
        <w:tblpPr w:leftFromText="180" w:rightFromText="180" w:vertAnchor="text" w:horzAnchor="page" w:tblpX="1527" w:tblpY="343"/>
        <w:tblOverlap w:val="never"/>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762"/>
        <w:gridCol w:w="831"/>
        <w:gridCol w:w="2077"/>
        <w:gridCol w:w="1246"/>
        <w:gridCol w:w="2989"/>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trPr>
        <w:tc>
          <w:tcPr>
            <w:tcW w:w="819" w:type="dxa"/>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河道</w:t>
            </w:r>
          </w:p>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名称</w:t>
            </w:r>
          </w:p>
        </w:tc>
        <w:tc>
          <w:tcPr>
            <w:tcW w:w="762" w:type="dxa"/>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涉及</w:t>
            </w:r>
          </w:p>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乡镇</w:t>
            </w:r>
          </w:p>
        </w:tc>
        <w:tc>
          <w:tcPr>
            <w:tcW w:w="831" w:type="dxa"/>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堤岸</w:t>
            </w:r>
          </w:p>
        </w:tc>
        <w:tc>
          <w:tcPr>
            <w:tcW w:w="2077" w:type="dxa"/>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起止地点</w:t>
            </w:r>
          </w:p>
        </w:tc>
        <w:tc>
          <w:tcPr>
            <w:tcW w:w="1246" w:type="dxa"/>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长度（km)</w:t>
            </w:r>
          </w:p>
        </w:tc>
        <w:tc>
          <w:tcPr>
            <w:tcW w:w="2989" w:type="dxa"/>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管理范围（有堤防从堤脚外量起，无堤防从上口边缘量起）（m）</w:t>
            </w:r>
          </w:p>
        </w:tc>
        <w:tc>
          <w:tcPr>
            <w:tcW w:w="930" w:type="dxa"/>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4" w:hRule="atLeast"/>
        </w:trPr>
        <w:tc>
          <w:tcPr>
            <w:tcW w:w="819" w:type="dxa"/>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牙里</w:t>
            </w:r>
          </w:p>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故道</w:t>
            </w:r>
          </w:p>
        </w:tc>
        <w:tc>
          <w:tcPr>
            <w:tcW w:w="762" w:type="dxa"/>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牙里镇边马乡</w:t>
            </w:r>
          </w:p>
        </w:tc>
        <w:tc>
          <w:tcPr>
            <w:tcW w:w="831" w:type="dxa"/>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左右</w:t>
            </w:r>
          </w:p>
        </w:tc>
        <w:tc>
          <w:tcPr>
            <w:tcW w:w="2077" w:type="dxa"/>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牙里镇牙里村北向东至边马乡王井村</w:t>
            </w:r>
          </w:p>
        </w:tc>
        <w:tc>
          <w:tcPr>
            <w:tcW w:w="1246" w:type="dxa"/>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w:t>
            </w:r>
          </w:p>
        </w:tc>
        <w:tc>
          <w:tcPr>
            <w:tcW w:w="2989" w:type="dxa"/>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w:t>
            </w:r>
          </w:p>
        </w:tc>
        <w:tc>
          <w:tcPr>
            <w:tcW w:w="930" w:type="dxa"/>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无堤防</w:t>
            </w:r>
          </w:p>
        </w:tc>
      </w:tr>
    </w:tbl>
    <w:p>
      <w:pPr>
        <w:keepNext w:val="0"/>
        <w:keepLines w:val="0"/>
        <w:pageBreakBefore w:val="0"/>
        <w:widowControl w:val="0"/>
        <w:kinsoku/>
        <w:wordWrap/>
        <w:overflowPunct/>
        <w:topLinePunct w:val="0"/>
        <w:autoSpaceDE/>
        <w:autoSpaceDN/>
        <w:bidi w:val="0"/>
        <w:adjustRightInd/>
        <w:snapToGrid/>
        <w:spacing w:line="380" w:lineRule="exact"/>
        <w:ind w:left="0" w:right="0" w:rightChars="0" w:firstLine="420" w:firstLineChars="200"/>
        <w:jc w:val="both"/>
        <w:textAlignment w:val="auto"/>
        <w:outlineLvl w:val="9"/>
        <w:rPr>
          <w:rFonts w:hint="default" w:ascii="Times New Roman" w:hAnsi="Times New Roman" w:eastAsia="宋体" w:cs="Times New Roman"/>
          <w:bCs/>
          <w:sz w:val="21"/>
          <w:szCs w:val="21"/>
          <w:lang w:bidi="ar-SA"/>
        </w:rPr>
      </w:pPr>
      <w:r>
        <w:rPr>
          <w:rFonts w:hint="default" w:ascii="Times New Roman" w:hAnsi="Times New Roman" w:eastAsia="宋体" w:cs="Times New Roman"/>
          <w:bCs/>
          <w:sz w:val="21"/>
          <w:szCs w:val="21"/>
          <w:lang w:bidi="ar-SA"/>
        </w:rPr>
        <w:t>二、在牙里故道（漳河故道）魏县段管理范围内，禁止以下活动：</w:t>
      </w:r>
    </w:p>
    <w:p>
      <w:pPr>
        <w:keepNext w:val="0"/>
        <w:keepLines w:val="0"/>
        <w:pageBreakBefore w:val="0"/>
        <w:widowControl w:val="0"/>
        <w:kinsoku/>
        <w:wordWrap/>
        <w:overflowPunct/>
        <w:topLinePunct w:val="0"/>
        <w:autoSpaceDE/>
        <w:autoSpaceDN/>
        <w:bidi w:val="0"/>
        <w:adjustRightInd/>
        <w:snapToGrid/>
        <w:spacing w:line="380" w:lineRule="exact"/>
        <w:ind w:left="0" w:right="0" w:rightChars="0" w:firstLine="420" w:firstLineChars="200"/>
        <w:jc w:val="both"/>
        <w:textAlignment w:val="auto"/>
        <w:outlineLvl w:val="9"/>
        <w:rPr>
          <w:rFonts w:hint="default" w:ascii="Times New Roman" w:hAnsi="Times New Roman" w:eastAsia="宋体" w:cs="Times New Roman"/>
          <w:bCs/>
          <w:sz w:val="21"/>
          <w:szCs w:val="21"/>
          <w:lang w:bidi="ar-SA"/>
        </w:rPr>
      </w:pPr>
      <w:r>
        <w:rPr>
          <w:rFonts w:hint="default" w:ascii="Times New Roman" w:hAnsi="Times New Roman" w:eastAsia="宋体" w:cs="Times New Roman"/>
          <w:bCs/>
          <w:sz w:val="21"/>
          <w:szCs w:val="21"/>
          <w:lang w:bidi="ar-SA"/>
        </w:rPr>
        <w:t>（一）填河造池、修建围堤、阻水渠道、阻水道路；设置拦河渔具，在桥涵孔道内设置栅栏；弃置矿渣、煤灰、泥土、垃圾等。</w:t>
      </w:r>
    </w:p>
    <w:p>
      <w:pPr>
        <w:keepNext w:val="0"/>
        <w:keepLines w:val="0"/>
        <w:pageBreakBefore w:val="0"/>
        <w:widowControl w:val="0"/>
        <w:kinsoku/>
        <w:wordWrap/>
        <w:overflowPunct/>
        <w:topLinePunct w:val="0"/>
        <w:autoSpaceDE/>
        <w:autoSpaceDN/>
        <w:bidi w:val="0"/>
        <w:adjustRightInd/>
        <w:snapToGrid/>
        <w:spacing w:line="380" w:lineRule="exact"/>
        <w:ind w:left="0" w:right="0" w:rightChars="0" w:firstLine="420" w:firstLineChars="200"/>
        <w:jc w:val="both"/>
        <w:textAlignment w:val="auto"/>
        <w:outlineLvl w:val="9"/>
        <w:rPr>
          <w:rFonts w:hint="default" w:ascii="Times New Roman" w:hAnsi="Times New Roman" w:eastAsia="宋体" w:cs="Times New Roman"/>
          <w:bCs/>
          <w:sz w:val="21"/>
          <w:szCs w:val="21"/>
          <w:lang w:bidi="ar-SA"/>
        </w:rPr>
      </w:pPr>
      <w:r>
        <w:rPr>
          <w:rFonts w:hint="default" w:ascii="Times New Roman" w:hAnsi="Times New Roman" w:eastAsia="宋体" w:cs="Times New Roman"/>
          <w:bCs/>
          <w:sz w:val="21"/>
          <w:szCs w:val="21"/>
          <w:lang w:bidi="ar-SA"/>
        </w:rPr>
        <w:t>（二）在堤防和护堤地建房、开渠、打井、存放物料、开采地下资源、进行考古发掘以及开展集市贸易活动等。</w:t>
      </w:r>
    </w:p>
    <w:p>
      <w:pPr>
        <w:keepNext w:val="0"/>
        <w:keepLines w:val="0"/>
        <w:pageBreakBefore w:val="0"/>
        <w:widowControl w:val="0"/>
        <w:kinsoku/>
        <w:wordWrap/>
        <w:overflowPunct/>
        <w:topLinePunct w:val="0"/>
        <w:autoSpaceDE/>
        <w:autoSpaceDN/>
        <w:bidi w:val="0"/>
        <w:adjustRightInd/>
        <w:snapToGrid/>
        <w:spacing w:line="380" w:lineRule="exact"/>
        <w:ind w:left="0" w:right="0" w:rightChars="0" w:firstLine="420" w:firstLineChars="200"/>
        <w:jc w:val="both"/>
        <w:textAlignment w:val="auto"/>
        <w:outlineLvl w:val="9"/>
        <w:rPr>
          <w:rFonts w:hint="default" w:ascii="Times New Roman" w:hAnsi="Times New Roman" w:eastAsia="宋体" w:cs="Times New Roman"/>
          <w:bCs/>
          <w:sz w:val="21"/>
          <w:szCs w:val="21"/>
          <w:lang w:bidi="ar-SA"/>
        </w:rPr>
      </w:pPr>
      <w:r>
        <w:rPr>
          <w:rFonts w:hint="default" w:ascii="Times New Roman" w:hAnsi="Times New Roman" w:eastAsia="宋体" w:cs="Times New Roman"/>
          <w:bCs/>
          <w:sz w:val="21"/>
          <w:szCs w:val="21"/>
          <w:lang w:bidi="ar-SA"/>
        </w:rPr>
        <w:t>（三）堆放、倾倒、掩埋、排放污染水体的物体；在河道内清洗装贮过油类或者有毒污染物的车辆、容器。</w:t>
      </w:r>
    </w:p>
    <w:p>
      <w:pPr>
        <w:keepNext w:val="0"/>
        <w:keepLines w:val="0"/>
        <w:pageBreakBefore w:val="0"/>
        <w:widowControl w:val="0"/>
        <w:kinsoku/>
        <w:wordWrap/>
        <w:overflowPunct/>
        <w:topLinePunct w:val="0"/>
        <w:autoSpaceDE/>
        <w:autoSpaceDN/>
        <w:bidi w:val="0"/>
        <w:adjustRightInd/>
        <w:snapToGrid/>
        <w:spacing w:line="380" w:lineRule="exact"/>
        <w:ind w:left="0" w:right="0" w:rightChars="0" w:firstLine="420" w:firstLineChars="200"/>
        <w:jc w:val="both"/>
        <w:textAlignment w:val="auto"/>
        <w:outlineLvl w:val="9"/>
        <w:rPr>
          <w:rFonts w:hint="default" w:ascii="Times New Roman" w:hAnsi="Times New Roman" w:eastAsia="宋体" w:cs="Times New Roman"/>
          <w:bCs/>
          <w:sz w:val="21"/>
          <w:szCs w:val="21"/>
          <w:lang w:bidi="ar-SA"/>
        </w:rPr>
      </w:pPr>
      <w:r>
        <w:rPr>
          <w:rFonts w:hint="default" w:ascii="Times New Roman" w:hAnsi="Times New Roman" w:eastAsia="宋体" w:cs="Times New Roman"/>
          <w:bCs/>
          <w:sz w:val="21"/>
          <w:szCs w:val="21"/>
          <w:lang w:bidi="ar-SA"/>
        </w:rPr>
        <w:t>（四）损坏或者擅自移动界桩、安全警示标志</w:t>
      </w:r>
      <w:r>
        <w:rPr>
          <w:rFonts w:hint="default" w:ascii="Times New Roman" w:hAnsi="Times New Roman" w:eastAsia="宋体" w:cs="Times New Roman"/>
          <w:bCs/>
          <w:sz w:val="21"/>
          <w:szCs w:val="21"/>
          <w:lang w:val="en-US" w:eastAsia="zh-CN" w:bidi="ar-SA"/>
        </w:rPr>
        <w:t>以及</w:t>
      </w:r>
      <w:r>
        <w:rPr>
          <w:rFonts w:hint="default" w:ascii="Times New Roman" w:hAnsi="Times New Roman" w:eastAsia="宋体" w:cs="Times New Roman"/>
          <w:bCs/>
          <w:sz w:val="21"/>
          <w:szCs w:val="21"/>
          <w:lang w:bidi="ar-SA"/>
        </w:rPr>
        <w:t>其他水利设施。</w:t>
      </w:r>
    </w:p>
    <w:p>
      <w:pPr>
        <w:keepNext w:val="0"/>
        <w:keepLines w:val="0"/>
        <w:pageBreakBefore w:val="0"/>
        <w:widowControl w:val="0"/>
        <w:kinsoku/>
        <w:wordWrap/>
        <w:overflowPunct/>
        <w:topLinePunct w:val="0"/>
        <w:autoSpaceDE/>
        <w:autoSpaceDN/>
        <w:bidi w:val="0"/>
        <w:adjustRightInd/>
        <w:snapToGrid/>
        <w:spacing w:line="380" w:lineRule="exact"/>
        <w:ind w:left="0" w:right="0" w:rightChars="0" w:firstLine="420" w:firstLineChars="200"/>
        <w:jc w:val="both"/>
        <w:textAlignment w:val="auto"/>
        <w:outlineLvl w:val="9"/>
        <w:rPr>
          <w:rFonts w:hint="default" w:ascii="Times New Roman" w:hAnsi="Times New Roman" w:eastAsia="宋体" w:cs="Times New Roman"/>
          <w:bCs/>
          <w:sz w:val="21"/>
          <w:szCs w:val="21"/>
          <w:lang w:bidi="ar-SA"/>
        </w:rPr>
      </w:pPr>
      <w:r>
        <w:rPr>
          <w:rFonts w:hint="default" w:ascii="Times New Roman" w:hAnsi="Times New Roman" w:eastAsia="宋体" w:cs="Times New Roman"/>
          <w:bCs/>
          <w:sz w:val="21"/>
          <w:szCs w:val="21"/>
          <w:lang w:bidi="ar-SA"/>
        </w:rPr>
        <w:t>三、在河道管理范围内进行下列生产建设活动应依法经市级水行政主管部门审批或审查同意：</w:t>
      </w:r>
    </w:p>
    <w:p>
      <w:pPr>
        <w:keepNext w:val="0"/>
        <w:keepLines w:val="0"/>
        <w:pageBreakBefore w:val="0"/>
        <w:widowControl w:val="0"/>
        <w:kinsoku/>
        <w:wordWrap/>
        <w:overflowPunct/>
        <w:topLinePunct w:val="0"/>
        <w:autoSpaceDE/>
        <w:autoSpaceDN/>
        <w:bidi w:val="0"/>
        <w:adjustRightInd/>
        <w:snapToGrid/>
        <w:spacing w:line="380" w:lineRule="exact"/>
        <w:ind w:left="0" w:right="0" w:rightChars="0" w:firstLine="420" w:firstLineChars="200"/>
        <w:jc w:val="both"/>
        <w:textAlignment w:val="auto"/>
        <w:outlineLvl w:val="9"/>
        <w:rPr>
          <w:rFonts w:hint="default" w:ascii="Times New Roman" w:hAnsi="Times New Roman" w:eastAsia="宋体" w:cs="Times New Roman"/>
          <w:bCs/>
          <w:sz w:val="21"/>
          <w:szCs w:val="21"/>
          <w:lang w:bidi="ar-SA"/>
        </w:rPr>
      </w:pPr>
      <w:r>
        <w:rPr>
          <w:rFonts w:hint="default" w:ascii="Times New Roman" w:hAnsi="Times New Roman" w:eastAsia="宋体" w:cs="Times New Roman"/>
          <w:bCs/>
          <w:sz w:val="21"/>
          <w:szCs w:val="21"/>
          <w:lang w:bidi="ar-SA"/>
        </w:rPr>
        <w:t>（一）建设跨河、穿河、穿堤、临河的桥梁、码头、道路、渡口、管道、缆线、取水、排水等工程施工。</w:t>
      </w:r>
    </w:p>
    <w:p>
      <w:pPr>
        <w:keepNext w:val="0"/>
        <w:keepLines w:val="0"/>
        <w:pageBreakBefore w:val="0"/>
        <w:widowControl w:val="0"/>
        <w:kinsoku/>
        <w:wordWrap/>
        <w:overflowPunct/>
        <w:topLinePunct w:val="0"/>
        <w:autoSpaceDE/>
        <w:autoSpaceDN/>
        <w:bidi w:val="0"/>
        <w:adjustRightInd/>
        <w:snapToGrid/>
        <w:spacing w:line="380" w:lineRule="exact"/>
        <w:ind w:left="0" w:right="0" w:rightChars="0" w:firstLine="420" w:firstLineChars="200"/>
        <w:jc w:val="both"/>
        <w:textAlignment w:val="auto"/>
        <w:outlineLvl w:val="9"/>
        <w:rPr>
          <w:rFonts w:hint="default" w:ascii="Times New Roman" w:hAnsi="Times New Roman" w:eastAsia="宋体" w:cs="Times New Roman"/>
          <w:bCs/>
          <w:sz w:val="21"/>
          <w:szCs w:val="21"/>
          <w:lang w:bidi="ar-SA"/>
        </w:rPr>
      </w:pPr>
      <w:r>
        <w:rPr>
          <w:rFonts w:hint="default" w:ascii="Times New Roman" w:hAnsi="Times New Roman" w:eastAsia="宋体" w:cs="Times New Roman"/>
          <w:bCs/>
          <w:sz w:val="21"/>
          <w:szCs w:val="21"/>
          <w:lang w:bidi="ar-SA"/>
        </w:rPr>
        <w:t>（二）在河道管理范围内进行采砂、取土、弃置砂石或者淤泥、爆破、钻探、挖筑鱼塘，在河道滩地修建厂房或者其他建筑设施，开采地下资源进行考古发掘等活动。</w:t>
      </w:r>
    </w:p>
    <w:p>
      <w:pPr>
        <w:keepNext w:val="0"/>
        <w:keepLines w:val="0"/>
        <w:pageBreakBefore w:val="0"/>
        <w:widowControl w:val="0"/>
        <w:kinsoku/>
        <w:wordWrap/>
        <w:overflowPunct/>
        <w:topLinePunct w:val="0"/>
        <w:autoSpaceDE/>
        <w:autoSpaceDN/>
        <w:bidi w:val="0"/>
        <w:adjustRightInd/>
        <w:snapToGrid/>
        <w:spacing w:line="380" w:lineRule="exact"/>
        <w:ind w:left="0" w:right="0" w:rightChars="0" w:firstLine="420" w:firstLineChars="200"/>
        <w:jc w:val="both"/>
        <w:textAlignment w:val="auto"/>
        <w:outlineLvl w:val="9"/>
        <w:rPr>
          <w:rFonts w:hint="default" w:ascii="Times New Roman" w:hAnsi="Times New Roman" w:eastAsia="宋体" w:cs="Times New Roman"/>
          <w:bCs/>
          <w:sz w:val="21"/>
          <w:szCs w:val="21"/>
          <w:lang w:bidi="ar-SA"/>
        </w:rPr>
      </w:pPr>
      <w:r>
        <w:rPr>
          <w:rFonts w:hint="default" w:ascii="Times New Roman" w:hAnsi="Times New Roman" w:eastAsia="宋体" w:cs="Times New Roman"/>
          <w:bCs/>
          <w:sz w:val="21"/>
          <w:szCs w:val="21"/>
          <w:lang w:bidi="ar-SA"/>
        </w:rPr>
        <w:t>四、违反上述规定的将根据《中华人民共和国水法》《中华人民共和国河道管理条例》《河北省水利工程管理条例》《邯郸市水利工程管理条例》及相关法规规定，追究当事人的法律责任。</w:t>
      </w:r>
    </w:p>
    <w:p>
      <w:pPr>
        <w:keepNext w:val="0"/>
        <w:keepLines w:val="0"/>
        <w:pageBreakBefore w:val="0"/>
        <w:widowControl w:val="0"/>
        <w:kinsoku/>
        <w:wordWrap/>
        <w:overflowPunct/>
        <w:topLinePunct w:val="0"/>
        <w:autoSpaceDE/>
        <w:autoSpaceDN/>
        <w:bidi w:val="0"/>
        <w:adjustRightInd/>
        <w:snapToGrid/>
        <w:spacing w:line="380" w:lineRule="exact"/>
        <w:ind w:left="0" w:right="0" w:rightChars="0" w:firstLine="420" w:firstLineChars="200"/>
        <w:jc w:val="both"/>
        <w:textAlignment w:val="auto"/>
        <w:outlineLvl w:val="9"/>
        <w:rPr>
          <w:rFonts w:hint="default" w:ascii="Times New Roman" w:hAnsi="Times New Roman" w:eastAsia="宋体" w:cs="Times New Roman"/>
          <w:bCs/>
          <w:sz w:val="21"/>
          <w:szCs w:val="21"/>
          <w:lang w:bidi="ar-SA"/>
        </w:rPr>
      </w:pPr>
      <w:r>
        <w:rPr>
          <w:rFonts w:hint="default" w:ascii="Times New Roman" w:hAnsi="Times New Roman" w:eastAsia="宋体" w:cs="Times New Roman"/>
          <w:bCs/>
          <w:sz w:val="21"/>
          <w:szCs w:val="21"/>
          <w:lang w:bidi="ar-SA"/>
        </w:rPr>
        <w:t>五、自本通告发布之日起，水行政主管部门按照河道管理事项划分，依法加强对牙里故道（漳河故道)魏县段监督管理。划定的河道管理范围内土地权属不变。</w:t>
      </w:r>
    </w:p>
    <w:p>
      <w:pPr>
        <w:keepNext w:val="0"/>
        <w:keepLines w:val="0"/>
        <w:pageBreakBefore w:val="0"/>
        <w:widowControl w:val="0"/>
        <w:kinsoku/>
        <w:wordWrap/>
        <w:overflowPunct/>
        <w:topLinePunct w:val="0"/>
        <w:autoSpaceDE/>
        <w:autoSpaceDN/>
        <w:bidi w:val="0"/>
        <w:adjustRightInd/>
        <w:snapToGrid/>
        <w:spacing w:line="380" w:lineRule="exact"/>
        <w:ind w:left="0" w:right="0" w:rightChars="0" w:firstLine="420" w:firstLineChars="200"/>
        <w:jc w:val="both"/>
        <w:textAlignment w:val="auto"/>
        <w:outlineLvl w:val="9"/>
        <w:rPr>
          <w:rFonts w:hint="default" w:ascii="Times New Roman" w:hAnsi="Times New Roman" w:eastAsia="宋体" w:cs="Times New Roman"/>
          <w:bCs/>
          <w:sz w:val="21"/>
          <w:szCs w:val="21"/>
          <w:lang w:bidi="ar-SA"/>
        </w:rPr>
      </w:pPr>
      <w:r>
        <w:rPr>
          <w:rFonts w:hint="default" w:ascii="Times New Roman" w:hAnsi="Times New Roman" w:eastAsia="宋体" w:cs="Times New Roman"/>
          <w:bCs/>
          <w:sz w:val="21"/>
          <w:szCs w:val="21"/>
          <w:lang w:bidi="ar-SA"/>
        </w:rPr>
        <w:t xml:space="preserve">六、本通告有效期五年。         </w:t>
      </w:r>
    </w:p>
    <w:p>
      <w:pPr>
        <w:keepNext w:val="0"/>
        <w:keepLines w:val="0"/>
        <w:pageBreakBefore w:val="0"/>
        <w:widowControl w:val="0"/>
        <w:kinsoku/>
        <w:wordWrap/>
        <w:overflowPunct/>
        <w:topLinePunct w:val="0"/>
        <w:autoSpaceDE/>
        <w:autoSpaceDN/>
        <w:bidi w:val="0"/>
        <w:adjustRightInd/>
        <w:snapToGrid/>
        <w:spacing w:line="380" w:lineRule="exact"/>
        <w:ind w:left="516" w:right="0" w:rightChars="0" w:firstLine="3360" w:firstLineChars="1600"/>
        <w:jc w:val="both"/>
        <w:textAlignment w:val="auto"/>
        <w:outlineLvl w:val="9"/>
        <w:rPr>
          <w:rFonts w:hint="default" w:ascii="Times New Roman" w:hAnsi="Times New Roman" w:eastAsia="宋体" w:cs="Times New Roman"/>
          <w:bCs/>
          <w:sz w:val="21"/>
          <w:szCs w:val="21"/>
          <w:lang w:bidi="ar-SA"/>
        </w:rPr>
      </w:pPr>
    </w:p>
    <w:p>
      <w:pPr>
        <w:keepNext w:val="0"/>
        <w:keepLines w:val="0"/>
        <w:pageBreakBefore w:val="0"/>
        <w:widowControl w:val="0"/>
        <w:kinsoku/>
        <w:wordWrap/>
        <w:overflowPunct/>
        <w:topLinePunct w:val="0"/>
        <w:autoSpaceDE/>
        <w:autoSpaceDN/>
        <w:bidi w:val="0"/>
        <w:adjustRightInd/>
        <w:snapToGrid/>
        <w:spacing w:line="380" w:lineRule="exact"/>
        <w:ind w:left="516" w:right="0" w:rightChars="0" w:firstLine="6090" w:firstLineChars="2900"/>
        <w:jc w:val="both"/>
        <w:textAlignment w:val="auto"/>
        <w:outlineLvl w:val="9"/>
        <w:rPr>
          <w:rFonts w:hint="default" w:ascii="Times New Roman" w:hAnsi="Times New Roman" w:eastAsia="宋体" w:cs="Times New Roman"/>
          <w:bCs/>
          <w:sz w:val="21"/>
          <w:szCs w:val="21"/>
          <w:lang w:bidi="ar-SA"/>
        </w:rPr>
      </w:pPr>
      <w:r>
        <w:rPr>
          <w:rFonts w:hint="default" w:ascii="Times New Roman" w:hAnsi="Times New Roman" w:eastAsia="宋体" w:cs="Times New Roman"/>
          <w:bCs/>
          <w:sz w:val="21"/>
          <w:szCs w:val="21"/>
          <w:lang w:bidi="ar-SA"/>
        </w:rPr>
        <w:t xml:space="preserve">魏县人民政府                                                 </w:t>
      </w:r>
    </w:p>
    <w:p>
      <w:pPr>
        <w:keepNext w:val="0"/>
        <w:keepLines w:val="0"/>
        <w:pageBreakBefore w:val="0"/>
        <w:widowControl w:val="0"/>
        <w:kinsoku/>
        <w:wordWrap/>
        <w:overflowPunct/>
        <w:topLinePunct w:val="0"/>
        <w:autoSpaceDE/>
        <w:autoSpaceDN/>
        <w:bidi w:val="0"/>
        <w:adjustRightInd/>
        <w:snapToGrid/>
        <w:spacing w:line="380" w:lineRule="exact"/>
        <w:ind w:left="315" w:right="0" w:rightChars="0" w:firstLine="0"/>
        <w:jc w:val="both"/>
        <w:textAlignment w:val="auto"/>
        <w:outlineLvl w:val="9"/>
        <w:rPr>
          <w:rFonts w:hint="default" w:ascii="Times New Roman" w:hAnsi="Times New Roman" w:eastAsia="宋体" w:cs="Times New Roman"/>
          <w:bCs/>
          <w:sz w:val="21"/>
          <w:szCs w:val="21"/>
          <w:lang w:bidi="ar-SA"/>
        </w:rPr>
      </w:pPr>
      <w:r>
        <w:rPr>
          <w:rFonts w:hint="default" w:ascii="Times New Roman" w:hAnsi="Times New Roman" w:eastAsia="宋体" w:cs="Times New Roman"/>
          <w:bCs/>
          <w:sz w:val="21"/>
          <w:szCs w:val="21"/>
          <w:lang w:bidi="ar-SA"/>
        </w:rPr>
        <w:t xml:space="preserve">                            </w:t>
      </w:r>
      <w:r>
        <w:rPr>
          <w:rFonts w:hint="eastAsia" w:ascii="Times New Roman" w:hAnsi="Times New Roman" w:cs="Times New Roman"/>
          <w:bCs/>
          <w:sz w:val="21"/>
          <w:szCs w:val="21"/>
          <w:lang w:val="en-US" w:eastAsia="zh-CN" w:bidi="ar-SA"/>
        </w:rPr>
        <w:t xml:space="preserve">                           </w:t>
      </w:r>
      <w:r>
        <w:rPr>
          <w:rFonts w:hint="default" w:ascii="Times New Roman" w:hAnsi="Times New Roman" w:eastAsia="宋体" w:cs="Times New Roman"/>
          <w:bCs/>
          <w:sz w:val="21"/>
          <w:szCs w:val="21"/>
          <w:lang w:bidi="ar-SA"/>
        </w:rPr>
        <w:t xml:space="preserve">    2020年11月</w:t>
      </w:r>
      <w:r>
        <w:rPr>
          <w:rFonts w:hint="default" w:ascii="Times New Roman" w:hAnsi="Times New Roman" w:eastAsia="宋体" w:cs="Times New Roman"/>
          <w:bCs/>
          <w:sz w:val="21"/>
          <w:szCs w:val="21"/>
          <w:lang w:val="en-US" w:eastAsia="zh-CN" w:bidi="ar-SA"/>
        </w:rPr>
        <w:t>3</w:t>
      </w:r>
      <w:r>
        <w:rPr>
          <w:rFonts w:hint="default" w:ascii="Times New Roman" w:hAnsi="Times New Roman" w:eastAsia="宋体" w:cs="Times New Roman"/>
          <w:bCs/>
          <w:sz w:val="21"/>
          <w:szCs w:val="21"/>
          <w:lang w:bidi="ar-SA"/>
        </w:rPr>
        <w:t>日</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宋体" w:cs="Times New Roman"/>
          <w:bCs/>
          <w:sz w:val="21"/>
          <w:szCs w:val="21"/>
          <w:lang w:bidi="ar-SA"/>
        </w:rPr>
      </w:pPr>
    </w:p>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Theme="majorEastAsia" w:hAnsiTheme="majorEastAsia" w:eastAsiaTheme="majorEastAsia" w:cstheme="majorEastAsia"/>
          <w:bCs/>
          <w:sz w:val="36"/>
          <w:szCs w:val="36"/>
          <w:lang w:bidi="ar-SA"/>
        </w:rPr>
      </w:pPr>
    </w:p>
    <w:p>
      <w:pPr>
        <w:pStyle w:val="4"/>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color w:val="333333"/>
          <w:sz w:val="36"/>
          <w:szCs w:val="36"/>
        </w:rPr>
        <w:t>魏县人民政府</w:t>
      </w:r>
    </w:p>
    <w:p>
      <w:pPr>
        <w:pStyle w:val="4"/>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333333"/>
          <w:sz w:val="36"/>
          <w:szCs w:val="36"/>
        </w:rPr>
      </w:pPr>
      <w:r>
        <w:rPr>
          <w:rFonts w:hint="eastAsia" w:asciiTheme="majorEastAsia" w:hAnsiTheme="majorEastAsia" w:eastAsiaTheme="majorEastAsia" w:cstheme="majorEastAsia"/>
          <w:color w:val="333333"/>
          <w:sz w:val="36"/>
          <w:szCs w:val="36"/>
        </w:rPr>
        <w:t>关于在事故多发路段实施区间测速限速行驶的</w:t>
      </w:r>
    </w:p>
    <w:p>
      <w:pPr>
        <w:pStyle w:val="4"/>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color w:val="333333"/>
          <w:sz w:val="36"/>
          <w:szCs w:val="36"/>
        </w:rPr>
        <w:t>通</w:t>
      </w:r>
      <w:r>
        <w:rPr>
          <w:rFonts w:hint="eastAsia" w:asciiTheme="majorEastAsia" w:hAnsiTheme="majorEastAsia" w:eastAsiaTheme="majorEastAsia" w:cstheme="majorEastAsia"/>
          <w:color w:val="333333"/>
          <w:sz w:val="36"/>
          <w:szCs w:val="36"/>
          <w:lang w:val="en-US" w:eastAsia="zh-CN"/>
        </w:rPr>
        <w:t xml:space="preserve">    </w:t>
      </w:r>
      <w:r>
        <w:rPr>
          <w:rFonts w:hint="eastAsia" w:asciiTheme="majorEastAsia" w:hAnsiTheme="majorEastAsia" w:eastAsiaTheme="majorEastAsia" w:cstheme="majorEastAsia"/>
          <w:color w:val="333333"/>
          <w:sz w:val="36"/>
          <w:szCs w:val="36"/>
        </w:rPr>
        <w:t>告</w:t>
      </w:r>
    </w:p>
    <w:p>
      <w:pPr>
        <w:pStyle w:val="4"/>
        <w:keepNext w:val="0"/>
        <w:keepLines w:val="0"/>
        <w:pageBreakBefore w:val="0"/>
        <w:widowControl/>
        <w:suppressLineNumbers w:val="0"/>
        <w:kinsoku/>
        <w:wordWrap/>
        <w:overflowPunct/>
        <w:topLinePunct w:val="0"/>
        <w:autoSpaceDE/>
        <w:autoSpaceDN/>
        <w:bidi w:val="0"/>
        <w:adjustRightInd/>
        <w:snapToGrid/>
        <w:spacing w:line="300" w:lineRule="exact"/>
        <w:ind w:left="0" w:firstLine="317"/>
        <w:jc w:val="both"/>
        <w:textAlignment w:val="auto"/>
        <w:outlineLvl w:val="9"/>
        <w:rPr>
          <w:rFonts w:hint="default" w:ascii="Times New Roman" w:hAnsi="Times New Roman" w:cs="Times New Roman" w:eastAsiaTheme="majorEastAsia"/>
          <w:color w:val="333333"/>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auto"/>
        <w:outlineLvl w:val="9"/>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t>魏政规〔2020〕10号</w:t>
      </w:r>
    </w:p>
    <w:p>
      <w:pPr>
        <w:pStyle w:val="4"/>
        <w:keepNext w:val="0"/>
        <w:keepLines w:val="0"/>
        <w:pageBreakBefore w:val="0"/>
        <w:widowControl/>
        <w:suppressLineNumbers w:val="0"/>
        <w:kinsoku/>
        <w:wordWrap/>
        <w:overflowPunct/>
        <w:topLinePunct w:val="0"/>
        <w:autoSpaceDE/>
        <w:autoSpaceDN/>
        <w:bidi w:val="0"/>
        <w:adjustRightInd/>
        <w:snapToGrid/>
        <w:spacing w:line="380" w:lineRule="exact"/>
        <w:ind w:left="0" w:firstLine="315"/>
        <w:jc w:val="both"/>
        <w:textAlignment w:val="auto"/>
        <w:outlineLvl w:val="9"/>
        <w:rPr>
          <w:rFonts w:hint="default" w:ascii="Times New Roman" w:hAnsi="Times New Roman" w:cs="Times New Roman" w:eastAsiaTheme="majorEastAsia"/>
          <w:color w:val="333333"/>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line="380" w:lineRule="exact"/>
        <w:ind w:firstLine="420" w:firstLineChars="200"/>
        <w:jc w:val="both"/>
        <w:textAlignment w:val="auto"/>
        <w:outlineLvl w:val="9"/>
        <w:rPr>
          <w:rFonts w:hint="default" w:ascii="Times New Roman" w:hAnsi="Times New Roman" w:cs="Times New Roman" w:eastAsiaTheme="majorEastAsia"/>
          <w:sz w:val="21"/>
          <w:szCs w:val="21"/>
        </w:rPr>
      </w:pPr>
      <w:r>
        <w:rPr>
          <w:rFonts w:hint="default" w:ascii="Times New Roman" w:hAnsi="Times New Roman" w:cs="Times New Roman" w:eastAsiaTheme="majorEastAsia"/>
          <w:color w:val="333333"/>
          <w:sz w:val="21"/>
          <w:szCs w:val="21"/>
        </w:rPr>
        <w:t>为避免和减少各类交通事故的发生,保障交通参与者的生命财产安全,提升道路通行能力,营造一个良好安全的交通环境,经多部门排查论证,决定在以下事故隐患或多发路段实施车辆限速行驶管理,现通告如下：</w:t>
      </w:r>
    </w:p>
    <w:p>
      <w:pPr>
        <w:pStyle w:val="4"/>
        <w:keepNext w:val="0"/>
        <w:keepLines w:val="0"/>
        <w:pageBreakBefore w:val="0"/>
        <w:widowControl/>
        <w:suppressLineNumbers w:val="0"/>
        <w:kinsoku/>
        <w:wordWrap/>
        <w:overflowPunct/>
        <w:topLinePunct w:val="0"/>
        <w:autoSpaceDE/>
        <w:autoSpaceDN/>
        <w:bidi w:val="0"/>
        <w:adjustRightInd/>
        <w:snapToGrid/>
        <w:spacing w:line="380" w:lineRule="exact"/>
        <w:ind w:firstLine="420" w:firstLineChars="200"/>
        <w:jc w:val="both"/>
        <w:textAlignment w:val="auto"/>
        <w:outlineLvl w:val="9"/>
        <w:rPr>
          <w:rFonts w:hint="default" w:ascii="Times New Roman" w:hAnsi="Times New Roman" w:cs="Times New Roman" w:eastAsiaTheme="majorEastAsia"/>
          <w:sz w:val="21"/>
          <w:szCs w:val="21"/>
        </w:rPr>
      </w:pPr>
      <w:r>
        <w:rPr>
          <w:rFonts w:hint="default" w:ascii="Times New Roman" w:hAnsi="Times New Roman" w:cs="Times New Roman" w:eastAsiaTheme="majorEastAsia"/>
          <w:color w:val="333333"/>
          <w:sz w:val="21"/>
          <w:szCs w:val="21"/>
        </w:rPr>
        <w:t>一、原234省道(老定魏线)282公里+100米处实施机动车限速行驶,限速值小型汽车70km/h，大型汽车70km/h,测速方式为单点测速;</w:t>
      </w:r>
    </w:p>
    <w:p>
      <w:pPr>
        <w:pStyle w:val="4"/>
        <w:keepNext w:val="0"/>
        <w:keepLines w:val="0"/>
        <w:pageBreakBefore w:val="0"/>
        <w:widowControl/>
        <w:suppressLineNumbers w:val="0"/>
        <w:kinsoku/>
        <w:wordWrap/>
        <w:overflowPunct/>
        <w:topLinePunct w:val="0"/>
        <w:autoSpaceDE/>
        <w:autoSpaceDN/>
        <w:bidi w:val="0"/>
        <w:adjustRightInd/>
        <w:snapToGrid/>
        <w:spacing w:line="380" w:lineRule="exact"/>
        <w:ind w:firstLine="420" w:firstLineChars="200"/>
        <w:jc w:val="both"/>
        <w:textAlignment w:val="auto"/>
        <w:outlineLvl w:val="9"/>
        <w:rPr>
          <w:rFonts w:hint="default" w:ascii="Times New Roman" w:hAnsi="Times New Roman" w:cs="Times New Roman" w:eastAsiaTheme="majorEastAsia"/>
          <w:sz w:val="21"/>
          <w:szCs w:val="21"/>
        </w:rPr>
      </w:pPr>
      <w:r>
        <w:rPr>
          <w:rFonts w:hint="default" w:ascii="Times New Roman" w:hAnsi="Times New Roman" w:cs="Times New Roman" w:eastAsiaTheme="majorEastAsia"/>
          <w:color w:val="333333"/>
          <w:sz w:val="21"/>
          <w:szCs w:val="21"/>
        </w:rPr>
        <w:t>二、S313省道(邯大线)53公里+700米至62公里+200米处实施机动车限速行驶,限速值小型汽车70km/h,大型汽车70km/h,测速方式为区间测速;</w:t>
      </w:r>
    </w:p>
    <w:p>
      <w:pPr>
        <w:pStyle w:val="4"/>
        <w:keepNext w:val="0"/>
        <w:keepLines w:val="0"/>
        <w:pageBreakBefore w:val="0"/>
        <w:widowControl/>
        <w:suppressLineNumbers w:val="0"/>
        <w:kinsoku/>
        <w:wordWrap/>
        <w:overflowPunct/>
        <w:topLinePunct w:val="0"/>
        <w:autoSpaceDE/>
        <w:autoSpaceDN/>
        <w:bidi w:val="0"/>
        <w:adjustRightInd/>
        <w:snapToGrid/>
        <w:spacing w:line="380" w:lineRule="exact"/>
        <w:ind w:firstLine="420" w:firstLineChars="200"/>
        <w:jc w:val="both"/>
        <w:textAlignment w:val="auto"/>
        <w:outlineLvl w:val="9"/>
        <w:rPr>
          <w:rFonts w:hint="default" w:ascii="Times New Roman" w:hAnsi="Times New Roman" w:cs="Times New Roman" w:eastAsiaTheme="majorEastAsia"/>
          <w:sz w:val="21"/>
          <w:szCs w:val="21"/>
        </w:rPr>
      </w:pPr>
      <w:r>
        <w:rPr>
          <w:rFonts w:hint="default" w:ascii="Times New Roman" w:hAnsi="Times New Roman" w:cs="Times New Roman" w:eastAsiaTheme="majorEastAsia"/>
          <w:color w:val="333333"/>
          <w:sz w:val="21"/>
          <w:szCs w:val="21"/>
        </w:rPr>
        <w:t>三、原234省道(老定魏线)248公里+680米处实施机动车限速行驶,限速值小型汽车70km/h,大型汽车70km/h,测速方式为单点测速;</w:t>
      </w:r>
    </w:p>
    <w:p>
      <w:pPr>
        <w:pStyle w:val="4"/>
        <w:keepNext w:val="0"/>
        <w:keepLines w:val="0"/>
        <w:pageBreakBefore w:val="0"/>
        <w:widowControl/>
        <w:suppressLineNumbers w:val="0"/>
        <w:kinsoku/>
        <w:wordWrap/>
        <w:overflowPunct/>
        <w:topLinePunct w:val="0"/>
        <w:autoSpaceDE/>
        <w:autoSpaceDN/>
        <w:bidi w:val="0"/>
        <w:adjustRightInd/>
        <w:snapToGrid/>
        <w:spacing w:line="380" w:lineRule="exact"/>
        <w:ind w:firstLine="420" w:firstLineChars="200"/>
        <w:jc w:val="both"/>
        <w:textAlignment w:val="auto"/>
        <w:outlineLvl w:val="9"/>
        <w:rPr>
          <w:rFonts w:hint="default" w:ascii="Times New Roman" w:hAnsi="Times New Roman" w:cs="Times New Roman" w:eastAsiaTheme="majorEastAsia"/>
          <w:sz w:val="21"/>
          <w:szCs w:val="21"/>
        </w:rPr>
      </w:pPr>
      <w:r>
        <w:rPr>
          <w:rFonts w:hint="default" w:ascii="Times New Roman" w:hAnsi="Times New Roman" w:cs="Times New Roman" w:eastAsiaTheme="majorEastAsia"/>
          <w:color w:val="333333"/>
          <w:sz w:val="21"/>
          <w:szCs w:val="21"/>
        </w:rPr>
        <w:t>四、原234省道(老定魏线)261公里+980米处实施机动车限速行驶,限速值小型汽车70km/h,大型汽车70km/h,测速方式为单点测速;</w:t>
      </w:r>
    </w:p>
    <w:p>
      <w:pPr>
        <w:pStyle w:val="4"/>
        <w:keepNext w:val="0"/>
        <w:keepLines w:val="0"/>
        <w:pageBreakBefore w:val="0"/>
        <w:widowControl/>
        <w:suppressLineNumbers w:val="0"/>
        <w:kinsoku/>
        <w:wordWrap/>
        <w:overflowPunct/>
        <w:topLinePunct w:val="0"/>
        <w:autoSpaceDE/>
        <w:autoSpaceDN/>
        <w:bidi w:val="0"/>
        <w:adjustRightInd/>
        <w:snapToGrid/>
        <w:spacing w:line="380" w:lineRule="exact"/>
        <w:ind w:firstLine="420" w:firstLineChars="200"/>
        <w:jc w:val="both"/>
        <w:textAlignment w:val="auto"/>
        <w:outlineLvl w:val="9"/>
        <w:rPr>
          <w:rFonts w:hint="default" w:ascii="Times New Roman" w:hAnsi="Times New Roman" w:cs="Times New Roman" w:eastAsiaTheme="majorEastAsia"/>
          <w:sz w:val="21"/>
          <w:szCs w:val="21"/>
        </w:rPr>
      </w:pPr>
      <w:r>
        <w:rPr>
          <w:rFonts w:hint="default" w:ascii="Times New Roman" w:hAnsi="Times New Roman" w:cs="Times New Roman" w:eastAsiaTheme="majorEastAsia"/>
          <w:color w:val="333333"/>
          <w:sz w:val="21"/>
          <w:szCs w:val="21"/>
        </w:rPr>
        <w:t>五、G230国道1628公里+720米至1634公里+515米处,G230国道1634公里+515米至1643公里+375米处实施机动车限速行驶，限速值小型汽车70km/h,大型汽车70km/h,测速方式为连续区间测速;</w:t>
      </w:r>
    </w:p>
    <w:p>
      <w:pPr>
        <w:pStyle w:val="4"/>
        <w:keepNext w:val="0"/>
        <w:keepLines w:val="0"/>
        <w:pageBreakBefore w:val="0"/>
        <w:widowControl/>
        <w:suppressLineNumbers w:val="0"/>
        <w:kinsoku/>
        <w:wordWrap/>
        <w:overflowPunct/>
        <w:topLinePunct w:val="0"/>
        <w:autoSpaceDE/>
        <w:autoSpaceDN/>
        <w:bidi w:val="0"/>
        <w:adjustRightInd/>
        <w:snapToGrid/>
        <w:spacing w:line="380" w:lineRule="exact"/>
        <w:ind w:firstLine="420" w:firstLineChars="200"/>
        <w:jc w:val="both"/>
        <w:textAlignment w:val="auto"/>
        <w:outlineLvl w:val="9"/>
        <w:rPr>
          <w:rFonts w:hint="default" w:ascii="Times New Roman" w:hAnsi="Times New Roman" w:cs="Times New Roman" w:eastAsiaTheme="majorEastAsia"/>
          <w:sz w:val="21"/>
          <w:szCs w:val="21"/>
        </w:rPr>
      </w:pPr>
      <w:r>
        <w:rPr>
          <w:rFonts w:hint="default" w:ascii="Times New Roman" w:hAnsi="Times New Roman" w:cs="Times New Roman" w:eastAsiaTheme="majorEastAsia"/>
          <w:color w:val="333333"/>
          <w:sz w:val="21"/>
          <w:szCs w:val="21"/>
        </w:rPr>
        <w:t>六、S316省道(魏峰线)3公里+700米至9公里+300米处实施机动车限速行驶,限速值小型汽车70km/h,大型汽车70km/h,测速方式为区间测速;</w:t>
      </w:r>
    </w:p>
    <w:p>
      <w:pPr>
        <w:pStyle w:val="4"/>
        <w:keepNext w:val="0"/>
        <w:keepLines w:val="0"/>
        <w:pageBreakBefore w:val="0"/>
        <w:widowControl/>
        <w:suppressLineNumbers w:val="0"/>
        <w:kinsoku/>
        <w:wordWrap/>
        <w:overflowPunct/>
        <w:topLinePunct w:val="0"/>
        <w:autoSpaceDE/>
        <w:autoSpaceDN/>
        <w:bidi w:val="0"/>
        <w:adjustRightInd/>
        <w:snapToGrid/>
        <w:spacing w:line="380" w:lineRule="exact"/>
        <w:ind w:firstLine="420" w:firstLineChars="200"/>
        <w:jc w:val="both"/>
        <w:textAlignment w:val="auto"/>
        <w:outlineLvl w:val="9"/>
        <w:rPr>
          <w:rFonts w:hint="default" w:ascii="Times New Roman" w:hAnsi="Times New Roman" w:cs="Times New Roman" w:eastAsiaTheme="majorEastAsia"/>
          <w:sz w:val="21"/>
          <w:szCs w:val="21"/>
        </w:rPr>
      </w:pPr>
      <w:r>
        <w:rPr>
          <w:rFonts w:hint="default" w:ascii="Times New Roman" w:hAnsi="Times New Roman" w:cs="Times New Roman" w:eastAsiaTheme="majorEastAsia"/>
          <w:color w:val="333333"/>
          <w:sz w:val="21"/>
          <w:szCs w:val="21"/>
        </w:rPr>
        <w:t>七、G230国道1646公里至1660公里处实施机动车限速行驶,限速值小型汽车70km/h,大型汽车70km/h,测速方式为区间测速;</w:t>
      </w:r>
    </w:p>
    <w:p>
      <w:pPr>
        <w:pStyle w:val="4"/>
        <w:keepNext w:val="0"/>
        <w:keepLines w:val="0"/>
        <w:pageBreakBefore w:val="0"/>
        <w:widowControl/>
        <w:suppressLineNumbers w:val="0"/>
        <w:kinsoku/>
        <w:wordWrap/>
        <w:overflowPunct/>
        <w:topLinePunct w:val="0"/>
        <w:autoSpaceDE/>
        <w:autoSpaceDN/>
        <w:bidi w:val="0"/>
        <w:adjustRightInd/>
        <w:snapToGrid/>
        <w:spacing w:line="380" w:lineRule="exact"/>
        <w:ind w:firstLine="420" w:firstLineChars="200"/>
        <w:jc w:val="both"/>
        <w:textAlignment w:val="auto"/>
        <w:outlineLvl w:val="9"/>
        <w:rPr>
          <w:rFonts w:hint="default" w:ascii="Times New Roman" w:hAnsi="Times New Roman" w:cs="Times New Roman" w:eastAsiaTheme="majorEastAsia"/>
          <w:sz w:val="21"/>
          <w:szCs w:val="21"/>
        </w:rPr>
      </w:pPr>
      <w:r>
        <w:rPr>
          <w:rFonts w:hint="default" w:ascii="Times New Roman" w:hAnsi="Times New Roman" w:cs="Times New Roman" w:eastAsiaTheme="majorEastAsia"/>
          <w:color w:val="333333"/>
          <w:sz w:val="21"/>
          <w:szCs w:val="21"/>
        </w:rPr>
        <w:t>八、大牙线院堡路段至北皋镇旧魏县路段实施机动车限速行驶,限速值小型汽车70km/h,大型汽车70km/h,测速方式为区间测速。</w:t>
      </w:r>
    </w:p>
    <w:p>
      <w:pPr>
        <w:pStyle w:val="4"/>
        <w:keepNext w:val="0"/>
        <w:keepLines w:val="0"/>
        <w:pageBreakBefore w:val="0"/>
        <w:widowControl/>
        <w:suppressLineNumbers w:val="0"/>
        <w:kinsoku/>
        <w:wordWrap/>
        <w:overflowPunct/>
        <w:topLinePunct w:val="0"/>
        <w:autoSpaceDE/>
        <w:autoSpaceDN/>
        <w:bidi w:val="0"/>
        <w:adjustRightInd/>
        <w:snapToGrid/>
        <w:spacing w:line="380" w:lineRule="exact"/>
        <w:ind w:firstLine="420" w:firstLineChars="200"/>
        <w:jc w:val="both"/>
        <w:textAlignment w:val="auto"/>
        <w:outlineLvl w:val="9"/>
        <w:rPr>
          <w:rFonts w:hint="default" w:ascii="Times New Roman" w:hAnsi="Times New Roman" w:cs="Times New Roman" w:eastAsiaTheme="majorEastAsia"/>
          <w:sz w:val="21"/>
          <w:szCs w:val="21"/>
        </w:rPr>
      </w:pPr>
      <w:r>
        <w:rPr>
          <w:rFonts w:hint="default" w:ascii="Times New Roman" w:hAnsi="Times New Roman" w:cs="Times New Roman" w:eastAsiaTheme="majorEastAsia"/>
          <w:color w:val="333333"/>
          <w:sz w:val="21"/>
          <w:szCs w:val="21"/>
        </w:rPr>
        <w:t>以上路段全程实施电子监控管理,根据《中华人民共和国道路交通安全法》《中华人民共和国道路交通安全实施条例》《河北省实施道路交通安全法办法》的相关内容,对机动车超速、逆向行驶、违反禁令标志指示、故意遮挡机动车号牌、使用变造的机动车号牌、驾驶人未按规定使用安全带、驾驶时拨打接听手持电话、驾车时有其他妨碍安全行车等违法行为将被拍照记录处罚。</w:t>
      </w:r>
    </w:p>
    <w:p>
      <w:pPr>
        <w:pStyle w:val="4"/>
        <w:keepNext w:val="0"/>
        <w:keepLines w:val="0"/>
        <w:pageBreakBefore w:val="0"/>
        <w:widowControl/>
        <w:suppressLineNumbers w:val="0"/>
        <w:kinsoku/>
        <w:wordWrap/>
        <w:overflowPunct/>
        <w:topLinePunct w:val="0"/>
        <w:autoSpaceDE/>
        <w:autoSpaceDN/>
        <w:bidi w:val="0"/>
        <w:adjustRightInd/>
        <w:snapToGrid/>
        <w:spacing w:line="380" w:lineRule="exact"/>
        <w:ind w:firstLine="420" w:firstLineChars="200"/>
        <w:jc w:val="both"/>
        <w:textAlignment w:val="auto"/>
        <w:outlineLvl w:val="9"/>
        <w:rPr>
          <w:rFonts w:hint="default" w:ascii="Times New Roman" w:hAnsi="Times New Roman" w:cs="Times New Roman" w:eastAsiaTheme="majorEastAsia"/>
          <w:sz w:val="21"/>
          <w:szCs w:val="21"/>
        </w:rPr>
      </w:pPr>
      <w:r>
        <w:rPr>
          <w:rFonts w:hint="default" w:ascii="Times New Roman" w:hAnsi="Times New Roman" w:cs="Times New Roman" w:eastAsiaTheme="majorEastAsia"/>
          <w:color w:val="333333"/>
          <w:sz w:val="21"/>
          <w:szCs w:val="21"/>
        </w:rPr>
        <w:t>九、本通告自2021年1月1日起实施。</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宋体" w:cs="Times New Roman"/>
          <w:bCs/>
          <w:sz w:val="21"/>
          <w:szCs w:val="21"/>
          <w:lang w:bidi="ar-SA"/>
        </w:rPr>
      </w:pPr>
    </w:p>
    <w:p>
      <w:pPr>
        <w:pStyle w:val="4"/>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cs="Times New Roman" w:eastAsiaTheme="majorEastAsia"/>
          <w:sz w:val="21"/>
          <w:szCs w:val="21"/>
        </w:rPr>
      </w:pPr>
      <w:r>
        <w:rPr>
          <w:rFonts w:hint="default" w:ascii="仿宋_GB2312" w:hAnsi="微软雅黑" w:eastAsia="仿宋_GB2312" w:cs="仿宋_GB2312"/>
          <w:color w:val="333333"/>
          <w:sz w:val="31"/>
          <w:szCs w:val="31"/>
        </w:rPr>
        <w:t>   </w:t>
      </w:r>
      <w:r>
        <w:rPr>
          <w:rFonts w:hint="eastAsia" w:ascii="仿宋_GB2312" w:hAnsi="微软雅黑" w:eastAsia="仿宋_GB2312" w:cs="仿宋_GB2312"/>
          <w:color w:val="333333"/>
          <w:sz w:val="31"/>
          <w:szCs w:val="31"/>
          <w:lang w:val="en-US" w:eastAsia="zh-CN"/>
        </w:rPr>
        <w:t xml:space="preserve">                                    </w:t>
      </w:r>
      <w:r>
        <w:rPr>
          <w:rFonts w:hint="default" w:ascii="Times New Roman" w:hAnsi="Times New Roman" w:cs="Times New Roman" w:eastAsiaTheme="majorEastAsia"/>
          <w:color w:val="333333"/>
          <w:sz w:val="21"/>
          <w:szCs w:val="21"/>
        </w:rPr>
        <w:t>魏县人民政府</w:t>
      </w:r>
    </w:p>
    <w:p>
      <w:pPr>
        <w:pStyle w:val="4"/>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cs="Times New Roman" w:eastAsiaTheme="majorEastAsia"/>
          <w:sz w:val="21"/>
          <w:szCs w:val="21"/>
        </w:rPr>
      </w:pPr>
      <w:r>
        <w:rPr>
          <w:rFonts w:hint="eastAsia" w:ascii="Times New Roman" w:hAnsi="Times New Roman" w:cs="Times New Roman" w:eastAsiaTheme="majorEastAsia"/>
          <w:color w:val="333333"/>
          <w:sz w:val="21"/>
          <w:szCs w:val="21"/>
          <w:lang w:val="en-US" w:eastAsia="zh-CN"/>
        </w:rPr>
        <w:t xml:space="preserve">                                                        </w:t>
      </w:r>
      <w:r>
        <w:rPr>
          <w:rFonts w:hint="default" w:ascii="Times New Roman" w:hAnsi="Times New Roman" w:cs="Times New Roman" w:eastAsiaTheme="majorEastAsia"/>
          <w:color w:val="333333"/>
          <w:sz w:val="21"/>
          <w:szCs w:val="21"/>
        </w:rPr>
        <w:t>2020年12月10日</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宋体" w:cs="Times New Roman"/>
          <w:bCs/>
          <w:sz w:val="21"/>
          <w:szCs w:val="21"/>
          <w:lang w:bidi="ar-SA"/>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宋体" w:cs="Times New Roman"/>
          <w:bCs/>
          <w:sz w:val="21"/>
          <w:szCs w:val="21"/>
          <w:lang w:bidi="ar-SA"/>
        </w:rPr>
      </w:pP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0" w:firstLineChars="0"/>
        <w:jc w:val="center"/>
        <w:textAlignment w:val="auto"/>
        <w:outlineLvl w:val="9"/>
        <w:rPr>
          <w:rFonts w:hint="eastAsia" w:ascii="宋体" w:hAnsi="宋体" w:eastAsia="宋体" w:cs="宋体"/>
          <w:sz w:val="36"/>
          <w:szCs w:val="36"/>
        </w:rPr>
      </w:pPr>
      <w:r>
        <w:rPr>
          <w:rFonts w:hint="eastAsia" w:ascii="宋体" w:hAnsi="宋体" w:eastAsia="宋体" w:cs="宋体"/>
          <w:sz w:val="36"/>
          <w:szCs w:val="36"/>
        </w:rPr>
        <w:t>魏县人民政府办公室</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0" w:firstLineChars="0"/>
        <w:jc w:val="center"/>
        <w:textAlignment w:val="auto"/>
        <w:outlineLvl w:val="9"/>
        <w:rPr>
          <w:rFonts w:hint="eastAsia" w:ascii="宋体" w:hAnsi="宋体" w:eastAsia="宋体" w:cs="宋体"/>
          <w:sz w:val="36"/>
          <w:szCs w:val="36"/>
        </w:rPr>
      </w:pPr>
      <w:r>
        <w:rPr>
          <w:rFonts w:hint="eastAsia" w:ascii="宋体" w:hAnsi="宋体" w:eastAsia="宋体" w:cs="宋体"/>
          <w:sz w:val="36"/>
          <w:szCs w:val="36"/>
        </w:rPr>
        <w:t>关于健全完善促进就业体制机制和操作平台的</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0" w:firstLineChars="0"/>
        <w:jc w:val="center"/>
        <w:textAlignment w:val="auto"/>
        <w:outlineLvl w:val="9"/>
        <w:rPr>
          <w:rFonts w:hint="eastAsia" w:ascii="宋体" w:hAnsi="宋体" w:eastAsia="宋体" w:cs="宋体"/>
          <w:sz w:val="36"/>
          <w:szCs w:val="36"/>
        </w:rPr>
      </w:pPr>
      <w:r>
        <w:rPr>
          <w:rFonts w:hint="eastAsia" w:ascii="宋体" w:hAnsi="宋体" w:eastAsia="宋体" w:cs="宋体"/>
          <w:sz w:val="36"/>
          <w:szCs w:val="36"/>
        </w:rPr>
        <w:t>实施意见</w:t>
      </w:r>
    </w:p>
    <w:p>
      <w:pPr>
        <w:spacing w:line="57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魏政办字〔2020〕28号</w:t>
      </w:r>
    </w:p>
    <w:p>
      <w:pPr>
        <w:spacing w:line="570" w:lineRule="exact"/>
        <w:jc w:val="both"/>
        <w:rPr>
          <w:rFonts w:hint="default" w:ascii="Times New Roman" w:hAnsi="Times New Roman" w:eastAsia="宋体" w:cs="Times New Roman"/>
          <w:bCs/>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宋体" w:cs="Times New Roman"/>
          <w:b w:val="0"/>
          <w:bCs w:val="0"/>
          <w:sz w:val="21"/>
          <w:szCs w:val="21"/>
        </w:rPr>
        <w:sectPr>
          <w:footerReference r:id="rId3" w:type="default"/>
          <w:footerReference r:id="rId4" w:type="even"/>
          <w:pgSz w:w="11906" w:h="16838"/>
          <w:pgMar w:top="2268" w:right="1417" w:bottom="1984" w:left="1417" w:header="851" w:footer="1474"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各乡镇政府、街道办，县对口各单位，县政府各部门：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为贯彻落实省政府办公厅《关于健全促进就业体制机制和操作平台的实施意见》（冀政办字〔2020〕88号）和市政府办公室《关于健全完善促进就业体制机制和操作平台的实施意见》（邯政办字〔2020〕50号）要求，进一步健全完善全县促进就业体制机制和操作平台，促进劳动者实现更高质量更加充分就业，提出如下实施意见。</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黑体" w:hAnsi="黑体" w:eastAsia="黑体" w:cs="黑体"/>
          <w:b w:val="0"/>
          <w:bCs w:val="0"/>
          <w:sz w:val="21"/>
          <w:szCs w:val="21"/>
        </w:rPr>
      </w:pPr>
      <w:r>
        <w:rPr>
          <w:rFonts w:hint="eastAsia" w:ascii="黑体" w:hAnsi="黑体" w:eastAsia="黑体" w:cs="黑体"/>
          <w:b w:val="0"/>
          <w:bCs w:val="0"/>
          <w:sz w:val="21"/>
          <w:szCs w:val="21"/>
        </w:rPr>
        <w:t>—、总体要求</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以习近平新时代中国特色社会主义思想为指导，认真落实党中央、国务院，省委、省政府、市委、市政府“六稳”“六保”决策部署及县委、县政府有关工作要求，就业优先政策全面强化，财政、货币和投资等政策聚力支持稳就业；努力稳定现有就业，积极增加新的就业，促进失业人员再就业；清理取消对就业的不合理限制，促就业举措应出尽出，拓岗位办法能用尽用。健全促进就业体制机制，搭建横向联通、纵向联动的智能就业信息网络化操作平台，提升公共就业服务水平，大规模开展职业技能培训，扎实做好稳就业工作，全面落实保居民就业任务，确保全县就业大局总体稳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黑体" w:hAnsi="黑体" w:eastAsia="黑体" w:cs="黑体"/>
          <w:b w:val="0"/>
          <w:bCs w:val="0"/>
          <w:sz w:val="21"/>
          <w:szCs w:val="21"/>
        </w:rPr>
      </w:pPr>
      <w:r>
        <w:rPr>
          <w:rFonts w:hint="eastAsia" w:ascii="黑体" w:hAnsi="黑体" w:eastAsia="黑体" w:cs="黑体"/>
          <w:b w:val="0"/>
          <w:bCs w:val="0"/>
          <w:sz w:val="21"/>
          <w:szCs w:val="21"/>
        </w:rPr>
        <w:t>二、完善促进就业体系，发挥组织推动作用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（一）发挥政府主导，健全就业组织体系。</w:t>
      </w:r>
      <w:r>
        <w:rPr>
          <w:rFonts w:hint="default" w:ascii="Times New Roman" w:hAnsi="Times New Roman" w:eastAsia="宋体" w:cs="Times New Roman"/>
          <w:b w:val="0"/>
          <w:bCs w:val="0"/>
          <w:sz w:val="21"/>
          <w:szCs w:val="21"/>
        </w:rPr>
        <w:t>县就业工作领导小组要加强对全县就业工作的组织、引导，适时召开就业领导小组会议（每年至少召开一次），将完善促进就业的目标责任制纳入各乡镇政府、街道办及县相关部门党政领导班子工作实绩考核。要加强组织实施，强化部门横向协调、县乡纵向联动、区域多向交流，提高政策推动落实的系统性和协同性；加强对就业工作进度和各项目标任务完成情况的督促检查，每月跟踪掌握政策落实进度，确保高质量完成就业目标任务。各乡镇政府、街道办切实履行保居民就业的主体责任，强化健全就业工作机制，充分发挥统筹推进本辖区就业工作的职能作用。</w:t>
      </w:r>
      <w:r>
        <w:rPr>
          <w:rFonts w:hint="eastAsia" w:ascii="楷体_GB2312" w:hAnsi="楷体_GB2312" w:eastAsia="楷体_GB2312" w:cs="楷体_GB2312"/>
          <w:b w:val="0"/>
          <w:bCs w:val="0"/>
          <w:sz w:val="21"/>
          <w:szCs w:val="21"/>
        </w:rPr>
        <w:t>（责任单位：县人社局、县发改局、县教体局、县工业企业服务中心、县民政局、县财政局、县税务局、县行政审批局、县市监局、县公安局、县统计局、县地方金融监管局。列在第一位的为牵头部门，下同）</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（二）强化就业优先，完善就业政策体系。</w:t>
      </w:r>
      <w:r>
        <w:rPr>
          <w:rFonts w:hint="default" w:ascii="Times New Roman" w:hAnsi="Times New Roman" w:eastAsia="宋体" w:cs="Times New Roman"/>
          <w:b w:val="0"/>
          <w:bCs w:val="0"/>
          <w:sz w:val="21"/>
          <w:szCs w:val="21"/>
        </w:rPr>
        <w:t>建立健全促进经济增长与扩大就业联动机制，促进产业结构、区域发展与就业协同，支持现代服务业和劳动密集型产业发展，创造更多就业岗位。统筹落实专项资金促进就业、失业保险稳定就业、税费减免扶持就业、项目投入扩大就业、促进消费拉动就业等系列政策，充分发挥政策体系作用，加强对重点行业、重点群体就业支持，做好高校毕业生、退役军人、农民工就业服务工作，确保高校毕业生就业率不低于上年，农民工实现返岗复工或就近就地就业，帮助有就业意愿的自主就业退役士兵实现就业。加强就业援助，帮扶残疾人、零就业家庭等困难群体就业，保障困难人员基本生活。强化特定时期就业政策落实，加大疫情期间就业政策扶持力度，稳企业保就业。</w:t>
      </w:r>
      <w:r>
        <w:rPr>
          <w:rFonts w:hint="eastAsia" w:ascii="楷体_GB2312" w:hAnsi="楷体_GB2312" w:eastAsia="楷体_GB2312" w:cs="楷体_GB2312"/>
          <w:b w:val="0"/>
          <w:bCs w:val="0"/>
          <w:sz w:val="21"/>
          <w:szCs w:val="21"/>
        </w:rPr>
        <w:t>（责任单位：县人社局、县发改局、县教体局、县工业企业服务中心、县退役军人事务局、县民政局、县财政局、县税务局、县地方金融监管局、人行魏县支行）</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（三）加强技能培训，健全终身培训体系。</w:t>
      </w:r>
      <w:r>
        <w:rPr>
          <w:rFonts w:hint="default" w:ascii="Times New Roman" w:hAnsi="Times New Roman" w:eastAsia="宋体" w:cs="Times New Roman"/>
          <w:b w:val="0"/>
          <w:bCs w:val="0"/>
          <w:sz w:val="21"/>
          <w:szCs w:val="21"/>
        </w:rPr>
        <w:t>以政府补贴培训、企业自主培训、市场化培训为主要供给，以公共实训机构、职业院校（含技工院校）、职业培训机构和行业企业为主要载体，以就业技能培训、岗位技能提升培训和创业创新培训为主要形式，构建培训资源优化配置、培训载体多元发展、劳动者按需选择、政府加强监管服务的培训组织实施体系。面向城乡全体劳动者，不断完善从劳动预备开始，到劳动者实现就业创业并贯穿学习和职业生涯全过程的终身职业技能培训政策。大力开展职业技能提升行动，深入推进高技能人才振兴计划，实施百万农民工大培训，支持企业开展以工代训，全面推行企业新型学徒制，不断提升劳动者素质。到2021年底，开展各类职业技能培训4400人次以上，推动技能人才规模不断壮大，结构更加优化，发展环境明显改善。</w:t>
      </w:r>
      <w:r>
        <w:rPr>
          <w:rFonts w:hint="eastAsia" w:ascii="楷体_GB2312" w:hAnsi="楷体_GB2312" w:eastAsia="楷体_GB2312" w:cs="楷体_GB2312"/>
          <w:b w:val="0"/>
          <w:bCs w:val="0"/>
          <w:sz w:val="21"/>
          <w:szCs w:val="21"/>
        </w:rPr>
        <w:t>（责任单位：县人社局、县教体局、县财政局、县应急管理局、县市监局、县发改局、县农业农村局、县林果开发服务中心）</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（四）扩大覆盖范围，深化就业服务体系。</w:t>
      </w:r>
      <w:r>
        <w:rPr>
          <w:rFonts w:hint="default" w:ascii="Times New Roman" w:hAnsi="Times New Roman" w:eastAsia="宋体" w:cs="Times New Roman"/>
          <w:b w:val="0"/>
          <w:bCs w:val="0"/>
          <w:sz w:val="21"/>
          <w:szCs w:val="21"/>
        </w:rPr>
        <w:t>扩大公共就业服务范围，推动公共就业服务城乡常住人口全覆盖，劳动年龄内、有劳动能力、有就业要求的城乡劳动者可持居民身份证或社会保障卡，在常住地（在本地连续居住一年以上视为常住地）公共就业服务机构申请公共就业服务。其中，处于无业状态的劳动者，可采取线上与线下渠道相结合的方式办理失业登记。保障各类用人单位同等享受公共就业服务，用人单位可向公共就业服务机构申请招聘用工服务，提供的招聘信息要真实合法；公共就业服务机构要在3个工作日内审核用人单位相关资质，核实发布招聘信息的真实性、合法性。强化就业创业全程服务，支持经营性人力资源服务机构、社会组织提供专业化公共就业创业服务，支持社会组织等承接基层基本公共就业服务，综合考虑服务半径、服务人口、资源承载能力和城镇化发展趋势，统筹布局公共就业服务网点，推广“15分钟服务圈”，到2022年底为1.3万人提供创业服务。</w:t>
      </w:r>
      <w:r>
        <w:rPr>
          <w:rFonts w:hint="eastAsia" w:ascii="楷体_GB2312" w:hAnsi="楷体_GB2312" w:eastAsia="楷体_GB2312" w:cs="楷体_GB2312"/>
          <w:b w:val="0"/>
          <w:bCs w:val="0"/>
          <w:sz w:val="21"/>
          <w:szCs w:val="21"/>
        </w:rPr>
        <w:t>（责任单位：县人社局、各乡镇政府、街道办）</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黑体" w:hAnsi="黑体" w:eastAsia="黑体" w:cs="黑体"/>
          <w:b w:val="0"/>
          <w:bCs w:val="0"/>
          <w:sz w:val="21"/>
          <w:szCs w:val="21"/>
        </w:rPr>
      </w:pPr>
      <w:r>
        <w:rPr>
          <w:rFonts w:hint="eastAsia" w:ascii="黑体" w:hAnsi="黑体" w:eastAsia="黑体" w:cs="黑体"/>
          <w:b w:val="0"/>
          <w:bCs w:val="0"/>
          <w:sz w:val="21"/>
          <w:szCs w:val="21"/>
        </w:rPr>
        <w:t>三、健全就业工作机制，提升政策落实实效</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default" w:ascii="Times New Roman" w:hAnsi="Times New Roman" w:eastAsia="宋体" w:cs="Times New Roman"/>
          <w:b w:val="0"/>
          <w:bCs w:val="0"/>
          <w:sz w:val="21"/>
          <w:szCs w:val="21"/>
        </w:rPr>
      </w:pPr>
      <w:r>
        <w:rPr>
          <w:rFonts w:hint="eastAsia" w:ascii="楷体_GB2312" w:hAnsi="楷体_GB2312" w:eastAsia="楷体_GB2312" w:cs="楷体_GB2312"/>
          <w:b w:val="0"/>
          <w:bCs w:val="0"/>
          <w:sz w:val="21"/>
          <w:szCs w:val="21"/>
        </w:rPr>
        <w:t>（一）加强动态监测，健全分析研判机制。</w:t>
      </w:r>
      <w:r>
        <w:rPr>
          <w:rFonts w:hint="default" w:ascii="Times New Roman" w:hAnsi="Times New Roman" w:eastAsia="宋体" w:cs="Times New Roman"/>
          <w:b w:val="0"/>
          <w:bCs w:val="0"/>
          <w:sz w:val="21"/>
          <w:szCs w:val="21"/>
        </w:rPr>
        <w:t>持续抓好新增就业人员、农村劳动力转移就业、就业失业登记、劳动用工备案、社会保险登记常规统计，提升数据质量和时效性。强化“企业失业监测”“重点企业就业监测”工作，多维度开展重点区域、重点群体、重点行业就业监测。完善企业用工和求职信息数据统计。加强移动通信、铁路运输、社保缴纳、招聘求职等大数据比对分析，充分运用常住人口规模、劳动年龄内人口规模、规上工业企业等统计数据，健全多方参与的就业形势研判机制，密切关注本地经济和就业形势变化。加强就业影响评估，把有利于扩大就业作为宏观经济调控、产业结构调整以及重大产业项目布局的重要因素，加快推进项目实施，创造更多就业岗位。（责任单位：县人社局、县统计局、县发改局、县行政审批局、县税务局、县市监局、各乡镇政府、街道办）</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default" w:ascii="Times New Roman" w:hAnsi="Times New Roman" w:eastAsia="宋体" w:cs="Times New Roman"/>
          <w:b w:val="0"/>
          <w:bCs w:val="0"/>
          <w:sz w:val="21"/>
          <w:szCs w:val="21"/>
        </w:rPr>
      </w:pPr>
      <w:r>
        <w:rPr>
          <w:rFonts w:hint="eastAsia" w:ascii="楷体_GB2312" w:hAnsi="楷体_GB2312" w:eastAsia="楷体_GB2312" w:cs="楷体_GB2312"/>
          <w:b w:val="0"/>
          <w:bCs w:val="0"/>
          <w:sz w:val="21"/>
          <w:szCs w:val="21"/>
        </w:rPr>
        <w:t>（二）规范资金使用，强化监督管理机制。</w:t>
      </w:r>
      <w:r>
        <w:rPr>
          <w:rFonts w:hint="default" w:ascii="Times New Roman" w:hAnsi="Times New Roman" w:eastAsia="宋体" w:cs="Times New Roman"/>
          <w:b w:val="0"/>
          <w:bCs w:val="0"/>
          <w:sz w:val="21"/>
          <w:szCs w:val="21"/>
        </w:rPr>
        <w:t>加大就业补助资金筹集力度，建立逐年预算增加机制。统筹用好就业补助资金、失业保险基金、职业技能提升专账资金、工业企业结构调整专项奖补资金等。加强资金监管，专款专用，提高资金使用效益，严格支出使用程序，确保资金使用安全高效，保障就业政策全面落实。（责任单位：县财政局、县人社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（三）增强风险预警，完善应对处置机制。</w:t>
      </w:r>
      <w:r>
        <w:rPr>
          <w:rFonts w:hint="default" w:ascii="Times New Roman" w:hAnsi="Times New Roman" w:eastAsia="宋体" w:cs="Times New Roman"/>
          <w:b w:val="0"/>
          <w:bCs w:val="0"/>
          <w:sz w:val="21"/>
          <w:szCs w:val="21"/>
        </w:rPr>
        <w:t>加强企业用工监测，对新增就业连续下滑、调查失业率急速攀升、市场供求逆转失衡、规模性失业传导扩散、规模性裁员和重点行业、重点地区、重点群体失业频发等风险隐患，及时预测预警，按照分级预警、分级响应、分类施策的原则，制定风险应对预案。落实报告制度,加强应对化解，要第一时间处置因规模性失业引发的群体性突发事件，防止矛盾激化和事态扩大。对出现严重规模性失业风险的地方，按规定采取提高稳岗返还标准、开展以工代赈、组织跨区域劳务对接、合理降低企业用人成本、延长领取失业保险金期限、开展生活帮扶等措施，防范化解失业风险。</w:t>
      </w:r>
      <w:r>
        <w:rPr>
          <w:rFonts w:hint="eastAsia" w:ascii="楷体_GB2312" w:hAnsi="楷体_GB2312" w:eastAsia="楷体_GB2312" w:cs="楷体_GB2312"/>
          <w:b w:val="0"/>
          <w:bCs w:val="0"/>
          <w:sz w:val="21"/>
          <w:szCs w:val="21"/>
        </w:rPr>
        <w:t>（责任单位：县人社局、县财政局、各乡镇政府、街道办）</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黑体" w:hAnsi="黑体" w:eastAsia="黑体" w:cs="黑体"/>
          <w:b w:val="0"/>
          <w:bCs w:val="0"/>
          <w:sz w:val="21"/>
          <w:szCs w:val="21"/>
        </w:rPr>
      </w:pPr>
      <w:r>
        <w:rPr>
          <w:rFonts w:hint="eastAsia" w:ascii="黑体" w:hAnsi="黑体" w:eastAsia="黑体" w:cs="黑体"/>
          <w:b w:val="0"/>
          <w:bCs w:val="0"/>
          <w:sz w:val="21"/>
          <w:szCs w:val="21"/>
        </w:rPr>
        <w:t>四、用好就业信息平台，提升就业服务质量</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default" w:ascii="Times New Roman" w:hAnsi="Times New Roman" w:eastAsia="宋体" w:cs="Times New Roman"/>
          <w:b w:val="0"/>
          <w:bCs w:val="0"/>
          <w:sz w:val="21"/>
          <w:szCs w:val="21"/>
        </w:rPr>
      </w:pPr>
      <w:r>
        <w:rPr>
          <w:rFonts w:hint="eastAsia" w:ascii="楷体_GB2312" w:hAnsi="楷体_GB2312" w:eastAsia="楷体_GB2312" w:cs="楷体_GB2312"/>
          <w:b w:val="0"/>
          <w:bCs w:val="0"/>
          <w:sz w:val="21"/>
          <w:szCs w:val="21"/>
        </w:rPr>
        <w:t>（一）用足招聘对接平台，提升供需匹配率。</w:t>
      </w:r>
      <w:r>
        <w:rPr>
          <w:rFonts w:hint="default" w:ascii="Times New Roman" w:hAnsi="Times New Roman" w:eastAsia="宋体" w:cs="Times New Roman"/>
          <w:b w:val="0"/>
          <w:bCs w:val="0"/>
          <w:sz w:val="21"/>
          <w:szCs w:val="21"/>
        </w:rPr>
        <w:t>依托“河北公共招聘网”“邯郸市人力资源市场招聘网”，强化就业岗位信息搜集与发布、求职需求汇总与岗位匹配推介、网上招聘与面试等功能，实现不同地域、不同机构之间岗位信息互联互通、共享发布。构建实体大厅、网上平台、移动应用、自助终端等线上线下交融互通的服务平台，为用人单位和劳动者提供高效便捷的网上用工求职对接服务。开展分行业、分区域、分群体的网络招聘活动，实现用人单位与劳动者的精准对接，提升供需匹配成功率。（责任单位:县人社局、各乡镇政府、街道办）</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（二）应用智能管理平台，推行服务一体化。</w:t>
      </w:r>
      <w:r>
        <w:rPr>
          <w:rFonts w:hint="default" w:ascii="Times New Roman" w:hAnsi="Times New Roman" w:eastAsia="宋体" w:cs="Times New Roman"/>
          <w:b w:val="0"/>
          <w:bCs w:val="0"/>
          <w:sz w:val="21"/>
          <w:szCs w:val="21"/>
        </w:rPr>
        <w:t>充分应用省级智能公共就业服务信息平台，推进“互联网+公共就业服务”。联网发布就业创业政策信息和各地就业见习、培训等服务信息。全面开展就业失业登记、社会保险登记、劳动用工备案业务协同，实行就业创业政策受理、审核、实施一体化办理。全程记录落实政策和提供服务信息，全面推进信息数据向上集中，实现跨地区、跨部门交换共享和动态管理。</w:t>
      </w:r>
      <w:r>
        <w:rPr>
          <w:rFonts w:hint="eastAsia" w:ascii="楷体_GB2312" w:hAnsi="楷体_GB2312" w:eastAsia="楷体_GB2312" w:cs="楷体_GB2312"/>
          <w:b w:val="0"/>
          <w:bCs w:val="0"/>
          <w:sz w:val="21"/>
          <w:szCs w:val="21"/>
        </w:rPr>
        <w:t>（责任单位：县人社局、各乡镇政府、街道办）</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（三）用好数据分析平台，提高服务针对性。</w:t>
      </w:r>
      <w:r>
        <w:rPr>
          <w:rFonts w:hint="default" w:ascii="Times New Roman" w:hAnsi="Times New Roman" w:eastAsia="宋体" w:cs="Times New Roman"/>
          <w:b w:val="0"/>
          <w:bCs w:val="0"/>
          <w:sz w:val="21"/>
          <w:szCs w:val="21"/>
        </w:rPr>
        <w:t>依托省级就业信息资源库和全省农村劳动力转移就业实名制系统，建立完善我县农村劳动力转移就业实名制数据库，对于我县户籍农村劳动力就业信息应录尽录，并维护更新动态管理，运用就业创业、社会保险、劳动关系等业务数据信息共享，加强以大数据分析为基础的就业形势分析研判，提高对宏观决策的支撑能力。对不同地区、不同行业、不同职业（工种）的人力资源市场供需状况进行分析，及时掌握企业用工状况、技能培训、劳动者就业失业等情况，引导劳动者有序流动、理性择业、转换和提升职业技能。综合分析劳动者基本技能、市场供需状况、行业薪资水平等情况，掌握劳动者就业创业需求，有针对性地开展就业指导服务。</w:t>
      </w:r>
      <w:r>
        <w:rPr>
          <w:rFonts w:hint="eastAsia" w:ascii="楷体_GB2312" w:hAnsi="楷体_GB2312" w:eastAsia="楷体_GB2312" w:cs="楷体_GB2312"/>
          <w:b w:val="0"/>
          <w:bCs w:val="0"/>
          <w:sz w:val="21"/>
          <w:szCs w:val="21"/>
        </w:rPr>
        <w:t>（责任单位:县人社局、各乡镇政府、街道办）</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黑体" w:hAnsi="黑体" w:eastAsia="黑体" w:cs="黑体"/>
          <w:b w:val="0"/>
          <w:bCs w:val="0"/>
          <w:sz w:val="21"/>
          <w:szCs w:val="21"/>
        </w:rPr>
      </w:pPr>
      <w:r>
        <w:rPr>
          <w:rFonts w:hint="eastAsia" w:ascii="黑体" w:hAnsi="黑体" w:eastAsia="黑体" w:cs="黑体"/>
          <w:b w:val="0"/>
          <w:bCs w:val="0"/>
          <w:sz w:val="21"/>
          <w:szCs w:val="21"/>
        </w:rPr>
        <w:t>五、实施保居民就业，发挥“蓄水池”作用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（一）掌握供需对接，畅通就业渠道。</w:t>
      </w:r>
      <w:r>
        <w:rPr>
          <w:rFonts w:hint="default" w:ascii="Times New Roman" w:hAnsi="Times New Roman" w:eastAsia="宋体" w:cs="Times New Roman"/>
          <w:b w:val="0"/>
          <w:bCs w:val="0"/>
          <w:sz w:val="21"/>
          <w:szCs w:val="21"/>
        </w:rPr>
        <w:t>各级公共就业服务机构和各类经营性人力资源服务机构、社会组织要广泛征集企业用工需求，集合就业失业、就业扶持政策落实等相关业务系统，横向融合全国和省、市相关数据，纵向汇聚人力资源社会保障部和省、市、县、乡就业数据信息，对高校毕业生等重点群体就业精准建档立卡，实行实名制管理，形成企业岗位供给清单和劳动者求职清单，面向全国发送企业和社会组织用工信息，推介全县各类人员求职信息，畅通供需对接渠道，促进劳动者尽快实现就业。</w:t>
      </w:r>
      <w:r>
        <w:rPr>
          <w:rFonts w:hint="eastAsia" w:ascii="楷体_GB2312" w:hAnsi="楷体_GB2312" w:eastAsia="楷体_GB2312" w:cs="楷体_GB2312"/>
          <w:b w:val="0"/>
          <w:bCs w:val="0"/>
          <w:sz w:val="21"/>
          <w:szCs w:val="21"/>
        </w:rPr>
        <w:t>（责任单位：县人社局、各乡镇政府、街道办）</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（二）开展储备培训，提升就业能力。</w:t>
      </w:r>
      <w:r>
        <w:rPr>
          <w:rFonts w:hint="default" w:ascii="Times New Roman" w:hAnsi="Times New Roman" w:eastAsia="宋体" w:cs="Times New Roman"/>
          <w:b w:val="0"/>
          <w:bCs w:val="0"/>
          <w:sz w:val="21"/>
          <w:szCs w:val="21"/>
        </w:rPr>
        <w:t>大规模开展职业技能培训，精准掌握求职者年龄、性别等信息，对有意愿参加职业培训的各类劳动者做到“应培尽培”，按规定落实职业技能培训补贴。</w:t>
      </w:r>
      <w:r>
        <w:rPr>
          <w:rFonts w:hint="eastAsia" w:ascii="楷体_GB2312" w:hAnsi="楷体_GB2312" w:eastAsia="楷体_GB2312" w:cs="楷体_GB2312"/>
          <w:b w:val="0"/>
          <w:bCs w:val="0"/>
          <w:sz w:val="21"/>
          <w:szCs w:val="21"/>
        </w:rPr>
        <w:t>（责任单位：县人社局、县卫健局、县财政局、县教体局、各乡镇政府、街道办）</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（三）加强兜底保障，精准帮扶就业。</w:t>
      </w:r>
      <w:r>
        <w:rPr>
          <w:rFonts w:hint="default" w:ascii="Times New Roman" w:hAnsi="Times New Roman" w:eastAsia="宋体" w:cs="Times New Roman"/>
          <w:b w:val="0"/>
          <w:bCs w:val="0"/>
          <w:sz w:val="21"/>
          <w:szCs w:val="21"/>
        </w:rPr>
        <w:t>发挥失业保险保生活、防失业、促就业功能作用，对符合领取失业保险金条件的人员，及时发放失业保险金。2020年12月31日前，对领取失业保险金期满仍未就业的失业人员、不符合领取失业保险金条件的参保失业人员，发放失业补助金。对生活困难的失业人员及家庭，符合条件的按规定纳入最低生活保障、特困供养及临时救助等社会救助范围。加大对失业人员岗位推荐力度，对通过市场渠道确实难以就业的，利用公益性岗位兜底安置，确保零就业家庭动态清零。</w:t>
      </w:r>
      <w:r>
        <w:rPr>
          <w:rFonts w:hint="eastAsia" w:ascii="楷体_GB2312" w:hAnsi="楷体_GB2312" w:eastAsia="楷体_GB2312" w:cs="楷体_GB2312"/>
          <w:b w:val="0"/>
          <w:bCs w:val="0"/>
          <w:sz w:val="21"/>
          <w:szCs w:val="21"/>
        </w:rPr>
        <w:t>（责任单位：县人社局、县民政局、县财政局）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黑体" w:hAnsi="黑体" w:eastAsia="黑体" w:cs="黑体"/>
          <w:b w:val="0"/>
          <w:bCs w:val="0"/>
          <w:sz w:val="21"/>
          <w:szCs w:val="21"/>
        </w:rPr>
      </w:pPr>
      <w:r>
        <w:rPr>
          <w:rFonts w:hint="eastAsia" w:ascii="黑体" w:hAnsi="黑体" w:eastAsia="黑体" w:cs="黑体"/>
          <w:b w:val="0"/>
          <w:bCs w:val="0"/>
          <w:sz w:val="21"/>
          <w:szCs w:val="21"/>
        </w:rPr>
        <w:t>六、加强组织实施</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default" w:ascii="Times New Roman" w:hAnsi="Times New Roman" w:eastAsia="宋体" w:cs="Times New Roman"/>
          <w:b w:val="0"/>
          <w:bCs w:val="0"/>
          <w:sz w:val="21"/>
          <w:szCs w:val="21"/>
        </w:rPr>
      </w:pPr>
      <w:r>
        <w:rPr>
          <w:rFonts w:hint="eastAsia" w:ascii="楷体_GB2312" w:hAnsi="楷体_GB2312" w:eastAsia="楷体_GB2312" w:cs="楷体_GB2312"/>
          <w:b w:val="0"/>
          <w:bCs w:val="0"/>
          <w:sz w:val="21"/>
          <w:szCs w:val="21"/>
        </w:rPr>
        <w:t>（一）严格落实责任。</w:t>
      </w:r>
      <w:r>
        <w:rPr>
          <w:rFonts w:hint="default" w:ascii="Times New Roman" w:hAnsi="Times New Roman" w:eastAsia="宋体" w:cs="Times New Roman"/>
          <w:b w:val="0"/>
          <w:bCs w:val="0"/>
          <w:sz w:val="21"/>
          <w:szCs w:val="21"/>
        </w:rPr>
        <w:t>各级各有关部门要进一步提高政治站位，切实履行保居民就业的政治责任，加快落实省就业工作领导小组《关于应对新冠肺炎疫情影响强化稳就业举措的工作方案》（冀就字〔2020〕1号）和省委办公厅、省政府办公厅《关于认真落实保居民就业任务专项工作方案》（冀办〔2020〕17号），细化时间表、路线图、任务书，明确责任人，全力推动政策落实服务落地。</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default" w:ascii="Times New Roman" w:hAnsi="Times New Roman" w:eastAsia="宋体" w:cs="Times New Roman"/>
          <w:b w:val="0"/>
          <w:bCs w:val="0"/>
          <w:sz w:val="21"/>
          <w:szCs w:val="21"/>
        </w:rPr>
      </w:pPr>
      <w:r>
        <w:rPr>
          <w:rFonts w:hint="eastAsia" w:ascii="楷体_GB2312" w:hAnsi="楷体_GB2312" w:eastAsia="楷体_GB2312" w:cs="楷体_GB2312"/>
          <w:b w:val="0"/>
          <w:bCs w:val="0"/>
          <w:sz w:val="21"/>
          <w:szCs w:val="21"/>
        </w:rPr>
        <w:t>（二）强化考核问效。</w:t>
      </w:r>
      <w:r>
        <w:rPr>
          <w:rFonts w:hint="default" w:ascii="Times New Roman" w:hAnsi="Times New Roman" w:eastAsia="宋体" w:cs="Times New Roman"/>
          <w:b w:val="0"/>
          <w:bCs w:val="0"/>
          <w:sz w:val="21"/>
          <w:szCs w:val="21"/>
        </w:rPr>
        <w:t>坚持目标导向和结果导向，细化分解任务，将城镇新增就业纳入各乡镇绩效考核经济建设类指标、“三创四建”活动、“20项民心工程”等重要考核内容，重点督促政策服务落地及重点群体就业等情况,对工作推进力度大、目标任务完成好、保居民就业成效明显的，给予资金支持等方面激励。对履行促进就业职责不到位，未能如期完成就业目标任务，产生严重后果或造成恶劣社会影响的，依纪依规依法追责问责。</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default" w:ascii="Times New Roman" w:hAnsi="Times New Roman" w:eastAsia="宋体" w:cs="Times New Roman"/>
          <w:b w:val="0"/>
          <w:bCs w:val="0"/>
          <w:sz w:val="21"/>
          <w:szCs w:val="21"/>
        </w:rPr>
      </w:pPr>
      <w:r>
        <w:rPr>
          <w:rFonts w:hint="eastAsia" w:ascii="楷体_GB2312" w:hAnsi="楷体_GB2312" w:eastAsia="楷体_GB2312" w:cs="楷体_GB2312"/>
          <w:b w:val="0"/>
          <w:bCs w:val="0"/>
          <w:sz w:val="21"/>
          <w:szCs w:val="21"/>
        </w:rPr>
        <w:t>（三）加强宣传引导。</w:t>
      </w:r>
      <w:r>
        <w:rPr>
          <w:rFonts w:hint="default" w:ascii="Times New Roman" w:hAnsi="Times New Roman" w:eastAsia="宋体" w:cs="Times New Roman"/>
          <w:b w:val="0"/>
          <w:bCs w:val="0"/>
          <w:sz w:val="21"/>
          <w:szCs w:val="21"/>
        </w:rPr>
        <w:t>大力宣传保居民就业决策部署和支持就业创业政策措施，引导广大劳动者树立正确的劳动观、价值观。采取政策解读、新闻发布等形式，利用各类媒体媒介多渠道、多方位广泛宣传就业政策措施，提高群众知晓度，扩大政策享受面,充分释放政策效应，不断提升服务对象的获得感、幸福感、安全感。加强正面引导，选树一批促进就业创业工作典型经验、典型人物,挖掘一批在基层就业创业的先进典型，及时开展表扬激励，主动回应社会关切，稳定社会预期，营造保居民就业的浓厚氛围。</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hint="default" w:ascii="Times New Roman" w:hAnsi="Times New Roman" w:eastAsia="宋体" w:cs="Times New Roman"/>
          <w:b w:val="0"/>
          <w:bCs w:val="0"/>
          <w:sz w:val="21"/>
          <w:szCs w:val="21"/>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100" w:firstLineChars="1000"/>
        <w:jc w:val="both"/>
        <w:textAlignment w:val="auto"/>
        <w:outlineLvl w:val="9"/>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魏县人民政府办公室</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310" w:firstLineChars="1100"/>
        <w:jc w:val="both"/>
        <w:textAlignment w:val="auto"/>
        <w:outlineLvl w:val="9"/>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2020年9月30日</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default" w:ascii="Times New Roman" w:hAnsi="Times New Roman" w:eastAsia="宋体" w:cs="Times New Roman"/>
          <w:bCs/>
          <w:sz w:val="21"/>
          <w:szCs w:val="21"/>
        </w:rPr>
        <w:sectPr>
          <w:type w:val="continuous"/>
          <w:pgSz w:w="11906" w:h="16838"/>
          <w:pgMar w:top="2268" w:right="1417" w:bottom="1984" w:left="1417" w:header="851" w:footer="1474" w:gutter="0"/>
          <w:pgNumType w:fmt="numberInDash"/>
          <w:cols w:equalWidth="0" w:num="2">
            <w:col w:w="4323" w:space="425"/>
            <w:col w:w="4323"/>
          </w:cols>
          <w:rtlGutter w:val="0"/>
          <w:docGrid w:type="lines" w:linePitch="312" w:charSpace="0"/>
        </w:sectPr>
      </w:pPr>
    </w:p>
    <w:p>
      <w:pPr>
        <w:spacing w:line="570" w:lineRule="exact"/>
        <w:jc w:val="both"/>
        <w:rPr>
          <w:rFonts w:hint="default" w:ascii="Times New Roman" w:hAnsi="Times New Roman" w:eastAsia="宋体" w:cs="Times New Roman"/>
          <w:bCs/>
          <w:sz w:val="21"/>
          <w:szCs w:val="21"/>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eastAsia" w:ascii="宋体" w:hAnsi="宋体" w:eastAsia="宋体" w:cs="宋体"/>
          <w:color w:val="000000"/>
          <w:sz w:val="36"/>
          <w:szCs w:val="36"/>
        </w:rPr>
      </w:pPr>
      <w:r>
        <w:rPr>
          <w:rFonts w:hint="eastAsia" w:ascii="宋体" w:hAnsi="宋体" w:eastAsia="宋体" w:cs="宋体"/>
          <w:color w:val="000000"/>
          <w:sz w:val="36"/>
          <w:szCs w:val="36"/>
        </w:rPr>
        <w:t>魏县人民政府办公室</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eastAsia" w:ascii="宋体" w:hAnsi="宋体" w:eastAsia="宋体" w:cs="宋体"/>
          <w:color w:val="000000"/>
          <w:sz w:val="36"/>
          <w:szCs w:val="36"/>
        </w:rPr>
      </w:pPr>
      <w:r>
        <w:rPr>
          <w:rFonts w:hint="eastAsia" w:ascii="宋体" w:hAnsi="宋体" w:eastAsia="宋体" w:cs="宋体"/>
          <w:color w:val="000000"/>
          <w:sz w:val="36"/>
          <w:szCs w:val="36"/>
        </w:rPr>
        <w:t>关于印发《魏县突发环境事件应急预案》的</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eastAsia" w:ascii="宋体" w:hAnsi="宋体" w:eastAsia="宋体" w:cs="宋体"/>
          <w:color w:val="000000"/>
          <w:sz w:val="36"/>
          <w:szCs w:val="36"/>
        </w:rPr>
      </w:pPr>
      <w:r>
        <w:rPr>
          <w:rFonts w:hint="eastAsia" w:ascii="宋体" w:hAnsi="宋体" w:eastAsia="宋体" w:cs="宋体"/>
          <w:color w:val="000000"/>
          <w:sz w:val="36"/>
          <w:szCs w:val="36"/>
        </w:rPr>
        <w:t>通   知</w:t>
      </w:r>
    </w:p>
    <w:p>
      <w:pPr>
        <w:adjustRightInd w:val="0"/>
        <w:snapToGrid w:val="0"/>
        <w:spacing w:line="57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魏政办字〔2020〕</w:t>
      </w:r>
      <w:r>
        <w:rPr>
          <w:rFonts w:hint="default" w:ascii="Times New Roman" w:hAnsi="Times New Roman" w:eastAsia="宋体" w:cs="Times New Roman"/>
          <w:color w:val="000000"/>
          <w:sz w:val="21"/>
          <w:szCs w:val="21"/>
          <w:lang w:val="en-US" w:eastAsia="zh-CN"/>
        </w:rPr>
        <w:t>31</w:t>
      </w:r>
      <w:r>
        <w:rPr>
          <w:rFonts w:hint="default" w:ascii="Times New Roman" w:hAnsi="Times New Roman" w:eastAsia="宋体" w:cs="Times New Roman"/>
          <w:color w:val="000000"/>
          <w:sz w:val="21"/>
          <w:szCs w:val="21"/>
        </w:rPr>
        <w:t>号</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default" w:ascii="Times New Roman" w:hAnsi="Times New Roman" w:cs="Times New Roman" w:eastAsiaTheme="majorEastAsia"/>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380" w:lineRule="exact"/>
        <w:ind w:right="0" w:rightChars="0"/>
        <w:textAlignment w:val="auto"/>
        <w:outlineLvl w:val="9"/>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各乡镇政府、街道办，县对口各单位，县政府各部门：</w:t>
      </w:r>
    </w:p>
    <w:p>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20" w:firstLineChars="200"/>
        <w:textAlignment w:val="auto"/>
        <w:outlineLvl w:val="9"/>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《魏县突发环境事件应急预案》已经县政府同意，现印发给你们，请结合各自工作实际，认真组织实施。同时，2016年10月11日印发的《魏县突发环境事件应急预案》（魏政办字〔2016〕88号）废止。</w:t>
      </w:r>
    </w:p>
    <w:p>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20" w:firstLineChars="200"/>
        <w:textAlignment w:val="auto"/>
        <w:outlineLvl w:val="9"/>
        <w:rPr>
          <w:rFonts w:hint="default" w:ascii="Times New Roman" w:hAnsi="Times New Roman" w:cs="Times New Roman" w:eastAsiaTheme="majorEastAsia"/>
          <w:color w:val="000000"/>
          <w:sz w:val="21"/>
          <w:szCs w:val="21"/>
        </w:rPr>
      </w:pPr>
    </w:p>
    <w:p>
      <w:pPr>
        <w:keepNext w:val="0"/>
        <w:keepLines w:val="0"/>
        <w:pageBreakBefore w:val="0"/>
        <w:widowControl w:val="0"/>
        <w:tabs>
          <w:tab w:val="left" w:pos="7560"/>
        </w:tabs>
        <w:kinsoku/>
        <w:wordWrap/>
        <w:overflowPunct/>
        <w:topLinePunct w:val="0"/>
        <w:autoSpaceDE/>
        <w:autoSpaceDN/>
        <w:bidi w:val="0"/>
        <w:adjustRightInd w:val="0"/>
        <w:snapToGrid w:val="0"/>
        <w:spacing w:line="380" w:lineRule="exact"/>
        <w:ind w:left="2520" w:leftChars="1200" w:right="0" w:rightChars="0" w:firstLine="420" w:firstLineChars="200"/>
        <w:jc w:val="center"/>
        <w:textAlignment w:val="auto"/>
        <w:outlineLvl w:val="9"/>
        <w:rPr>
          <w:rFonts w:hint="default" w:ascii="Times New Roman" w:hAnsi="Times New Roman" w:cs="Times New Roman" w:eastAsiaTheme="majorEastAsia"/>
          <w:color w:val="000000"/>
          <w:sz w:val="21"/>
          <w:szCs w:val="21"/>
        </w:rPr>
      </w:pPr>
      <w:r>
        <w:rPr>
          <w:rFonts w:hint="eastAsia" w:ascii="Times New Roman" w:hAnsi="Times New Roman" w:cs="Times New Roman" w:eastAsiaTheme="majorEastAsia"/>
          <w:color w:val="000000"/>
          <w:sz w:val="21"/>
          <w:szCs w:val="21"/>
          <w:lang w:val="en-US" w:eastAsia="zh-CN"/>
        </w:rPr>
        <w:t xml:space="preserve">                     </w:t>
      </w:r>
      <w:r>
        <w:rPr>
          <w:rFonts w:hint="default" w:ascii="Times New Roman" w:hAnsi="Times New Roman" w:cs="Times New Roman" w:eastAsiaTheme="majorEastAsia"/>
          <w:color w:val="000000"/>
          <w:sz w:val="21"/>
          <w:szCs w:val="21"/>
        </w:rPr>
        <w:t>魏县人民政</w:t>
      </w:r>
      <w:bookmarkStart w:id="0" w:name="_GoBack"/>
      <w:bookmarkEnd w:id="0"/>
      <w:r>
        <w:rPr>
          <w:rFonts w:hint="default" w:ascii="Times New Roman" w:hAnsi="Times New Roman" w:cs="Times New Roman" w:eastAsiaTheme="majorEastAsia"/>
          <w:color w:val="000000"/>
          <w:sz w:val="21"/>
          <w:szCs w:val="21"/>
        </w:rPr>
        <w:t>府办公室</w:t>
      </w:r>
    </w:p>
    <w:p>
      <w:pPr>
        <w:keepNext w:val="0"/>
        <w:keepLines w:val="0"/>
        <w:pageBreakBefore w:val="0"/>
        <w:widowControl w:val="0"/>
        <w:tabs>
          <w:tab w:val="left" w:pos="7560"/>
        </w:tabs>
        <w:kinsoku/>
        <w:wordWrap/>
        <w:overflowPunct/>
        <w:topLinePunct w:val="0"/>
        <w:autoSpaceDE/>
        <w:autoSpaceDN/>
        <w:bidi w:val="0"/>
        <w:adjustRightInd w:val="0"/>
        <w:snapToGrid w:val="0"/>
        <w:spacing w:line="380" w:lineRule="exact"/>
        <w:ind w:left="2520" w:leftChars="1200" w:right="0" w:rightChars="0" w:firstLine="420" w:firstLineChars="200"/>
        <w:jc w:val="center"/>
        <w:textAlignment w:val="auto"/>
        <w:outlineLvl w:val="9"/>
        <w:rPr>
          <w:rFonts w:hint="default" w:ascii="Times New Roman" w:hAnsi="Times New Roman" w:cs="Times New Roman" w:eastAsiaTheme="majorEastAsia"/>
          <w:color w:val="000000"/>
          <w:sz w:val="21"/>
          <w:szCs w:val="21"/>
        </w:rPr>
      </w:pPr>
      <w:r>
        <w:rPr>
          <w:rFonts w:hint="eastAsia" w:ascii="Times New Roman" w:hAnsi="Times New Roman" w:cs="Times New Roman" w:eastAsiaTheme="majorEastAsia"/>
          <w:color w:val="000000"/>
          <w:sz w:val="21"/>
          <w:szCs w:val="21"/>
          <w:lang w:val="en-US" w:eastAsia="zh-CN"/>
        </w:rPr>
        <w:t xml:space="preserve">                      </w:t>
      </w:r>
      <w:r>
        <w:rPr>
          <w:rFonts w:hint="default" w:ascii="Times New Roman" w:hAnsi="Times New Roman" w:cs="Times New Roman" w:eastAsiaTheme="majorEastAsia"/>
          <w:color w:val="000000"/>
          <w:sz w:val="21"/>
          <w:szCs w:val="21"/>
        </w:rPr>
        <w:t>2020年10月</w:t>
      </w:r>
      <w:r>
        <w:rPr>
          <w:rFonts w:hint="default" w:ascii="Times New Roman" w:hAnsi="Times New Roman" w:cs="Times New Roman" w:eastAsiaTheme="majorEastAsia"/>
          <w:color w:val="000000"/>
          <w:sz w:val="21"/>
          <w:szCs w:val="21"/>
          <w:lang w:val="en-US" w:eastAsia="zh-CN"/>
        </w:rPr>
        <w:t>18</w:t>
      </w:r>
      <w:r>
        <w:rPr>
          <w:rFonts w:hint="default" w:ascii="Times New Roman" w:hAnsi="Times New Roman" w:cs="Times New Roman" w:eastAsiaTheme="majorEastAsia"/>
          <w:color w:val="000000"/>
          <w:sz w:val="21"/>
          <w:szCs w:val="21"/>
        </w:rPr>
        <w:t>日</w:t>
      </w:r>
    </w:p>
    <w:p>
      <w:pPr>
        <w:pStyle w:val="8"/>
        <w:keepNext w:val="0"/>
        <w:keepLines w:val="0"/>
        <w:pageBreakBefore w:val="0"/>
        <w:widowControl w:val="0"/>
        <w:kinsoku/>
        <w:wordWrap/>
        <w:overflowPunct/>
        <w:topLinePunct w:val="0"/>
        <w:autoSpaceDE w:val="0"/>
        <w:autoSpaceDN w:val="0"/>
        <w:bidi w:val="0"/>
        <w:adjustRightInd w:val="0"/>
        <w:snapToGrid w:val="0"/>
        <w:spacing w:line="496" w:lineRule="exact"/>
        <w:ind w:left="0" w:leftChars="0" w:right="0" w:rightChars="0" w:firstLine="0" w:firstLineChars="0"/>
        <w:jc w:val="center"/>
        <w:textAlignment w:val="auto"/>
        <w:outlineLvl w:val="9"/>
        <w:rPr>
          <w:rFonts w:hint="eastAsia" w:ascii="宋体" w:hAnsi="宋体"/>
          <w:sz w:val="36"/>
          <w:szCs w:val="36"/>
        </w:rPr>
      </w:pPr>
      <w:r>
        <w:rPr>
          <w:rFonts w:hint="eastAsia" w:ascii="宋体" w:hAnsi="宋体"/>
          <w:sz w:val="36"/>
          <w:szCs w:val="36"/>
        </w:rPr>
        <w:t>魏县突发环境事件应急预案</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sectPr>
          <w:type w:val="continuous"/>
          <w:pgSz w:w="11906" w:h="16838"/>
          <w:pgMar w:top="2268" w:right="1417" w:bottom="1984" w:left="1417" w:header="851" w:footer="1474"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黑体" w:hAnsi="黑体" w:eastAsia="黑体" w:cs="黑体"/>
          <w:color w:val="000000"/>
          <w:sz w:val="21"/>
          <w:szCs w:val="21"/>
        </w:rPr>
      </w:pPr>
      <w:r>
        <w:rPr>
          <w:rFonts w:hint="eastAsia" w:ascii="黑体" w:hAnsi="黑体" w:eastAsia="黑体" w:cs="黑体"/>
          <w:color w:val="000000"/>
          <w:sz w:val="21"/>
          <w:szCs w:val="21"/>
        </w:rPr>
        <w:t>总则</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楷体_GB2312" w:hAnsi="楷体_GB2312" w:eastAsia="楷体_GB2312" w:cs="楷体_GB2312"/>
          <w:b w:val="0"/>
          <w:bCs w:val="0"/>
          <w:color w:val="000000"/>
          <w:sz w:val="21"/>
          <w:szCs w:val="21"/>
        </w:rPr>
      </w:pPr>
      <w:r>
        <w:rPr>
          <w:rFonts w:hint="eastAsia" w:ascii="楷体_GB2312" w:hAnsi="楷体_GB2312" w:eastAsia="楷体_GB2312" w:cs="楷体_GB2312"/>
          <w:b w:val="0"/>
          <w:bCs w:val="0"/>
          <w:color w:val="000000"/>
          <w:sz w:val="21"/>
          <w:szCs w:val="21"/>
        </w:rPr>
        <w:t>（一）编制目的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规范突发环境事件的应对处置工作，建立健全突发环境事件应对工作机制，科学有序高效应对突发环境事件，控制、减少和消除突发环境事件的风险和危害，保障人民群众生命财产安全和环境安全，促进社会全面、协调、可持续发展。</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楷体_GB2312" w:hAnsi="楷体_GB2312" w:eastAsia="楷体_GB2312" w:cs="楷体_GB2312"/>
          <w:b w:val="0"/>
          <w:bCs w:val="0"/>
          <w:color w:val="000000"/>
          <w:sz w:val="21"/>
          <w:szCs w:val="21"/>
        </w:rPr>
      </w:pPr>
      <w:r>
        <w:rPr>
          <w:rFonts w:hint="eastAsia" w:ascii="楷体_GB2312" w:hAnsi="楷体_GB2312" w:eastAsia="楷体_GB2312" w:cs="楷体_GB2312"/>
          <w:b w:val="0"/>
          <w:bCs w:val="0"/>
          <w:color w:val="000000"/>
          <w:sz w:val="21"/>
          <w:szCs w:val="21"/>
        </w:rPr>
        <w:t>（二）编制依据</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依据《中华人民共和国环境保护法》、《中华人民共和国突发事件应对法》、《中华人民共和国放射性污染防治法》、《国家突发公共事件总体应急预案》、《国家突发环境事件应急预案》、《突发环境事件应急管理办法》、《突发环境事件信息报告办法》、《河北省突发公共事件总体应急预案》、《河北省突发环境事件应急预案》、《邯郸市突发公共事件总体应急预案》、《邯郸市突发环境事件应急预案》等相关法律法规和规章。</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楷体_GB2312" w:hAnsi="楷体_GB2312" w:eastAsia="楷体_GB2312" w:cs="楷体_GB2312"/>
          <w:b w:val="0"/>
          <w:bCs w:val="0"/>
          <w:color w:val="000000"/>
          <w:sz w:val="21"/>
          <w:szCs w:val="21"/>
        </w:rPr>
      </w:pPr>
      <w:r>
        <w:rPr>
          <w:rFonts w:hint="eastAsia" w:ascii="楷体_GB2312" w:hAnsi="楷体_GB2312" w:eastAsia="楷体_GB2312" w:cs="楷体_GB2312"/>
          <w:b w:val="0"/>
          <w:bCs w:val="0"/>
          <w:color w:val="000000"/>
          <w:sz w:val="21"/>
          <w:szCs w:val="21"/>
        </w:rPr>
        <w:t>（三）适用范围</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本预案适用于魏县范围内突发环境事件及次生、衍生环境事件的应急处置工作。</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突发环境事件是指由于污染物排放或自然灾害、生产安全事故等因素，导致污染物或放射性物质等有毒有害物质进入大气、水体、土壤等环境介质，突然造成或可能造成环境质量下降，危及公众身体健康和财产安全，或造成生态环境破坏，或造成重大社会影响，需要采取紧急措施予以应对的事件，主要包括大气污染、水体污染、土壤污染等突发性环境污染事件和辐射污染事件等。</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核设施及有关核活动发生的核与辐射事故</w:t>
      </w:r>
    </w:p>
    <w:p>
      <w:pPr>
        <w:keepNext w:val="0"/>
        <w:keepLines w:val="0"/>
        <w:pageBreakBefore w:val="0"/>
        <w:widowControl w:val="0"/>
        <w:kinsoku/>
        <w:wordWrap/>
        <w:overflowPunct/>
        <w:topLinePunct w:val="0"/>
        <w:autoSpaceDE/>
        <w:autoSpaceDN/>
        <w:bidi w:val="0"/>
        <w:adjustRightInd w:val="0"/>
        <w:snapToGrid w:val="0"/>
        <w:spacing w:line="380" w:lineRule="exact"/>
        <w:ind w:right="0" w:rightChars="0"/>
        <w:jc w:val="both"/>
        <w:textAlignment w:val="auto"/>
        <w:outlineLvl w:val="9"/>
        <w:rPr>
          <w:rFonts w:hint="eastAsia" w:ascii="宋体" w:hAnsi="宋体" w:eastAsia="宋体" w:cs="宋体"/>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380" w:lineRule="exact"/>
        <w:ind w:right="0" w:rightChars="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所造成的辐射污染事件的应对工作、重污染天气应对工作等，按照其他相关应急预案规定执行。</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楷体_GB2312" w:hAnsi="楷体_GB2312" w:eastAsia="楷体_GB2312" w:cs="楷体_GB2312"/>
          <w:b w:val="0"/>
          <w:bCs w:val="0"/>
          <w:color w:val="000000"/>
          <w:sz w:val="21"/>
          <w:szCs w:val="21"/>
        </w:rPr>
      </w:pPr>
      <w:r>
        <w:rPr>
          <w:rFonts w:hint="eastAsia" w:ascii="楷体_GB2312" w:hAnsi="楷体_GB2312" w:eastAsia="楷体_GB2312" w:cs="楷体_GB2312"/>
          <w:b w:val="0"/>
          <w:bCs w:val="0"/>
          <w:color w:val="000000"/>
          <w:sz w:val="21"/>
          <w:szCs w:val="21"/>
        </w:rPr>
        <w:t>（四）工作原则</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突发环境事件应对工作坚持统一领导、分级负责，属地为主、协调联动，快速反应、科学处置，资源共享、保障有力的原则。突发环境事件发生后，各级各部门部门要立即自动按照职责分工和相关预案开展应急处置工作。</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楷体_GB2312" w:hAnsi="楷体_GB2312" w:eastAsia="楷体_GB2312" w:cs="楷体_GB2312"/>
          <w:b w:val="0"/>
          <w:bCs w:val="0"/>
          <w:color w:val="000000"/>
          <w:sz w:val="21"/>
          <w:szCs w:val="21"/>
        </w:rPr>
      </w:pPr>
      <w:r>
        <w:rPr>
          <w:rFonts w:hint="eastAsia" w:ascii="楷体_GB2312" w:hAnsi="楷体_GB2312" w:eastAsia="楷体_GB2312" w:cs="楷体_GB2312"/>
          <w:b w:val="0"/>
          <w:bCs w:val="0"/>
          <w:color w:val="000000"/>
          <w:sz w:val="21"/>
          <w:szCs w:val="21"/>
        </w:rPr>
        <w:t>（五）预案体系</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预案根据《邯郸市突发环境事件应急预案》制定本行政区域突发环境事件应急预案，与魏县其他突发环境事件相关预案或方案、环境风险企业突发环境事件应急预案等共同构成魏县突发环境事件应急预案体系，各级预案配合发挥作用。</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黑体" w:hAnsi="黑体" w:eastAsia="黑体" w:cs="黑体"/>
          <w:color w:val="000000"/>
          <w:sz w:val="21"/>
          <w:szCs w:val="21"/>
        </w:rPr>
      </w:pPr>
      <w:r>
        <w:rPr>
          <w:rFonts w:hint="eastAsia" w:ascii="黑体" w:hAnsi="黑体" w:eastAsia="黑体" w:cs="黑体"/>
          <w:color w:val="000000"/>
          <w:sz w:val="21"/>
          <w:szCs w:val="21"/>
        </w:rPr>
        <w:t>二、区域概况</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魏县地处冀鲁豫三省交界处，县境南北长42.24公里，东西宽33.5公里，西北距石家庄市190.7公里、距邯郸市48.5公里，东北距首都北京414.5公里；北与广平县接壤，西与魏县、临漳县毗邻，东与大名县相连，南与河南省内黄县、清丰县、南乐县相接。全县土地总面积864平方公里。总人口103.9万。全县辖21个乡镇、1个街道办事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魏县经济开发区成立于2003年3月，位于县城东部，分为东西两区，总规划面积22.36平方公里。开发区内企业主要以金属制品业和废弃资源综合利用业为主，设备制造业、橡胶制品制造、单板制造、白酒加工等行业零星分布。</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魏县地处漳河、卫河流域的漳河及古黄河的冲积平原上，位于黄淮海平原的中部。全县地势由西南向东北缓缓倾斜，海拔高程在58.5-44.5m之间，地面相对平坦。由于不同时代的古河道遗迹相互交织，构成现在的地貌特征，按其特点大致分为故道缓岗、漳卫河滩地、缓斜平地、河间洼地四个地貌区域。</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魏县属北温带季风气候区，总的气候特点是：四季分明，气候温和，光照充足，雨量适中，雨热同季，无霜期长，干寒同期，全年的主导风向为南风，其次为北风，东风、西风的机会较少。四季气温变化明显，温差较大，形成魏县气候春旱夏涝的特点。</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魏县所处区域环境空气为《环境空气质量标准》(GB3095-2012)中规定的二类功能区；地下水执行《地下水质量标准》(GB/Tl4848-93)中规定的Ⅲ类标准；魏县各功能区执行相应的区域噪声标准：以居住、商业、工业混合区执行《声环境质量标准》（GB3096-2008）中规定的2类标准，工业集中区执行《声环境质量标准》（GB3096-2008）中规定的3类标准。</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供水：魏县的饮用水水源分为地下水饮用水水源和南水北调配套饮用水水厂。地下水饮用水水源为魏县自来水公司饮用水源，魏县自来水公司现管辖魏县城西水厂和城南水厂两座水厂，为城区居民、企业和政府机关单位的生活、生产供水；魏县南水北调饮用水水源地由南水北调输水管线、分水口加压泵站和配套水厂组成，饮用水水源取自南水北调中线总干渠白村口门，通过魏广分水口经魏县分水口引入魏县南水北调配套水厂（魏县第二水厂）和魏县经济开发区原水直供水厂，魏县南水北调配套水厂主要为城区居民提供生活用水；经济开发东区配套水厂主要为经济开发区企业生产供水；</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排水：魏县经济开发区内企业工业污水及职工生活污水全部排至魏县开发区污水处理厂处理，出水水质达标后排入魏大馆排水渠；魏县城市生活污水以及魏县内的造纸、酿酒和果汁生产企业废水全部排至魏县污水处理厂处理，出水水质达标后排入魏县开发区污水处理厂；</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供热：居民采用天然气自供热；企业采用锅炉自供热；</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供电：由魏县电力公司供电；</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396" w:firstLineChars="200"/>
        <w:jc w:val="both"/>
        <w:textAlignment w:val="auto"/>
        <w:outlineLvl w:val="9"/>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供气：由魏县中福天然气煤气层有限公司供给；</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垃圾处理：全县垃圾交由魏县德尚环保有限公司和魏县垃圾处理厂处理。</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交通干线：邯大高速、邯大线S313、魏峰线S316、安聊线S317、国道G230。</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境内河流干渠：主要河流包括漳河、漳河湾、玉泉河、卫河、长安河；主要干渠包括魏大馆排水渠、民有总干渠、东风渠、东风二排支。</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魏县现有企业涉及到的行业类别为砖瓦、石材等建筑材料制造业、专用设备制造业、金属制品业和废弃资源综合利用业、橡胶制品制造、涂料制造等多个行业，2019年度人均GDP约为2.45万元/人。主要危险物质为硫酸、盐酸、硝酸、硼酸、草酸、氢氧化钠、甲醇、乙醇、铬、铅、聚丙烯酰胺、次氯酸钠、甲烷、丙烷气、醇酸树脂、醇酸油漆、碳酸钠、氯化锌、氯化钾、油类物质、油漆、稀释剂（二甲苯）、乙炔、飞灰、天然气、废润滑油和废淬火油、废矿物油、废机油、废液压油、废柴油、废油桶、废漆、废油漆桶、漆缸清洗后的废液、酸洗/镀锌过程中产生的废液和废渣、废活性炭、重金属污泥、污泥、废切削液、废过滤棉、医疗废物、不合格血浆等。</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魏县涉及的环境风险源类型主要有：①环境风险企业；②环境风险物质运输的道路；③加油站及加气站；④集中式污水处理厂；⑤垃圾处理单位。</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黑体" w:hAnsi="黑体" w:eastAsia="黑体" w:cs="黑体"/>
          <w:color w:val="000000"/>
          <w:sz w:val="21"/>
          <w:szCs w:val="21"/>
        </w:rPr>
      </w:pPr>
      <w:r>
        <w:rPr>
          <w:rFonts w:hint="eastAsia" w:ascii="黑体" w:hAnsi="黑体" w:eastAsia="黑体" w:cs="黑体"/>
          <w:color w:val="000000"/>
          <w:sz w:val="21"/>
          <w:szCs w:val="21"/>
        </w:rPr>
        <w:t>三、组织指挥体系</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县政府负责本行政区域内的突发环境事件应对工作。成立魏县突发环境事件应急工作指挥部，当发生一般突发环境事件时，统一领导、组织和指挥应急处置工作。</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楷体_GB2312" w:hAnsi="楷体_GB2312" w:eastAsia="楷体_GB2312" w:cs="楷体_GB2312"/>
          <w:b w:val="0"/>
          <w:bCs w:val="0"/>
          <w:color w:val="000000"/>
          <w:sz w:val="21"/>
          <w:szCs w:val="21"/>
        </w:rPr>
      </w:pPr>
      <w:r>
        <w:rPr>
          <w:rFonts w:hint="eastAsia" w:ascii="楷体_GB2312" w:hAnsi="楷体_GB2312" w:eastAsia="楷体_GB2312" w:cs="楷体_GB2312"/>
          <w:b w:val="0"/>
          <w:bCs w:val="0"/>
          <w:color w:val="000000"/>
          <w:sz w:val="21"/>
          <w:szCs w:val="21"/>
        </w:rPr>
        <w:t>（一）应急组织机构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魏县突发环境事件应急指挥部（以下简称“应急指挥部”）是处置本县突发环境事件组织指挥机构。应急指挥部指挥长由县政府分管环保工作的副县长担任，统一领导、组织和指挥应急处置工作；副指挥长由县政府办分管副主任、县生态环境局局长担任，负责协助指挥长领导、组织和指挥应急处置工作；县有关部门为县突发环境事件应急指挥部成员单位，并组成相应工作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应急指挥部成员单位由县政府办、生态环境局、发改局、工业企业服务中心、公安局、司法局、财政局、住建局、交通运输局、水利局、农业农村局、卫健局、林果开发服务中心、民政局、市监局、广播电视台、宣传部、应急管理局、供电公司、网信办、气象局、消防大队、移动公司、联通公司、电信公司等部门和单位组成。</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对需要上级协调处置的跨区域突发环境事件，由县政府提出请求。</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当发生较大及以上突发环境事件时，配合上级政府进行处置。</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楷体_GB2312" w:hAnsi="楷体_GB2312" w:eastAsia="楷体_GB2312" w:cs="楷体_GB2312"/>
          <w:b w:val="0"/>
          <w:bCs w:val="0"/>
          <w:color w:val="000000"/>
          <w:sz w:val="21"/>
          <w:szCs w:val="21"/>
        </w:rPr>
      </w:pPr>
      <w:r>
        <w:rPr>
          <w:rFonts w:hint="eastAsia" w:ascii="楷体_GB2312" w:hAnsi="楷体_GB2312" w:eastAsia="楷体_GB2312" w:cs="楷体_GB2312"/>
          <w:b w:val="0"/>
          <w:bCs w:val="0"/>
          <w:color w:val="000000"/>
          <w:sz w:val="21"/>
          <w:szCs w:val="21"/>
        </w:rPr>
        <w:t>（二）应急组织机构职责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0" w:leftChars="0" w:right="0" w:rightChars="0" w:firstLine="422"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b/>
          <w:color w:val="000000"/>
          <w:sz w:val="21"/>
          <w:szCs w:val="21"/>
          <w:lang w:val="en-US" w:eastAsia="zh-CN"/>
        </w:rPr>
        <w:t>1.</w:t>
      </w:r>
      <w:r>
        <w:rPr>
          <w:rFonts w:hint="eastAsia" w:ascii="宋体" w:hAnsi="宋体" w:eastAsia="宋体" w:cs="宋体"/>
          <w:b/>
          <w:color w:val="000000"/>
          <w:sz w:val="21"/>
          <w:szCs w:val="21"/>
        </w:rPr>
        <w:t>县突发环境事件应急指挥部</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统一指挥、协调各方面力量处置突发环境事件，研究和解决全县突发环境事件应急处置工作的重大问题；建立健全突发环境事件应急机制；及时发布突发环境事件有关信息；组织调查有关突发环境事件；完成县政府交办的有关突发环境事件应对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0" w:leftChars="0" w:right="0" w:rightChars="0" w:firstLine="422" w:firstLineChars="200"/>
        <w:jc w:val="both"/>
        <w:textAlignment w:val="auto"/>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2.</w:t>
      </w:r>
      <w:r>
        <w:rPr>
          <w:rFonts w:hint="eastAsia" w:ascii="宋体" w:hAnsi="宋体" w:eastAsia="宋体" w:cs="宋体"/>
          <w:b/>
          <w:color w:val="000000"/>
          <w:sz w:val="21"/>
          <w:szCs w:val="21"/>
        </w:rPr>
        <w:t>县突发环境事件应急指挥部办公室</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县突发环境事件应急指挥部办公室设在县生态环境局，办公室主任由县生态环境局局长担任。县突发环境事件应急指挥部办公室负责承担县突发环境事件应急指挥部日常工作；组织协调突发环境事件的应急工作，制订有关突发环境事件应急处置措施；建立和完善突发环境事件的预警预测及监测系统；承担县突发环境事件应急指挥部交办的其他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0" w:leftChars="0" w:right="0" w:rightChars="0" w:firstLine="422" w:firstLineChars="200"/>
        <w:jc w:val="both"/>
        <w:textAlignment w:val="auto"/>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3.</w:t>
      </w:r>
      <w:r>
        <w:rPr>
          <w:rFonts w:hint="eastAsia" w:ascii="宋体" w:hAnsi="宋体" w:eastAsia="宋体" w:cs="宋体"/>
          <w:b/>
          <w:color w:val="000000"/>
          <w:sz w:val="21"/>
          <w:szCs w:val="21"/>
        </w:rPr>
        <w:t>县突发环境事件应急指挥各组成员单位及职责</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突发环境事件应急指挥部根据不同突发环境事件情景及工作需要，设置应急处置组、应急监测组、医疗救援组、应急保障组、新闻宣传组、社会稳定组、信息公开组、专家组。</w:t>
      </w:r>
    </w:p>
    <w:p>
      <w:pPr>
        <w:keepNext w:val="0"/>
        <w:keepLines w:val="0"/>
        <w:pageBreakBefore w:val="0"/>
        <w:widowControl w:val="0"/>
        <w:numPr>
          <w:ilvl w:val="0"/>
          <w:numId w:val="2"/>
        </w:numPr>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楷体_GB2312" w:hAnsi="楷体_GB2312" w:eastAsia="楷体_GB2312" w:cs="楷体_GB2312"/>
          <w:color w:val="000000"/>
          <w:sz w:val="21"/>
          <w:szCs w:val="21"/>
        </w:rPr>
      </w:pPr>
      <w:r>
        <w:rPr>
          <w:rFonts w:hint="eastAsia" w:ascii="楷体_GB2312" w:hAnsi="楷体_GB2312" w:eastAsia="楷体_GB2312" w:cs="楷体_GB2312"/>
          <w:color w:val="000000"/>
          <w:sz w:val="21"/>
          <w:szCs w:val="21"/>
        </w:rPr>
        <w:t>应急处置组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由各乡镇政府牵头，县生态环境局、应急管理局、公安局、</w:t>
      </w:r>
      <w:r>
        <w:rPr>
          <w:rFonts w:hint="eastAsia" w:ascii="宋体" w:hAnsi="宋体" w:eastAsia="宋体" w:cs="宋体"/>
          <w:color w:val="000000"/>
          <w:sz w:val="21"/>
          <w:szCs w:val="21"/>
          <w:lang w:val="en-US" w:eastAsia="zh-CN"/>
        </w:rPr>
        <w:t>住建局</w:t>
      </w:r>
      <w:r>
        <w:rPr>
          <w:rFonts w:hint="eastAsia" w:ascii="宋体" w:hAnsi="宋体" w:eastAsia="宋体" w:cs="宋体"/>
          <w:color w:val="000000"/>
          <w:sz w:val="21"/>
          <w:szCs w:val="21"/>
        </w:rPr>
        <w:t>、交通运输局、水利局、农业农村局、林果开发服务中心、消防大队等单位负责。</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主要职责：收集汇总相关数据，及时掌握突发事件的地点及影响范围，组织进行技术研判，开展事态分析；迅速组织切断污染源，分析污染途径，确定防止污染物扩散的程序；组织采取有效措施，消除或减轻已经造成的污染；明确不同情况下的现场处置人员须采取的个人防护措施；组织建立现场警戒区和交通管制区域，确定重点防护区域，确定受威胁人员疏散方式和途径，疏散受威胁人员转移至安全紧急避险场所；协调军队、武警等有关力量参与应急处置。</w:t>
      </w:r>
    </w:p>
    <w:p>
      <w:pPr>
        <w:keepNext w:val="0"/>
        <w:keepLines w:val="0"/>
        <w:pageBreakBefore w:val="0"/>
        <w:widowControl w:val="0"/>
        <w:numPr>
          <w:ilvl w:val="0"/>
          <w:numId w:val="2"/>
        </w:numPr>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楷体_GB2312" w:hAnsi="楷体_GB2312" w:eastAsia="楷体_GB2312" w:cs="楷体_GB2312"/>
          <w:color w:val="000000"/>
          <w:sz w:val="21"/>
          <w:szCs w:val="21"/>
        </w:rPr>
      </w:pPr>
      <w:r>
        <w:rPr>
          <w:rFonts w:hint="eastAsia" w:ascii="楷体_GB2312" w:hAnsi="楷体_GB2312" w:eastAsia="楷体_GB2312" w:cs="楷体_GB2312"/>
          <w:color w:val="000000"/>
          <w:sz w:val="21"/>
          <w:szCs w:val="21"/>
        </w:rPr>
        <w:t>应急监测组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由县生态环境局牵头，水利局、农业农村局、交通运输局、消防大队等单位负责。</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主要职责：根据突发环境事件的污染物种类、性质及事发地气象、自然、社会环境状况等，明确相应的应急监测方案及监测方法；确定污染物扩散范围，明确监测布点和频次，做好大气、水体、土壤等应急监测，为突发环境事件应急决策提供依据。</w:t>
      </w:r>
    </w:p>
    <w:p>
      <w:pPr>
        <w:keepNext w:val="0"/>
        <w:keepLines w:val="0"/>
        <w:pageBreakBefore w:val="0"/>
        <w:widowControl w:val="0"/>
        <w:numPr>
          <w:ilvl w:val="0"/>
          <w:numId w:val="2"/>
        </w:numPr>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default" w:ascii="Times New Roman" w:hAnsi="Times New Roman" w:eastAsia="楷体_GB2312" w:cs="Times New Roman"/>
          <w:color w:val="000000"/>
          <w:sz w:val="21"/>
          <w:szCs w:val="21"/>
        </w:rPr>
      </w:pPr>
      <w:r>
        <w:rPr>
          <w:rFonts w:hint="default" w:ascii="Times New Roman" w:hAnsi="Times New Roman" w:eastAsia="楷体_GB2312" w:cs="Times New Roman"/>
          <w:color w:val="000000"/>
          <w:sz w:val="21"/>
          <w:szCs w:val="21"/>
        </w:rPr>
        <w:t>医疗救援组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由卫健局牵头，县生态环境局、民政局、财政局、市监局等单位负责。</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主要职责：组织开展伤病员医疗救治、应急心理援助；指导和协助开展受污染人员的去污洗消工作；提出保护公众健康的措施建议；禁止或限制受污染食品和饮用水的生产、加工、流通和食用，防范因突发环境事件造成集体中毒等。</w:t>
      </w:r>
    </w:p>
    <w:p>
      <w:pPr>
        <w:keepNext w:val="0"/>
        <w:keepLines w:val="0"/>
        <w:pageBreakBefore w:val="0"/>
        <w:widowControl w:val="0"/>
        <w:numPr>
          <w:ilvl w:val="0"/>
          <w:numId w:val="2"/>
        </w:numPr>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default" w:ascii="Times New Roman" w:hAnsi="Times New Roman" w:eastAsia="楷体_GB2312" w:cs="Times New Roman"/>
          <w:color w:val="000000"/>
          <w:sz w:val="21"/>
          <w:szCs w:val="21"/>
        </w:rPr>
      </w:pPr>
      <w:r>
        <w:rPr>
          <w:rFonts w:hint="default" w:ascii="Times New Roman" w:hAnsi="Times New Roman" w:eastAsia="楷体_GB2312" w:cs="Times New Roman"/>
          <w:color w:val="000000"/>
          <w:sz w:val="21"/>
          <w:szCs w:val="21"/>
        </w:rPr>
        <w:t>应急保障组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由县应急管理局牵头，县发改局、工业企业服务中心、公安局、住建局、交通运输局、水利局、财政局、供电公司单位负责。</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主要职责：指导做好事件影响区域有关人员的紧急转移和临时安置工作；组织做好环境应急救援物资及临时安置重要物资的紧急生产、储备调拨和紧急配送工作；及时组织调运重要生活必需品，保障群众基本生活和市场供应；开展应急测绘，及时获取突发事件的地点、影响范围和周边地理、地形情况。</w:t>
      </w:r>
    </w:p>
    <w:p>
      <w:pPr>
        <w:keepNext w:val="0"/>
        <w:keepLines w:val="0"/>
        <w:pageBreakBefore w:val="0"/>
        <w:widowControl w:val="0"/>
        <w:numPr>
          <w:ilvl w:val="0"/>
          <w:numId w:val="2"/>
        </w:numPr>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default" w:ascii="Times New Roman" w:hAnsi="Times New Roman" w:eastAsia="楷体_GB2312" w:cs="Times New Roman"/>
          <w:color w:val="000000"/>
          <w:sz w:val="21"/>
          <w:szCs w:val="21"/>
        </w:rPr>
      </w:pPr>
      <w:r>
        <w:rPr>
          <w:rFonts w:hint="default" w:ascii="Times New Roman" w:hAnsi="Times New Roman" w:eastAsia="楷体_GB2312" w:cs="Times New Roman"/>
          <w:color w:val="000000"/>
          <w:sz w:val="21"/>
          <w:szCs w:val="21"/>
        </w:rPr>
        <w:t>新闻宣传组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由宣传部牵头，县广播电视台、工业企业服务中心、网信办、文广新体旅局、移动公司、联通公司、电信公司等单位负责。</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主要职责：根据情况及时设立新闻中心，组织开展事件进展、应急工作情况等权威信息发布，加强新闻宣传报道；收集分析区域内外舆情和社会公众动态，加强媒体、电信和互联网管理，正确引导舆论；通过多种方式，通俗、权威、全面、前瞻地做好相关知识普及；及时澄清不实信息，回应社会关切。</w:t>
      </w:r>
    </w:p>
    <w:p>
      <w:pPr>
        <w:keepNext w:val="0"/>
        <w:keepLines w:val="0"/>
        <w:pageBreakBefore w:val="0"/>
        <w:widowControl w:val="0"/>
        <w:numPr>
          <w:ilvl w:val="0"/>
          <w:numId w:val="2"/>
        </w:numPr>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default" w:ascii="Times New Roman" w:hAnsi="Times New Roman" w:eastAsia="楷体_GB2312" w:cs="Times New Roman"/>
          <w:color w:val="000000"/>
          <w:sz w:val="21"/>
          <w:szCs w:val="21"/>
        </w:rPr>
      </w:pPr>
      <w:r>
        <w:rPr>
          <w:rFonts w:hint="default" w:ascii="Times New Roman" w:hAnsi="Times New Roman" w:eastAsia="楷体_GB2312" w:cs="Times New Roman"/>
          <w:color w:val="000000"/>
          <w:sz w:val="21"/>
          <w:szCs w:val="21"/>
        </w:rPr>
        <w:t>社会稳定组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由县公安局牵头，工业企业服务中心、司法局、网信办、市监局等单位负责。</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主要职责：加强受影响地区社会治安管理，严厉打击借机传播谣言制造社会恐慌、哄抢物资等违法犯罪行为；加强转移人员安置点、救灾物资存放点等重点地区治安管控；做好受影响人员与涉事单位、地方政府和有关部门矛盾纠纷化解和法律服务工作，防止出现群体性事件，维护社会稳定；加强对重要生活必需品等商品的市场监管和调控，打击囤积居奇行为。</w:t>
      </w:r>
    </w:p>
    <w:p>
      <w:pPr>
        <w:keepNext w:val="0"/>
        <w:keepLines w:val="0"/>
        <w:pageBreakBefore w:val="0"/>
        <w:widowControl w:val="0"/>
        <w:numPr>
          <w:ilvl w:val="0"/>
          <w:numId w:val="2"/>
        </w:numPr>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default" w:ascii="Times New Roman" w:hAnsi="Times New Roman" w:eastAsia="楷体_GB2312" w:cs="Times New Roman"/>
          <w:color w:val="000000"/>
          <w:sz w:val="21"/>
          <w:szCs w:val="21"/>
        </w:rPr>
      </w:pPr>
      <w:r>
        <w:rPr>
          <w:rFonts w:hint="default" w:ascii="Times New Roman" w:hAnsi="Times New Roman" w:eastAsia="楷体_GB2312" w:cs="Times New Roman"/>
          <w:color w:val="000000"/>
          <w:sz w:val="21"/>
          <w:szCs w:val="21"/>
        </w:rPr>
        <w:t>信息公开组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由网信办牵头，宣传部、广播电视台、工业企业服务中心、移动公司、联通公司、电信公司等单位负责。</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主要职责：通过政府授权发布、发新闻稿、接受记者采访、举行新闻发布会、组织专家解读等方式，借助电视、广播、报纸、互联网等多种途径，主动、及时、准确、客观地向社会发布突发环境事件和应对工作信息，回应社会关切，澄清不实信息，正确引导社会舆论。</w:t>
      </w:r>
    </w:p>
    <w:p>
      <w:pPr>
        <w:keepNext w:val="0"/>
        <w:keepLines w:val="0"/>
        <w:pageBreakBefore w:val="0"/>
        <w:widowControl w:val="0"/>
        <w:numPr>
          <w:ilvl w:val="0"/>
          <w:numId w:val="2"/>
        </w:numPr>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default" w:ascii="Times New Roman" w:hAnsi="Times New Roman" w:eastAsia="楷体_GB2312" w:cs="Times New Roman"/>
          <w:color w:val="000000"/>
          <w:sz w:val="21"/>
          <w:szCs w:val="21"/>
        </w:rPr>
      </w:pPr>
      <w:r>
        <w:rPr>
          <w:rFonts w:hint="default" w:ascii="Times New Roman" w:hAnsi="Times New Roman" w:eastAsia="楷体_GB2312" w:cs="Times New Roman"/>
          <w:color w:val="000000"/>
          <w:sz w:val="21"/>
          <w:szCs w:val="21"/>
        </w:rPr>
        <w:t>专家组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县突发环境事件应急指挥部设立突发环境事件专家组，由邯郸市环境应急专家库中的专家组成，参与、指导突发环境事件应急处置工作，为县突发环境事件应急指挥部的决策提供技术支撑。</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0" w:leftChars="0" w:right="0" w:rightChars="0" w:firstLine="422" w:firstLineChars="200"/>
        <w:jc w:val="both"/>
        <w:textAlignment w:val="auto"/>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4.</w:t>
      </w:r>
      <w:r>
        <w:rPr>
          <w:rFonts w:hint="eastAsia" w:ascii="宋体" w:hAnsi="宋体" w:eastAsia="宋体" w:cs="宋体"/>
          <w:b/>
          <w:color w:val="000000"/>
          <w:sz w:val="21"/>
          <w:szCs w:val="21"/>
        </w:rPr>
        <w:t>县突发环境事件现场指挥部</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根据突发环境事件应急处置工作需要，成立县突发环境事件应急处置现场指挥部，负责组织协调突发环境事件的现场处置工作。参与现场处置的有关单位和人员要服从现场指挥部的统一指挥。现场指挥部的确定要根据省、市政府有关规定及现场实际原则进行确定。</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黑体" w:hAnsi="黑体" w:eastAsia="黑体" w:cs="黑体"/>
          <w:color w:val="000000"/>
          <w:sz w:val="21"/>
          <w:szCs w:val="21"/>
        </w:rPr>
      </w:pPr>
      <w:r>
        <w:rPr>
          <w:rFonts w:hint="eastAsia" w:ascii="黑体" w:hAnsi="黑体" w:eastAsia="黑体" w:cs="黑体"/>
          <w:color w:val="000000"/>
          <w:sz w:val="21"/>
          <w:szCs w:val="21"/>
        </w:rPr>
        <w:t>四、监测预警和信息报告</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楷体_GB2312" w:hAnsi="楷体_GB2312" w:eastAsia="楷体_GB2312" w:cs="楷体_GB2312"/>
          <w:b w:val="0"/>
          <w:bCs w:val="0"/>
          <w:color w:val="000000"/>
          <w:sz w:val="21"/>
          <w:szCs w:val="21"/>
        </w:rPr>
      </w:pPr>
      <w:r>
        <w:rPr>
          <w:rFonts w:hint="eastAsia" w:ascii="楷体_GB2312" w:hAnsi="楷体_GB2312" w:eastAsia="楷体_GB2312" w:cs="楷体_GB2312"/>
          <w:b w:val="0"/>
          <w:bCs w:val="0"/>
          <w:color w:val="000000"/>
          <w:sz w:val="21"/>
          <w:szCs w:val="21"/>
        </w:rPr>
        <w:t>（一）监测和风险分析</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县生态环境局及其他有关部门也要加强日常环境监测，利用现代信息技术，并对可能导致突发环境事件的风险信息加强收集、分析和研判。应急管理局、交通运输局、公安局、住建局、水利局、卫健局、气象局等有关部门按照职责分工，应及时将可能导致突发环境事件的信息通报县生态环境部门。</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企业事业单位和其他生产经营者应落实环境安全主体责任，定期排查环境安全隐患，开展环境风险评估，健全风险防控措施。当出现可能导致突发环境事件的情况时，要立即报告县政府和县生态环境局。</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楷体_GB2312" w:hAnsi="楷体_GB2312" w:eastAsia="楷体_GB2312" w:cs="楷体_GB2312"/>
          <w:b w:val="0"/>
          <w:bCs w:val="0"/>
          <w:color w:val="000000"/>
          <w:sz w:val="21"/>
          <w:szCs w:val="21"/>
        </w:rPr>
      </w:pPr>
      <w:r>
        <w:rPr>
          <w:rFonts w:hint="eastAsia" w:ascii="楷体_GB2312" w:hAnsi="楷体_GB2312" w:eastAsia="楷体_GB2312" w:cs="楷体_GB2312"/>
          <w:b w:val="0"/>
          <w:bCs w:val="0"/>
          <w:color w:val="000000"/>
          <w:sz w:val="21"/>
          <w:szCs w:val="21"/>
        </w:rPr>
        <w:t>（二）预警</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2" w:firstLineChars="200"/>
        <w:jc w:val="both"/>
        <w:textAlignment w:val="auto"/>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1.</w:t>
      </w:r>
      <w:r>
        <w:rPr>
          <w:rFonts w:hint="eastAsia" w:ascii="宋体" w:hAnsi="宋体" w:eastAsia="宋体" w:cs="宋体"/>
          <w:b/>
          <w:color w:val="000000"/>
          <w:sz w:val="21"/>
          <w:szCs w:val="21"/>
        </w:rPr>
        <w:t>预警分级</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对可以预警的突发环境事件，按照突发环境事件发生的可能性大小、紧急程度和可能造成的危害程度，将预警分为四级，由低到高依次用蓝色、黄色、橙色和红色表示。</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预警级别的具体划分标准，按照生态环境部制定的相关标准执行。</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2" w:firstLineChars="200"/>
        <w:jc w:val="both"/>
        <w:textAlignment w:val="auto"/>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2.</w:t>
      </w:r>
      <w:r>
        <w:rPr>
          <w:rFonts w:hint="eastAsia" w:ascii="宋体" w:hAnsi="宋体" w:eastAsia="宋体" w:cs="宋体"/>
          <w:b/>
          <w:color w:val="000000"/>
          <w:sz w:val="21"/>
          <w:szCs w:val="21"/>
        </w:rPr>
        <w:t>预警信息发布</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县生态环境局、水利局、林果开发服务中心等部门研判可能发生突发环境事件时，应当及时向县政府提出预警信息发布建议，同时通报同级相关部门和单位。应急指挥部及时通过电视、广播、报纸、互联网、手机短信、当面告知等渠道或方式向公众发布预警信息，并通报可能影响到的相关地区。可能影响到其它县级政府可以根据实际情况决定向社会发布预警信息。县生态环境局要将监测到的或上级环保部门通报的可能导致突发环境事件的有关信息，及时通报县政府。</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2" w:firstLineChars="200"/>
        <w:jc w:val="both"/>
        <w:textAlignment w:val="auto"/>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3.</w:t>
      </w:r>
      <w:r>
        <w:rPr>
          <w:rFonts w:hint="eastAsia" w:ascii="宋体" w:hAnsi="宋体" w:eastAsia="宋体" w:cs="宋体"/>
          <w:b/>
          <w:color w:val="000000"/>
          <w:sz w:val="21"/>
          <w:szCs w:val="21"/>
        </w:rPr>
        <w:t>预警行动</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预警信息发布后，县政府及县环保部门视情况采取以下措施：</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（1）分析研判。组织有关部门和机构、专业技术人员及专家，及时对预警信息进行分析研判，预估可能的影响范围和危害程度。</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（2）防范处置。迅速采取有效处置措施，控制事件苗头。在涉险区域设置注意事项提示或事件危害警告标志，利用各种渠道增加宣传频次，告知公众避险或减轻危害的常识、需采取的必要的健康防护措施。</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应急准备。提前疏散、转移可能受到危害的人员，并进行妥善安置。责令应急救援队伍、负有特定职责的人员进入待命状态，动员后备人员做好参加应急救援和处置工作的准备，并调集应急所需物资和设备，做好应急保障工作。对可能导致突发环境事件的相关企业、事业单位和其他生产经营者加强环境监管。</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（4）舆论引导。及时准备发布事态最新情况，公布咨询电话，组织专家解读。加强相关舆情监测，做好舆论引导工作。</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2" w:firstLineChars="200"/>
        <w:jc w:val="both"/>
        <w:textAlignment w:val="auto"/>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4.</w:t>
      </w:r>
      <w:r>
        <w:rPr>
          <w:rFonts w:hint="eastAsia" w:ascii="宋体" w:hAnsi="宋体" w:eastAsia="宋体" w:cs="宋体"/>
          <w:b/>
          <w:color w:val="000000"/>
          <w:sz w:val="21"/>
          <w:szCs w:val="21"/>
        </w:rPr>
        <w:t>预警级别调整和解除</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县政府或其授权的有关部门根据事态发展情况和采取措施的效果适时调整预警级别；当判断不可能发生突发环境事件或者危险已经消除时，宣布解除预警，适时终止相关措施。</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楷体_GB2312" w:hAnsi="楷体_GB2312" w:eastAsia="楷体_GB2312" w:cs="楷体_GB2312"/>
          <w:b w:val="0"/>
          <w:bCs/>
          <w:color w:val="000000"/>
          <w:sz w:val="21"/>
          <w:szCs w:val="21"/>
        </w:rPr>
      </w:pPr>
      <w:r>
        <w:rPr>
          <w:rFonts w:hint="eastAsia" w:ascii="楷体_GB2312" w:hAnsi="楷体_GB2312" w:eastAsia="楷体_GB2312" w:cs="楷体_GB2312"/>
          <w:b w:val="0"/>
          <w:bCs/>
          <w:color w:val="000000"/>
          <w:sz w:val="21"/>
          <w:szCs w:val="21"/>
        </w:rPr>
        <w:t>（三）信息报告与通报</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2" w:firstLineChars="200"/>
        <w:jc w:val="both"/>
        <w:textAlignment w:val="auto"/>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1.</w:t>
      </w:r>
      <w:r>
        <w:rPr>
          <w:rFonts w:hint="eastAsia" w:ascii="宋体" w:hAnsi="宋体" w:eastAsia="宋体" w:cs="宋体"/>
          <w:b/>
          <w:color w:val="000000"/>
          <w:sz w:val="21"/>
          <w:szCs w:val="21"/>
        </w:rPr>
        <w:t>报告程序</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突发环境事件发生后，涉事企业、事业单位或其他生产经营者必须采取应对措施，并立即向县生态环境局及其他有关部门报告。因生产安全事故导致突发环境事件的，发生事故单位、有关部门及时通报县生态环境局。</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县生态环境局通过互联网信息监测、环境污染举报热线等多种渠道，加强对突发环境事件的信息收集，及时掌握突发环境事件发生情况。</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县生态环境局接到突发环境事件信息后，要第一时间对事件情况进行核实，初判突发环境事件级别。初步研判发生一般突发环境事件时，县生态环境部门要向县党委、政府报告，同时向邯郸市生态环境部门报告；初步研判较大以上的突发环境事件或环境敏感事件时，县生态环境部门要向县党委、政府报告，同时向邯郸市生态环境部门</w:t>
      </w:r>
      <w:r>
        <w:rPr>
          <w:rFonts w:hint="eastAsia" w:ascii="宋体" w:hAnsi="宋体" w:eastAsia="宋体" w:cs="宋体"/>
          <w:color w:val="000000"/>
          <w:sz w:val="21"/>
          <w:szCs w:val="21"/>
          <w:lang w:eastAsia="zh-CN"/>
        </w:rPr>
        <w:t>和</w:t>
      </w:r>
      <w:r>
        <w:rPr>
          <w:rFonts w:hint="eastAsia" w:ascii="宋体" w:hAnsi="宋体" w:eastAsia="宋体" w:cs="宋体"/>
          <w:color w:val="000000"/>
          <w:sz w:val="21"/>
          <w:szCs w:val="21"/>
        </w:rPr>
        <w:t>邯郸市人民政府报告；初步研判发生重大以上突发环境事件时，县生态环境部门可直报河北省生态环境部门。要严格按照事件应急响应级别报送信息，严防迟报、瞒报、漏报、误报等情况发生。</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县生态环境部门严格信息报送时限，较大突发环境事件要在事发30小时向市政府内报告，重大以上突发环境事件要在事发10分钟内通过电话形式、事发20分钟内通过书面形式向市政府报告，发生在“两会”、重大活动、重要节日等敏感时段及敏感地区的突发环境事件信息要即接即报。对省委、省政府、生态环境部和邯郸市环境部门要求县生态环境部门核报的信息，要立即核实，迅速向省生态环境厅报告，要求电话反馈的，原则上不得超过15分钟；要求书面反馈的，不得超过20分钟。信息报告可通过文字报告、电话报告等形式，电话报告后必须按照有关时限要求，补齐文字报告，省生态环境厅要求核实的信息，紧急情况下可采用微信、短信形式报告。</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对以下突发环境事件信息，县政府接到报告后，应当立即向市政府报告：</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（1）初判为较大以上突发环境事件；</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（2）可能或已引发群体性事件的突发环境事件；</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396" w:firstLineChars="200"/>
        <w:jc w:val="both"/>
        <w:textAlignment w:val="auto"/>
        <w:outlineLvl w:val="9"/>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（3）可能造成较大社会影响的突发环境事件；</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（4）涉及饮用水水源地保护区且一时无法辨别影响程度的突发环境事件；</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（5）认为有必要报告的其他突发环境事件。</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对情况不够清楚、要素不全的较大及以上突发环境事件信息，以及事件发生在敏感区域、特殊时期或可能演化为较大突发环境事件的信息，不受分级标准限制，应当边报告、边核实。无法立即核实清楚的，应当先报告，并注明“正在核实中”，同时指定专人跟踪核实上报。必要时可以越级报告。</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2" w:firstLineChars="200"/>
        <w:jc w:val="both"/>
        <w:textAlignment w:val="auto"/>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2.</w:t>
      </w:r>
      <w:r>
        <w:rPr>
          <w:rFonts w:hint="eastAsia" w:ascii="宋体" w:hAnsi="宋体" w:eastAsia="宋体" w:cs="宋体"/>
          <w:b/>
          <w:color w:val="000000"/>
          <w:sz w:val="21"/>
          <w:szCs w:val="21"/>
        </w:rPr>
        <w:t>报告内容与方式</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突发环境事件的报告分为初报、续报和处置结果报告三类。</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初报：初报是发现或者得知突发环境事件后首次上报，初报可采用电话直接报告；主要内容包括：报送突发环境事件信息时，要报告事件发生的时间、地点、信息来源、事件起因和性质、人员受害情况、周边敏感点、特征污染物和数量、污染程度、发展趋势、采取措施、监测结果、处置经过与结果、下一步工作等信息，并附有现场照片、视频、现场地理和监测点位示意图等，力求内容完整详实。基层生态环境部门初报信息时，必须履行核实职责，核实清突发环境事件发生的时间、地点、原因、特征污染物、人员受害情况，饮用水源地、人员聚集区等周边敏感点受影响情况等关键信息。</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续报：续报在查清突发环境事件有关基本情况后随时上报。续报可通过网络或书面报告。对特别重大的突发环境事件，初报后要每1小时向邯郸市生态环境部门报告动态信息1次；对重大的突发环境事件，初报后要每2小时向邯郸市生态环境部门报告动态信息1次；对较大和一般的突发环境事件，初报后要每日向邯郸市生态环境部门报告动态信息1次；对于重要信息或实质性进展要随时报告。</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处置结果报告内容：处理结果报告在突发环境事件处理完毕后上报。处理结果报告采用书面报告，在初报和续报的基础上，报告事件应急处置的措施、过程和结果、事件潜在或间接的危害、社会影响、处置后的遗留问题，参加处置工作的有关部门和工作内容，出具有关危害与损失的证明文件等详细情况。</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2" w:firstLineChars="200"/>
        <w:jc w:val="both"/>
        <w:textAlignment w:val="auto"/>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3.</w:t>
      </w:r>
      <w:r>
        <w:rPr>
          <w:rFonts w:hint="eastAsia" w:ascii="宋体" w:hAnsi="宋体" w:eastAsia="宋体" w:cs="宋体"/>
          <w:b/>
          <w:color w:val="000000"/>
          <w:sz w:val="21"/>
          <w:szCs w:val="21"/>
        </w:rPr>
        <w:t>信息通报</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突发环境事件发生后，涉事企业事业单位或其他生产经营者必须采取应对措施，并立即向县生态环境局及其他有关部门报告，同时通报可能受到污染危害的单位和居民。</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因自然灾害、生产安全事故等因素导致突发环境事件的，各乡镇政府、公安局、城管局、交通运输局、水利局、农业农村局、林果开发服务中心、消防大队等有关部门应及时通报县生态环境局。</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突发环境事件已经或者可能涉及相邻行政区域的，县政府或县生态环境局应当通报相邻行政区域同级人民政府或生态环境部门。</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黑体" w:hAnsi="黑体" w:eastAsia="黑体" w:cs="黑体"/>
          <w:color w:val="000000"/>
          <w:sz w:val="21"/>
          <w:szCs w:val="21"/>
        </w:rPr>
      </w:pPr>
      <w:r>
        <w:rPr>
          <w:rFonts w:hint="eastAsia" w:ascii="黑体" w:hAnsi="黑体" w:eastAsia="黑体" w:cs="黑体"/>
          <w:color w:val="000000"/>
          <w:sz w:val="21"/>
          <w:szCs w:val="21"/>
        </w:rPr>
        <w:t>五、事件分级</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按照事件严重程度，突发环境事件分为特别重大、重大、较大和一般四级。</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楷体_GB2312" w:hAnsi="楷体_GB2312" w:eastAsia="楷体_GB2312" w:cs="楷体_GB2312"/>
          <w:b w:val="0"/>
          <w:bCs/>
          <w:color w:val="000000"/>
          <w:sz w:val="21"/>
          <w:szCs w:val="21"/>
        </w:rPr>
      </w:pPr>
      <w:r>
        <w:rPr>
          <w:rFonts w:hint="eastAsia" w:ascii="楷体_GB2312" w:hAnsi="楷体_GB2312" w:eastAsia="楷体_GB2312" w:cs="楷体_GB2312"/>
          <w:b w:val="0"/>
          <w:bCs/>
          <w:color w:val="000000"/>
          <w:sz w:val="21"/>
          <w:szCs w:val="21"/>
        </w:rPr>
        <w:t>（一）特别重大突发环境事件</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凡符合下列情形之一的，为特别重大突发环境事件：</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因环境污染直接导致30人以上死亡或100人以上中毒或重伤的；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因环境污染疏散、转移人员5万人以上的；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因环境污染造成直接经济损失1亿元以上的；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因环境污染造成区域生态功能丧失或该区域国家重点保护物种灭绝的；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因环境污染造成设区的市级以上城市集中式饮用水水源地取水中断的；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6</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Ⅰ、Ⅱ类放射源丢失、被盗、失控并造成大范围严重辐射污染后果的；放射性同位素和射线装置失控导致3人以上急性死亡的；放射性物质泄漏，造成大范围辐射污染后果的；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396" w:firstLineChars="200"/>
        <w:jc w:val="both"/>
        <w:textAlignment w:val="auto"/>
        <w:outlineLvl w:val="9"/>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7</w:t>
      </w:r>
      <w:r>
        <w:rPr>
          <w:rFonts w:hint="eastAsia" w:ascii="宋体" w:hAnsi="宋体" w:eastAsia="宋体" w:cs="宋体"/>
          <w:color w:val="000000"/>
          <w:spacing w:val="-6"/>
          <w:sz w:val="21"/>
          <w:szCs w:val="21"/>
          <w:lang w:val="en-US" w:eastAsia="zh-CN"/>
        </w:rPr>
        <w:t>.</w:t>
      </w:r>
      <w:r>
        <w:rPr>
          <w:rFonts w:hint="eastAsia" w:ascii="宋体" w:hAnsi="宋体" w:eastAsia="宋体" w:cs="宋体"/>
          <w:color w:val="000000"/>
          <w:spacing w:val="-6"/>
          <w:sz w:val="21"/>
          <w:szCs w:val="21"/>
        </w:rPr>
        <w:t>造成重大跨国境影响的境内突发环境事件。</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楷体_GB2312" w:hAnsi="楷体_GB2312" w:eastAsia="楷体_GB2312" w:cs="楷体_GB2312"/>
          <w:b w:val="0"/>
          <w:bCs/>
          <w:color w:val="000000"/>
          <w:sz w:val="21"/>
          <w:szCs w:val="21"/>
        </w:rPr>
      </w:pPr>
      <w:r>
        <w:rPr>
          <w:rFonts w:hint="eastAsia" w:ascii="楷体_GB2312" w:hAnsi="楷体_GB2312" w:eastAsia="楷体_GB2312" w:cs="楷体_GB2312"/>
          <w:b w:val="0"/>
          <w:bCs/>
          <w:color w:val="000000"/>
          <w:sz w:val="21"/>
          <w:szCs w:val="21"/>
        </w:rPr>
        <w:t>（二）重大突发环境事件</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凡符合下列情形之一的，为重大突发环境事件：</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因环境污染直接导致10人以上30人以下死亡或50人以上100人以下中毒或重伤的；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因环境污染疏散、转移人员1万人以上5万人以下的；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因环境污染造成直接经济损失2000万元以上1亿元以下的；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因环境污染造成区域生态功能部分丧失或该区域国家重点保护野生动植物种群大批死亡的；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因环境污染造成县级城市集中式饮用水水源地取水中断的；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6</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Ⅰ、Ⅱ类放射源丢失、被盗的；放射性同位素和射线装置失控导致3人以下急性死亡或者10人以上患急性重度放射病、局部器官残疾的；放射性物质泄漏，造成较大范围辐射污染后果的；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396" w:firstLineChars="200"/>
        <w:jc w:val="both"/>
        <w:textAlignment w:val="auto"/>
        <w:outlineLvl w:val="9"/>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lang w:val="en-US" w:eastAsia="zh-CN"/>
        </w:rPr>
        <w:t>7.</w:t>
      </w:r>
      <w:r>
        <w:rPr>
          <w:rFonts w:hint="eastAsia" w:ascii="宋体" w:hAnsi="宋体" w:eastAsia="宋体" w:cs="宋体"/>
          <w:color w:val="000000"/>
          <w:spacing w:val="-6"/>
          <w:sz w:val="21"/>
          <w:szCs w:val="21"/>
        </w:rPr>
        <w:t>造成跨省级行政区域影响的突发环境事件。</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楷体_GB2312" w:hAnsi="楷体_GB2312" w:eastAsia="楷体_GB2312" w:cs="楷体_GB2312"/>
          <w:b w:val="0"/>
          <w:bCs/>
          <w:color w:val="000000"/>
          <w:sz w:val="21"/>
          <w:szCs w:val="21"/>
        </w:rPr>
      </w:pPr>
      <w:r>
        <w:rPr>
          <w:rFonts w:hint="eastAsia" w:ascii="楷体_GB2312" w:hAnsi="楷体_GB2312" w:eastAsia="楷体_GB2312" w:cs="楷体_GB2312"/>
          <w:b w:val="0"/>
          <w:bCs/>
          <w:color w:val="000000"/>
          <w:sz w:val="21"/>
          <w:szCs w:val="21"/>
        </w:rPr>
        <w:t>（三）较大突发环境事件</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凡符合下列情形之一的，为较大突发环境事件：</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因环境污染直接导致3人以上10人以下死亡或10人以上50人以下中毒或重伤的；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因环境污染疏散、转移人员5000人以上1万人以下的；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因环境污染造成直接经济损失500万元以上2000万元以下的；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因环境污染造成国家重点保护的动植物物种受到破坏的；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因环境污染造成乡（镇）集中式饮用水水源地取水中断的；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6</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Ⅲ类放射源丢失、被盗的；放射性同位素和射线装置失控导致10人以下患急性重度放射病、局部器官残疾的；放射性物质泄漏，造成小范围辐射污染后果的；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7</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造成跨设区的市级行政区域影响的突发环境事件。</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楷体_GB2312" w:hAnsi="楷体_GB2312" w:eastAsia="楷体_GB2312" w:cs="楷体_GB2312"/>
          <w:b w:val="0"/>
          <w:bCs/>
          <w:color w:val="000000"/>
          <w:sz w:val="21"/>
          <w:szCs w:val="21"/>
        </w:rPr>
      </w:pPr>
      <w:r>
        <w:rPr>
          <w:rFonts w:hint="eastAsia" w:ascii="楷体_GB2312" w:hAnsi="楷体_GB2312" w:eastAsia="楷体_GB2312" w:cs="楷体_GB2312"/>
          <w:b w:val="0"/>
          <w:bCs/>
          <w:color w:val="000000"/>
          <w:sz w:val="21"/>
          <w:szCs w:val="21"/>
          <w:lang w:eastAsia="zh-CN"/>
        </w:rPr>
        <w:t>（四）</w:t>
      </w:r>
      <w:r>
        <w:rPr>
          <w:rFonts w:hint="eastAsia" w:ascii="楷体_GB2312" w:hAnsi="楷体_GB2312" w:eastAsia="楷体_GB2312" w:cs="楷体_GB2312"/>
          <w:b w:val="0"/>
          <w:bCs/>
          <w:color w:val="000000"/>
          <w:sz w:val="21"/>
          <w:szCs w:val="21"/>
        </w:rPr>
        <w:t>一般突发环境事件</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396" w:firstLineChars="200"/>
        <w:jc w:val="both"/>
        <w:textAlignment w:val="auto"/>
        <w:outlineLvl w:val="9"/>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凡符合下列情形之一的，为一般突发环境事件：</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因环境污染直接导致3人以下死亡或10人以下中毒或重伤的；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396" w:firstLineChars="200"/>
        <w:jc w:val="both"/>
        <w:textAlignment w:val="auto"/>
        <w:outlineLvl w:val="9"/>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2</w:t>
      </w:r>
      <w:r>
        <w:rPr>
          <w:rFonts w:hint="eastAsia" w:ascii="宋体" w:hAnsi="宋体" w:eastAsia="宋体" w:cs="宋体"/>
          <w:color w:val="000000"/>
          <w:spacing w:val="-6"/>
          <w:sz w:val="21"/>
          <w:szCs w:val="21"/>
          <w:lang w:val="en-US" w:eastAsia="zh-CN"/>
        </w:rPr>
        <w:t>.</w:t>
      </w:r>
      <w:r>
        <w:rPr>
          <w:rFonts w:hint="eastAsia" w:ascii="宋体" w:hAnsi="宋体" w:eastAsia="宋体" w:cs="宋体"/>
          <w:color w:val="000000"/>
          <w:spacing w:val="-6"/>
          <w:sz w:val="21"/>
          <w:szCs w:val="21"/>
        </w:rPr>
        <w:t>因环境污染疏散、转移人员5000人以下的；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因环境污染造成直接经济损失500万元以下的；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因环境污染造成跨县级行政区域纠纷，引起一般性群体影响的；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Ⅳ、Ⅴ类放射源丢失、被盗的；放射性同位素和射线装置失控导致人员受到超过年剂量限值的照射的；放射性物质泄漏，造成厂区内或设施内局部辐射污染后果的；铀矿冶、伴生矿超标排放，造成环境辐射污染后果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6</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对环境造成一定影响，尚未达到较大突发环境事件级别的。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上述分级标准有关数量的表述中，“以上”含本数，“以下”不含本数。</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黑体" w:hAnsi="黑体" w:eastAsia="黑体" w:cs="黑体"/>
          <w:color w:val="000000"/>
          <w:sz w:val="21"/>
          <w:szCs w:val="21"/>
        </w:rPr>
      </w:pPr>
      <w:r>
        <w:rPr>
          <w:rFonts w:hint="eastAsia" w:ascii="黑体" w:hAnsi="黑体" w:eastAsia="黑体" w:cs="黑体"/>
          <w:color w:val="000000"/>
          <w:sz w:val="21"/>
          <w:szCs w:val="21"/>
        </w:rPr>
        <w:t>六、应急响应</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楷体_GB2312" w:hAnsi="楷体_GB2312" w:eastAsia="楷体_GB2312" w:cs="楷体_GB2312"/>
          <w:b w:val="0"/>
          <w:bCs/>
          <w:color w:val="000000"/>
          <w:sz w:val="21"/>
          <w:szCs w:val="21"/>
        </w:rPr>
      </w:pPr>
      <w:r>
        <w:rPr>
          <w:rFonts w:hint="eastAsia" w:ascii="楷体_GB2312" w:hAnsi="楷体_GB2312" w:eastAsia="楷体_GB2312" w:cs="楷体_GB2312"/>
          <w:b w:val="0"/>
          <w:bCs/>
          <w:color w:val="000000"/>
          <w:sz w:val="21"/>
          <w:szCs w:val="21"/>
        </w:rPr>
        <w:t>（一）响应行动</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根据突发环境事件的严重程度和发展态势，将应急响应设定为Ⅰ级、Ⅱ级、Ⅲ级、Ⅳ级四个等级。</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初判发生一般突发环境事件，启动Ⅳ级应急响应，由县政府负责应对工作；初判发生较大突发环境事件，启动Ⅲ级应急响应，在积极应对的同时报请市政府开展应对工作；初判发生特别重大、重大突发环境事件，分别启动Ⅰ级、Ⅱ级应急响应，报请省政府开展应对工作。</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突发环境事件发生在易造成重大影响的地区或重要时段时，可适当提高响应级别。应急响应启动后，可视事件损失情况及其发展趋势调整响应级别，避免响应不足或响应过度。</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楷体_GB2312" w:hAnsi="楷体_GB2312" w:eastAsia="楷体_GB2312" w:cs="楷体_GB2312"/>
          <w:b w:val="0"/>
          <w:bCs/>
          <w:color w:val="000000"/>
          <w:sz w:val="21"/>
          <w:szCs w:val="21"/>
        </w:rPr>
      </w:pPr>
      <w:r>
        <w:rPr>
          <w:rFonts w:hint="eastAsia" w:ascii="楷体_GB2312" w:hAnsi="楷体_GB2312" w:eastAsia="楷体_GB2312" w:cs="楷体_GB2312"/>
          <w:b w:val="0"/>
          <w:bCs/>
          <w:color w:val="000000"/>
          <w:sz w:val="21"/>
          <w:szCs w:val="21"/>
        </w:rPr>
        <w:t>（二）响应措施</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突发环境事件发生后，县政府和有关部门根据工作需要，组织采取以下措施。</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2" w:firstLineChars="200"/>
        <w:jc w:val="both"/>
        <w:textAlignment w:val="auto"/>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rPr>
        <w:t>1.现场污染处置</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涉事企业事业单位或其他生产经营者要立即采取关闭、停产、封堵、围挡、喷淋、转移等措施，切断和控制污染源，防止污染蔓延扩散。做好有毒有害物质和消防废水、废液等的收集、清理和安全处置工作。当涉事企业事业单位或其他生产经营者不明时，由县生态环境局组织对污染来源开展调查，查明涉事单位，确定污染物种类和污染范围，切断污染源。</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县政府组织有关部门和乡镇制定综合治污方案，采用监测和模拟等手段追踪污染气体扩散途径和范围；采取拦截、导流、疏浚、防渗漏等形式防止水体污染扩大；采取隔离、吸附、打捞、氧化还原、中和、沉淀、消毒、去污洗消、临时收贮、微生物消解、调水稀释、转移异地处置、临时改造污染处置工艺或临时建设污染处置工程等方法处置污染物。必要时，要求其他排污单位停产、限产、限排，减轻环境污染负荷。</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（1）对于突发水污染事件，开展以下应急处置工作：</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①污染源控制</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企业有毒有害物质泄漏引发的突发环境事件，根据企业突发环境事件应急预案控制污染源，由企业第一时间采取堵漏、倒罐、关闭闸阀等措施减少或消除有毒有害物质泄漏。泄漏源控制难度过大时，应急指挥部组织专家会商后提出污染源控制方案。</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交通事故危险化学品（危险废物）泄漏引起的突发环境事件，及时采取堵漏、倒罐等措施，减少或消除危险化学品（危险废物）泄漏，难以控制时，应根据现场地形、污染物走向实施污染物拦截、导流、暂存等措施。</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②污染物拦截</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涉水突发环境事件，根据丰水期、枯水期的具体水文条件，在污染源周围、污染物传输途径中、敏感目标周围根据实际情况选择合适位置，采取设立围栏、围堰、开挖导流沟、筑坝、落闸蓄水等方式，控制或减缓污染扩散。</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③污染物去除</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陆地表面的污染物，通过收集转移、根据污染物性质采用石灰或沙土吸附等方式去除。</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水体中的污染物，根据污染物性质和浓度，采取投放药剂等方式去除污染物，或采取开闸放水稀释污染物至达标水平的方式消除污染。</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（2）对于突发大气污染事件，开展以下应急处置工作：</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①污染源控制</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根据企业突发环境事件应急预案控制污染源，由企业第一时间采取堵漏、倒罐、关闭闸阀等措施减少或消除有毒有害物质泄漏。</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火灾、爆炸事故引发突发大气污染事件，或有毒有害气体泄漏伴随火灾、爆炸事故的，第一时间进行处置，防止灾害扩大。</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②污染物去除</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在污染源周围采取喷淋、水幕等方式，将大气中的污染物转移至水中，按照水污染的方式处置。</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2" w:firstLineChars="200"/>
        <w:jc w:val="both"/>
        <w:textAlignment w:val="auto"/>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rPr>
        <w:t>2.转移安置人员</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根据突发环境事件影响及事发地气象、地理环境、人员密集度等，建立现场警戒区、交通管制区域和重点防护区域，确定受威胁人员疏散的方式和途径，有组织、有秩序地及时疏散转移受威胁人员和可能受影响地区居民，确保生命安全。妥善做好转移人员安置工作，确保有饭吃、有水喝、有衣穿、有住处和必要医疗条件。</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2" w:firstLineChars="200"/>
        <w:jc w:val="both"/>
        <w:textAlignment w:val="auto"/>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rPr>
        <w:t>3.医学救援</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迅速组织当地医疗资源和力量，对伤病员进行诊断治疗，根据需要及时、安全地将重症伤病员转运到有条件的医疗机构加强救治。指导和协助开展受污染人员的去污洗消工作，提出保护公众健康的措施建议。视情增派医疗卫生专家和卫生应急队伍、调配急需医药物资，支持事发地医学救援工作。做好受影响人员的心理救助。</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2" w:firstLineChars="200"/>
        <w:jc w:val="both"/>
        <w:textAlignment w:val="auto"/>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rPr>
        <w:t>4.应急监测</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加强大气、水体、土壤等应急监测工作，根据突发环境事件的污染物种类、性质及当地自然、社会环境状况等，明确相应的应急监测方案和监测方法，确定监测的布点和频次，调配应急监测设备、车辆，及时准确监测，为突发环境事件应急决策提供依据。</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2" w:firstLineChars="200"/>
        <w:jc w:val="both"/>
        <w:textAlignment w:val="auto"/>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rPr>
        <w:t>5.市场监管和调控</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密切关注受事件影响地区市场供应情况及公众反应，加强对重要生活必需品等商品的市场监管和调控。禁止或限制受污染食品和饮用水的生产、加工、流通和食用，防范因突发环境事件造成的集体中毒等。</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2" w:firstLineChars="200"/>
        <w:jc w:val="both"/>
        <w:textAlignment w:val="auto"/>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rPr>
        <w:t>6.信息发布和舆论引导</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通过政府授权发布、发新闻通稿、接受记者采访、举行新闻发布会、组织专家解读等方式，借助电视、广播、报纸、互联网等多种途径，主动、及时、准确、客观地向社会发布突发环境事件和应对工作信息，回应社会关切，澄清不实信息，正确引导社会舆论。信息发布内容包括事件原因、污染程度、影响范围、应对措施、需要公众配合采取的措施、公众防范常识和事件调查处理进展情况等。</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2" w:firstLineChars="200"/>
        <w:jc w:val="both"/>
        <w:textAlignment w:val="auto"/>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rPr>
        <w:t>7.维护社会稳定</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加强受影响地区社会治安管理，严厉打击借机传播谣言制造社会恐慌、哄抢救灾物资等违法犯罪行为；加强转移人员安置点、救灾物资存放点等重点地区治安管控；做好受影响人员与涉事单位、地方政府及有关部门矛盾纠纷化解和法律服务工作，防止发生群体性事件，维护社会稳定。</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楷体_GB2312" w:hAnsi="楷体_GB2312" w:eastAsia="楷体_GB2312" w:cs="楷体_GB2312"/>
          <w:b w:val="0"/>
          <w:bCs/>
          <w:color w:val="000000"/>
          <w:sz w:val="21"/>
          <w:szCs w:val="21"/>
        </w:rPr>
      </w:pPr>
      <w:r>
        <w:rPr>
          <w:rFonts w:hint="eastAsia" w:ascii="楷体_GB2312" w:hAnsi="楷体_GB2312" w:eastAsia="楷体_GB2312" w:cs="楷体_GB2312"/>
          <w:b w:val="0"/>
          <w:bCs/>
          <w:color w:val="000000"/>
          <w:sz w:val="21"/>
          <w:szCs w:val="21"/>
        </w:rPr>
        <w:t>（三）响应终止</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当事件条件已经排除、污染物质已降至规定限值以内、所造成的危害基本消除时，启动响应政府终止应急响应。</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黑体" w:hAnsi="黑体" w:eastAsia="黑体" w:cs="黑体"/>
          <w:color w:val="000000"/>
          <w:sz w:val="21"/>
          <w:szCs w:val="21"/>
        </w:rPr>
      </w:pPr>
      <w:r>
        <w:rPr>
          <w:rFonts w:hint="eastAsia" w:ascii="黑体" w:hAnsi="黑体" w:eastAsia="黑体" w:cs="黑体"/>
          <w:color w:val="000000"/>
          <w:sz w:val="21"/>
          <w:szCs w:val="21"/>
        </w:rPr>
        <w:t>六、后期工作</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楷体_GB2312" w:hAnsi="楷体_GB2312" w:eastAsia="楷体_GB2312" w:cs="楷体_GB2312"/>
          <w:b w:val="0"/>
          <w:bCs/>
          <w:color w:val="000000"/>
          <w:sz w:val="21"/>
          <w:szCs w:val="21"/>
        </w:rPr>
      </w:pPr>
      <w:r>
        <w:rPr>
          <w:rFonts w:hint="eastAsia" w:ascii="楷体_GB2312" w:hAnsi="楷体_GB2312" w:eastAsia="楷体_GB2312" w:cs="楷体_GB2312"/>
          <w:b w:val="0"/>
          <w:bCs/>
          <w:color w:val="000000"/>
          <w:sz w:val="21"/>
          <w:szCs w:val="21"/>
        </w:rPr>
        <w:t>（一）损害评估</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突发环境事件应急响应终止后，要及时组织开展污染损害评估，并将评估结果向社会公布。评估结论作为事件调查处理、损害赔偿、环境修复和生态恢复重建的依据。</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楷体_GB2312" w:hAnsi="楷体_GB2312" w:eastAsia="楷体_GB2312" w:cs="楷体_GB2312"/>
          <w:b w:val="0"/>
          <w:bCs/>
          <w:color w:val="000000"/>
          <w:sz w:val="21"/>
          <w:szCs w:val="21"/>
        </w:rPr>
      </w:pPr>
      <w:r>
        <w:rPr>
          <w:rFonts w:hint="eastAsia" w:ascii="楷体_GB2312" w:hAnsi="楷体_GB2312" w:eastAsia="楷体_GB2312" w:cs="楷体_GB2312"/>
          <w:b w:val="0"/>
          <w:bCs/>
          <w:color w:val="000000"/>
          <w:sz w:val="21"/>
          <w:szCs w:val="21"/>
        </w:rPr>
        <w:t>（二）事件调查</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突发环境事件发生后，根据有关规定，由县生态环境局牵头，可会同有关部门组织开展事件调查，查明事件原因和性质，提出整改防范措施和处理建议。</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楷体_GB2312" w:hAnsi="楷体_GB2312" w:eastAsia="楷体_GB2312" w:cs="楷体_GB2312"/>
          <w:b w:val="0"/>
          <w:bCs/>
          <w:color w:val="000000"/>
          <w:sz w:val="21"/>
          <w:szCs w:val="21"/>
        </w:rPr>
      </w:pPr>
      <w:r>
        <w:rPr>
          <w:rFonts w:hint="eastAsia" w:ascii="楷体_GB2312" w:hAnsi="楷体_GB2312" w:eastAsia="楷体_GB2312" w:cs="楷体_GB2312"/>
          <w:b w:val="0"/>
          <w:bCs/>
          <w:color w:val="000000"/>
          <w:sz w:val="21"/>
          <w:szCs w:val="21"/>
        </w:rPr>
        <w:t>（三）善后处置</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县政府要及时组织制定补助、补偿、抚慰、抚恤、安置和环境恢复等善后工作方案并组织实施。保险机构要及时开展相关理赔工作。</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楷体_GB2312" w:hAnsi="楷体_GB2312" w:eastAsia="楷体_GB2312" w:cs="楷体_GB2312"/>
          <w:b w:val="0"/>
          <w:bCs/>
          <w:color w:val="000000"/>
          <w:sz w:val="21"/>
          <w:szCs w:val="21"/>
        </w:rPr>
      </w:pPr>
      <w:r>
        <w:rPr>
          <w:rFonts w:hint="eastAsia" w:ascii="楷体_GB2312" w:hAnsi="楷体_GB2312" w:eastAsia="楷体_GB2312" w:cs="楷体_GB2312"/>
          <w:b w:val="0"/>
          <w:bCs/>
          <w:color w:val="000000"/>
          <w:sz w:val="21"/>
          <w:szCs w:val="21"/>
        </w:rPr>
        <w:t>（四）总结评估</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突发环境事件处置完成后，对事件发生原因、响应速度、处置工作及各职能部门执行情况进行总结评估，提高应急处置能力。</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黑体" w:hAnsi="黑体" w:eastAsia="黑体" w:cs="黑体"/>
          <w:color w:val="000000"/>
          <w:sz w:val="21"/>
          <w:szCs w:val="21"/>
        </w:rPr>
      </w:pPr>
      <w:r>
        <w:rPr>
          <w:rFonts w:hint="eastAsia" w:ascii="黑体" w:hAnsi="黑体" w:eastAsia="黑体" w:cs="黑体"/>
          <w:color w:val="000000"/>
          <w:sz w:val="21"/>
          <w:szCs w:val="21"/>
        </w:rPr>
        <w:t>七、应急保障</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楷体_GB2312" w:hAnsi="楷体_GB2312" w:eastAsia="楷体_GB2312" w:cs="楷体_GB2312"/>
          <w:b w:val="0"/>
          <w:bCs/>
          <w:color w:val="000000"/>
          <w:sz w:val="21"/>
          <w:szCs w:val="21"/>
        </w:rPr>
      </w:pPr>
      <w:r>
        <w:rPr>
          <w:rFonts w:hint="eastAsia" w:ascii="楷体_GB2312" w:hAnsi="楷体_GB2312" w:eastAsia="楷体_GB2312" w:cs="楷体_GB2312"/>
          <w:b w:val="0"/>
          <w:bCs/>
          <w:color w:val="000000"/>
          <w:sz w:val="21"/>
          <w:szCs w:val="21"/>
        </w:rPr>
        <w:t>（一）队伍保障</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县生态环境局、消防大队及其他有关方面应急救援队伍等力量，要积极参加突发环境事件应急监测、应急处置和救援、调查处理等工作。发挥环境应急专家组作用，为突发环境事件应急处置方案制定、污染损害评估和调查处理工作提供决策建议。</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楷体_GB2312" w:hAnsi="楷体_GB2312" w:eastAsia="楷体_GB2312" w:cs="楷体_GB2312"/>
          <w:b w:val="0"/>
          <w:bCs/>
          <w:color w:val="000000"/>
          <w:sz w:val="21"/>
          <w:szCs w:val="21"/>
        </w:rPr>
      </w:pPr>
      <w:r>
        <w:rPr>
          <w:rFonts w:hint="eastAsia" w:ascii="楷体_GB2312" w:hAnsi="楷体_GB2312" w:eastAsia="楷体_GB2312" w:cs="楷体_GB2312"/>
          <w:b w:val="0"/>
          <w:bCs/>
          <w:color w:val="000000"/>
          <w:sz w:val="21"/>
          <w:szCs w:val="21"/>
        </w:rPr>
        <w:t>（二）物资与资金保障</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县政府有关部门要按照职责分工，组织做好环境应急救援物资紧急生产、储备调拨和紧急配送工作，保障支援突发环境事件应急处置和环境恢复治理工作的需要。乡镇政府及其有关部门要加强应急物资储备，鼓励支持社会化应急物资储备，保障应急物资、生活必需品的生产和供给。生态环境部门要加强对当地环境应急物资储备信息的动态管理。</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突发环境事件应急处置所需经费首先由事件责任单位承担。县财政部门对突发环境事件应急处置工作提供资金保障。</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楷体_GB2312" w:hAnsi="楷体_GB2312" w:eastAsia="楷体_GB2312" w:cs="楷体_GB2312"/>
          <w:b w:val="0"/>
          <w:bCs/>
          <w:color w:val="000000"/>
          <w:sz w:val="21"/>
          <w:szCs w:val="21"/>
        </w:rPr>
      </w:pPr>
      <w:r>
        <w:rPr>
          <w:rFonts w:hint="eastAsia" w:ascii="楷体_GB2312" w:hAnsi="楷体_GB2312" w:eastAsia="楷体_GB2312" w:cs="楷体_GB2312"/>
          <w:b w:val="0"/>
          <w:bCs/>
          <w:color w:val="000000"/>
          <w:sz w:val="21"/>
          <w:szCs w:val="21"/>
        </w:rPr>
        <w:t>（三）通信、交通与运输保障</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县工信部门要建立健全突发环境事件应急通信保障体系，确保应急期间通信联络和信息传递需要。交通运输部门要健全紧急运输保障体系，保障应急响应所需人员、物资、装备、器材等的运输。公安部门要加强应急交通管理，保障运送伤病员、应急救援人员、物资、装备、器材车辆的优先通行。</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楷体_GB2312" w:hAnsi="楷体_GB2312" w:eastAsia="楷体_GB2312" w:cs="楷体_GB2312"/>
          <w:b w:val="0"/>
          <w:bCs/>
          <w:color w:val="000000"/>
          <w:sz w:val="21"/>
          <w:szCs w:val="21"/>
        </w:rPr>
      </w:pPr>
      <w:r>
        <w:rPr>
          <w:rFonts w:hint="eastAsia" w:ascii="楷体_GB2312" w:hAnsi="楷体_GB2312" w:eastAsia="楷体_GB2312" w:cs="楷体_GB2312"/>
          <w:b w:val="0"/>
          <w:bCs/>
          <w:color w:val="000000"/>
          <w:sz w:val="21"/>
          <w:szCs w:val="21"/>
        </w:rPr>
        <w:t>（四）技术保障</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支持突发环境事件应急处置和监测先进技术、装备的研发。依托环境应急指挥技术平台，实现信息综合集成、分析处理、污染损害评估的智能化和数字化。</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楷体_GB2312" w:hAnsi="楷体_GB2312" w:eastAsia="楷体_GB2312" w:cs="楷体_GB2312"/>
          <w:b w:val="0"/>
          <w:bCs/>
          <w:color w:val="000000"/>
          <w:sz w:val="21"/>
          <w:szCs w:val="21"/>
        </w:rPr>
      </w:pPr>
      <w:r>
        <w:rPr>
          <w:rFonts w:hint="eastAsia" w:ascii="楷体_GB2312" w:hAnsi="楷体_GB2312" w:eastAsia="楷体_GB2312" w:cs="楷体_GB2312"/>
          <w:b w:val="0"/>
          <w:bCs/>
          <w:color w:val="000000"/>
          <w:sz w:val="21"/>
          <w:szCs w:val="21"/>
        </w:rPr>
        <w:t>（五）其他保障</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2"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b/>
          <w:color w:val="000000"/>
          <w:sz w:val="21"/>
          <w:szCs w:val="21"/>
        </w:rPr>
        <w:t>1.医疗保障：</w:t>
      </w:r>
      <w:r>
        <w:rPr>
          <w:rFonts w:hint="eastAsia" w:ascii="宋体" w:hAnsi="宋体" w:eastAsia="宋体" w:cs="宋体"/>
          <w:color w:val="000000"/>
          <w:sz w:val="21"/>
          <w:szCs w:val="21"/>
        </w:rPr>
        <w:t>县突发环境事件应急指挥部办公室加强与医疗救治单位协调对接，签定互救协议，建立健全突发事件医疗救治机制，保证受伤人员得到及时有效救治，减少人员伤亡。</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2"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b/>
          <w:color w:val="000000"/>
          <w:sz w:val="21"/>
          <w:szCs w:val="21"/>
        </w:rPr>
        <w:t>2.治安保障：</w:t>
      </w:r>
      <w:r>
        <w:rPr>
          <w:rFonts w:hint="eastAsia" w:ascii="宋体" w:hAnsi="宋体" w:eastAsia="宋体" w:cs="宋体"/>
          <w:color w:val="000000"/>
          <w:sz w:val="21"/>
          <w:szCs w:val="21"/>
        </w:rPr>
        <w:t>积极协助、配合地方党委、政府及时疏散、撤离无关人员，加强事件现场周边的治安管理，维护社会治安，配合做好事件现场警戒，防止无关人员进入。</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2"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b/>
          <w:color w:val="000000"/>
          <w:sz w:val="21"/>
          <w:szCs w:val="21"/>
        </w:rPr>
        <w:t>3.联动保障：</w:t>
      </w:r>
      <w:r>
        <w:rPr>
          <w:rFonts w:hint="eastAsia" w:ascii="宋体" w:hAnsi="宋体" w:eastAsia="宋体" w:cs="宋体"/>
          <w:color w:val="000000"/>
          <w:sz w:val="21"/>
          <w:szCs w:val="21"/>
        </w:rPr>
        <w:t>加强部门日常的沟通与协作，配合地方党委、政府，积极做好相邻区域、各部门之间的联动工作。</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2"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b/>
          <w:color w:val="000000"/>
          <w:sz w:val="21"/>
          <w:szCs w:val="21"/>
        </w:rPr>
        <w:t>4.紧急避难场所保障：</w:t>
      </w:r>
      <w:r>
        <w:rPr>
          <w:rFonts w:hint="eastAsia" w:ascii="宋体" w:hAnsi="宋体" w:eastAsia="宋体" w:cs="宋体"/>
          <w:color w:val="000000"/>
          <w:sz w:val="21"/>
          <w:szCs w:val="21"/>
        </w:rPr>
        <w:t>按照突发环境事件类型，制定人员和财产的避难方案，选定临时或紧急避难场所，储备必要的生活和医疗等物资。协助配合地方党委、政府做好突发环境事件发生后人员和财产的疏散、避难工作。</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楷体_GB2312" w:hAnsi="楷体_GB2312" w:eastAsia="楷体_GB2312" w:cs="楷体_GB2312"/>
          <w:b w:val="0"/>
          <w:bCs/>
          <w:color w:val="000000"/>
          <w:sz w:val="21"/>
          <w:szCs w:val="21"/>
        </w:rPr>
      </w:pPr>
      <w:r>
        <w:rPr>
          <w:rFonts w:hint="eastAsia" w:ascii="楷体_GB2312" w:hAnsi="楷体_GB2312" w:eastAsia="楷体_GB2312" w:cs="楷体_GB2312"/>
          <w:b w:val="0"/>
          <w:bCs/>
          <w:color w:val="000000"/>
          <w:sz w:val="21"/>
          <w:szCs w:val="21"/>
        </w:rPr>
        <w:t>（六）宣传、培训与演练</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2" w:firstLineChars="200"/>
        <w:jc w:val="both"/>
        <w:textAlignment w:val="auto"/>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rPr>
        <w:t>1.宣传教育</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pacing w:val="-6"/>
          <w:sz w:val="21"/>
          <w:szCs w:val="21"/>
        </w:rPr>
      </w:pPr>
      <w:r>
        <w:rPr>
          <w:rFonts w:hint="eastAsia" w:ascii="宋体" w:hAnsi="宋体" w:eastAsia="宋体" w:cs="宋体"/>
          <w:color w:val="000000"/>
          <w:sz w:val="21"/>
          <w:szCs w:val="21"/>
        </w:rPr>
        <w:t>县政府及各有关职能部门加强对本区域环境保护宣传教育工作，增加公众预防区域突发环境事件的有关常识，提高公众的防范意识和能力。</w:t>
      </w:r>
      <w:r>
        <w:rPr>
          <w:rFonts w:hint="eastAsia" w:ascii="宋体" w:hAnsi="宋体" w:eastAsia="宋体" w:cs="宋体"/>
          <w:color w:val="000000"/>
          <w:spacing w:val="-6"/>
          <w:sz w:val="21"/>
          <w:szCs w:val="21"/>
        </w:rPr>
        <w:t>鼓励公众广泛参与和积极报告魏县突发环境事件。</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2" w:firstLineChars="200"/>
        <w:jc w:val="both"/>
        <w:textAlignment w:val="auto"/>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rPr>
        <w:t>2.培训计划</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魏县突发环境事件应急指挥部加强对应急救援队伍和人员的日常培训和管理，邀请有关方面专家，每年开展现场调查、应急处置、应急救援、监测分析、紧急救护、隐患排查、化学防护等专业知识和技术培训，全面提升应急队伍和人员整体素质。</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2" w:firstLineChars="200"/>
        <w:jc w:val="both"/>
        <w:textAlignment w:val="auto"/>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rPr>
        <w:t>3.演练计划</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魏县突发环境事件应急指挥部，按照突发环境事件应急预案定期组织不同类型的实战应急演练。加强各部门协调配合，确保通讯畅通，确保紧急状态下的有效沟通和统一指挥。</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演习完毕后对应急预案的可操作性、处置措施的科学性和有效性、污染预防效果、应急队伍能力等方面进行总结评估，必要时可结合评估结果，对应急预案做出修改和完善。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黑体" w:hAnsi="黑体" w:eastAsia="黑体" w:cs="黑体"/>
          <w:color w:val="000000"/>
          <w:sz w:val="21"/>
          <w:szCs w:val="21"/>
        </w:rPr>
      </w:pPr>
      <w:r>
        <w:rPr>
          <w:rFonts w:hint="eastAsia" w:ascii="黑体" w:hAnsi="黑体" w:eastAsia="黑体" w:cs="黑体"/>
          <w:color w:val="000000"/>
          <w:sz w:val="21"/>
          <w:szCs w:val="21"/>
        </w:rPr>
        <w:t>八、预案管理与更新</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楷体_GB2312" w:hAnsi="楷体_GB2312" w:eastAsia="楷体_GB2312" w:cs="楷体_GB2312"/>
          <w:b w:val="0"/>
          <w:bCs/>
          <w:color w:val="000000"/>
          <w:sz w:val="21"/>
          <w:szCs w:val="21"/>
        </w:rPr>
      </w:pPr>
      <w:r>
        <w:rPr>
          <w:rFonts w:hint="eastAsia" w:ascii="楷体_GB2312" w:hAnsi="楷体_GB2312" w:eastAsia="楷体_GB2312" w:cs="楷体_GB2312"/>
          <w:b w:val="0"/>
          <w:bCs/>
          <w:color w:val="000000"/>
          <w:sz w:val="21"/>
          <w:szCs w:val="21"/>
        </w:rPr>
        <w:t>（一）预案管理与更新</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预案实施后，应急指挥部要会同有关部门组织预案宣传、培训和演练，并根据实际，适时组织评估与修订。在修订中，以预案的科学性和可操作性作为重点，明确应急组织指挥机构、风险评估、监测预警、信息报告、处置措施、应急保障及调动程序等内容，并将本地区的地理特点、气象条件、流域分布、企业分布、风险源和危险源信息、雨污管网、保护目标、应急队伍、保障物资等基本情况纳入预案附件，保障应急响应时的有效调度。</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随着突发环境事件应急预案相关法律法规的制定、修改和完善，部门职责或应急资源发生变化，或者应急过程中发现存在问题和出现新的情况时，及时对预案进行修订和完善。突发环境事件应急预案每三年至少修订一次。</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楷体_GB2312" w:hAnsi="楷体_GB2312" w:eastAsia="楷体_GB2312" w:cs="楷体_GB2312"/>
          <w:b w:val="0"/>
          <w:bCs/>
          <w:color w:val="000000"/>
          <w:sz w:val="21"/>
          <w:szCs w:val="21"/>
        </w:rPr>
      </w:pPr>
      <w:r>
        <w:rPr>
          <w:rFonts w:hint="eastAsia" w:ascii="楷体_GB2312" w:hAnsi="楷体_GB2312" w:eastAsia="楷体_GB2312" w:cs="楷体_GB2312"/>
          <w:b w:val="0"/>
          <w:bCs/>
          <w:color w:val="000000"/>
          <w:sz w:val="21"/>
          <w:szCs w:val="21"/>
        </w:rPr>
        <w:t>（二）预案解释</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本预案由县生态环境局负责解释。</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楷体_GB2312" w:hAnsi="楷体_GB2312" w:eastAsia="楷体_GB2312" w:cs="楷体_GB2312"/>
          <w:b w:val="0"/>
          <w:bCs/>
          <w:color w:val="000000"/>
          <w:sz w:val="21"/>
          <w:szCs w:val="21"/>
        </w:rPr>
      </w:pPr>
      <w:r>
        <w:rPr>
          <w:rFonts w:hint="eastAsia" w:ascii="楷体_GB2312" w:hAnsi="楷体_GB2312" w:eastAsia="楷体_GB2312" w:cs="楷体_GB2312"/>
          <w:b w:val="0"/>
          <w:bCs/>
          <w:color w:val="000000"/>
          <w:sz w:val="21"/>
          <w:szCs w:val="21"/>
        </w:rPr>
        <w:t>（三）预案实施日期</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本预案自发布之日起实施。</w:t>
      </w:r>
    </w:p>
    <w:p>
      <w:pPr>
        <w:pStyle w:val="8"/>
        <w:keepNext w:val="0"/>
        <w:keepLines w:val="0"/>
        <w:pageBreakBefore w:val="0"/>
        <w:widowControl w:val="0"/>
        <w:kinsoku/>
        <w:wordWrap/>
        <w:overflowPunct/>
        <w:topLinePunct w:val="0"/>
        <w:bidi w:val="0"/>
        <w:adjustRightInd w:val="0"/>
        <w:spacing w:line="380" w:lineRule="exact"/>
        <w:ind w:left="0" w:leftChars="0" w:right="0" w:rightChars="0"/>
        <w:textAlignment w:val="auto"/>
        <w:outlineLvl w:val="9"/>
        <w:rPr>
          <w:rFonts w:hint="eastAsia"/>
          <w:sz w:val="32"/>
          <w:szCs w:val="32"/>
          <w:u w:val="single"/>
        </w:rPr>
        <w:sectPr>
          <w:type w:val="continuous"/>
          <w:pgSz w:w="11906" w:h="16838"/>
          <w:pgMar w:top="2268" w:right="1417" w:bottom="1984" w:left="1417" w:header="851" w:footer="1474" w:gutter="0"/>
          <w:pgNumType w:fmt="numberInDash"/>
          <w:cols w:equalWidth="0" w:num="2">
            <w:col w:w="4323" w:space="425"/>
            <w:col w:w="4323"/>
          </w:cols>
          <w:rtlGutter w:val="0"/>
          <w:docGrid w:type="lines" w:linePitch="312" w:charSpace="0"/>
        </w:sectPr>
      </w:pPr>
    </w:p>
    <w:p>
      <w:pPr>
        <w:pStyle w:val="8"/>
        <w:spacing w:line="576" w:lineRule="exact"/>
        <w:rPr>
          <w:rFonts w:hint="eastAsia"/>
          <w:sz w:val="32"/>
          <w:szCs w:val="32"/>
          <w:u w:val="single"/>
        </w:rPr>
      </w:pPr>
    </w:p>
    <w:p>
      <w:pPr>
        <w:pStyle w:val="8"/>
        <w:keepNext w:val="0"/>
        <w:keepLines w:val="0"/>
        <w:pageBreakBefore w:val="0"/>
        <w:widowControl w:val="0"/>
        <w:kinsoku/>
        <w:wordWrap/>
        <w:overflowPunct/>
        <w:topLinePunct w:val="0"/>
        <w:autoSpaceDE w:val="0"/>
        <w:autoSpaceDN w:val="0"/>
        <w:bidi w:val="0"/>
        <w:adjustRightInd w:val="0"/>
        <w:snapToGrid/>
        <w:spacing w:line="200" w:lineRule="exact"/>
        <w:ind w:left="0" w:leftChars="0" w:right="0" w:rightChars="0" w:firstLine="0" w:firstLineChars="0"/>
        <w:jc w:val="left"/>
        <w:textAlignment w:val="auto"/>
        <w:outlineLvl w:val="9"/>
        <w:rPr>
          <w:rFonts w:hint="eastAsia"/>
          <w:sz w:val="32"/>
          <w:szCs w:val="32"/>
          <w:u w:val="single"/>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宋体" w:hAnsi="宋体" w:eastAsia="宋体" w:cs="宋体"/>
          <w:b w:val="0"/>
          <w:bCs w:val="0"/>
          <w:w w:val="100"/>
          <w:sz w:val="36"/>
          <w:szCs w:val="36"/>
        </w:rPr>
      </w:pPr>
      <w:r>
        <w:rPr>
          <w:rFonts w:hint="eastAsia" w:ascii="宋体" w:hAnsi="宋体" w:eastAsia="宋体" w:cs="宋体"/>
          <w:b w:val="0"/>
          <w:bCs w:val="0"/>
          <w:w w:val="100"/>
          <w:sz w:val="36"/>
          <w:szCs w:val="36"/>
        </w:rPr>
        <w:t>魏县人民政府办公室</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宋体" w:hAnsi="宋体" w:eastAsia="宋体" w:cs="宋体"/>
          <w:b w:val="0"/>
          <w:bCs w:val="0"/>
          <w:w w:val="100"/>
          <w:sz w:val="36"/>
          <w:szCs w:val="36"/>
        </w:rPr>
      </w:pPr>
      <w:r>
        <w:rPr>
          <w:rFonts w:hint="eastAsia" w:ascii="宋体" w:hAnsi="宋体" w:eastAsia="宋体" w:cs="宋体"/>
          <w:b w:val="0"/>
          <w:bCs w:val="0"/>
          <w:w w:val="100"/>
          <w:sz w:val="36"/>
          <w:szCs w:val="36"/>
        </w:rPr>
        <w:t>关于</w:t>
      </w:r>
      <w:r>
        <w:rPr>
          <w:rFonts w:hint="eastAsia" w:ascii="宋体" w:hAnsi="宋体" w:eastAsia="宋体" w:cs="宋体"/>
          <w:b w:val="0"/>
          <w:bCs w:val="0"/>
          <w:w w:val="100"/>
          <w:sz w:val="36"/>
          <w:szCs w:val="36"/>
          <w:lang w:eastAsia="zh-CN"/>
        </w:rPr>
        <w:t>衔接落实国务院取消一批</w:t>
      </w:r>
      <w:r>
        <w:rPr>
          <w:rFonts w:hint="eastAsia" w:ascii="宋体" w:hAnsi="宋体" w:eastAsia="宋体" w:cs="宋体"/>
          <w:b w:val="0"/>
          <w:bCs w:val="0"/>
          <w:w w:val="100"/>
          <w:sz w:val="36"/>
          <w:szCs w:val="36"/>
        </w:rPr>
        <w:t>行政许可事项的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宋体" w:hAnsi="宋体" w:eastAsia="宋体" w:cs="宋体"/>
          <w:b w:val="0"/>
          <w:bCs w:val="0"/>
          <w:w w:val="100"/>
          <w:sz w:val="36"/>
          <w:szCs w:val="36"/>
        </w:rPr>
      </w:pPr>
      <w:r>
        <w:rPr>
          <w:rFonts w:hint="eastAsia" w:ascii="宋体" w:hAnsi="宋体" w:eastAsia="宋体" w:cs="宋体"/>
          <w:b w:val="0"/>
          <w:bCs w:val="0"/>
          <w:w w:val="100"/>
          <w:sz w:val="36"/>
          <w:szCs w:val="36"/>
        </w:rPr>
        <w:t>通</w:t>
      </w:r>
      <w:r>
        <w:rPr>
          <w:rFonts w:hint="eastAsia" w:ascii="宋体" w:hAnsi="宋体" w:eastAsia="宋体" w:cs="宋体"/>
          <w:b w:val="0"/>
          <w:bCs w:val="0"/>
          <w:w w:val="100"/>
          <w:sz w:val="36"/>
          <w:szCs w:val="36"/>
          <w:lang w:val="en-US" w:eastAsia="zh-CN"/>
        </w:rPr>
        <w:t xml:space="preserve">   </w:t>
      </w:r>
      <w:r>
        <w:rPr>
          <w:rFonts w:hint="eastAsia" w:ascii="宋体" w:hAnsi="宋体" w:eastAsia="宋体" w:cs="宋体"/>
          <w:b w:val="0"/>
          <w:bCs w:val="0"/>
          <w:w w:val="100"/>
          <w:sz w:val="36"/>
          <w:szCs w:val="36"/>
        </w:rPr>
        <w:t>知</w:t>
      </w:r>
    </w:p>
    <w:p>
      <w:pPr>
        <w:keepNext w:val="0"/>
        <w:keepLines w:val="0"/>
        <w:pageBreakBefore w:val="0"/>
        <w:widowControl w:val="0"/>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default" w:ascii="Times New Roman" w:hAnsi="Times New Roman" w:eastAsia="宋体" w:cs="Times New Roman"/>
          <w:bCs/>
          <w:color w:val="000000"/>
          <w:sz w:val="21"/>
          <w:szCs w:val="21"/>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魏政办</w:t>
      </w:r>
      <w:r>
        <w:rPr>
          <w:rFonts w:hint="default" w:ascii="Times New Roman" w:hAnsi="Times New Roman" w:eastAsia="宋体" w:cs="Times New Roman"/>
          <w:bCs/>
          <w:color w:val="000000"/>
          <w:sz w:val="21"/>
          <w:szCs w:val="21"/>
          <w:lang w:eastAsia="zh-CN"/>
        </w:rPr>
        <w:t>字</w:t>
      </w:r>
      <w:r>
        <w:rPr>
          <w:rFonts w:hint="default" w:ascii="Times New Roman" w:hAnsi="Times New Roman" w:eastAsia="宋体" w:cs="Times New Roman"/>
          <w:bCs/>
          <w:color w:val="000000"/>
          <w:sz w:val="21"/>
          <w:szCs w:val="21"/>
        </w:rPr>
        <w:t>〔20</w:t>
      </w:r>
      <w:r>
        <w:rPr>
          <w:rFonts w:hint="default" w:ascii="Times New Roman" w:hAnsi="Times New Roman" w:eastAsia="宋体" w:cs="Times New Roman"/>
          <w:bCs/>
          <w:color w:val="000000"/>
          <w:sz w:val="21"/>
          <w:szCs w:val="21"/>
          <w:lang w:val="en-US" w:eastAsia="zh-CN"/>
        </w:rPr>
        <w:t>20</w:t>
      </w:r>
      <w:r>
        <w:rPr>
          <w:rFonts w:hint="default" w:ascii="Times New Roman" w:hAnsi="Times New Roman" w:eastAsia="宋体" w:cs="Times New Roman"/>
          <w:bCs/>
          <w:color w:val="000000"/>
          <w:sz w:val="21"/>
          <w:szCs w:val="21"/>
        </w:rPr>
        <w:t>〕</w:t>
      </w:r>
      <w:r>
        <w:rPr>
          <w:rFonts w:hint="default" w:ascii="Times New Roman" w:hAnsi="Times New Roman" w:eastAsia="宋体" w:cs="Times New Roman"/>
          <w:bCs/>
          <w:color w:val="000000"/>
          <w:sz w:val="21"/>
          <w:szCs w:val="21"/>
          <w:lang w:val="en-US" w:eastAsia="zh-CN"/>
        </w:rPr>
        <w:t>33</w:t>
      </w:r>
      <w:r>
        <w:rPr>
          <w:rFonts w:hint="default" w:ascii="Times New Roman" w:hAnsi="Times New Roman" w:eastAsia="宋体" w:cs="Times New Roman"/>
          <w:bCs/>
          <w:color w:val="000000"/>
          <w:sz w:val="21"/>
          <w:szCs w:val="21"/>
        </w:rPr>
        <w:t>号</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eastAsia="宋体" w:cs="Times New Roman"/>
          <w:bCs/>
          <w:color w:val="000000"/>
          <w:sz w:val="21"/>
          <w:szCs w:val="21"/>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eastAsia="宋体" w:cs="Times New Roman"/>
          <w:sz w:val="21"/>
          <w:szCs w:val="21"/>
        </w:rPr>
        <w:sectPr>
          <w:type w:val="continuous"/>
          <w:pgSz w:w="11906" w:h="16838"/>
          <w:pgMar w:top="2268" w:right="1417" w:bottom="1984" w:left="1417" w:header="851" w:footer="1474"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各乡镇政府、街道办，县对口各单位，县政府各部门：</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default" w:ascii="Times New Roman" w:hAnsi="Times New Roman" w:eastAsia="宋体" w:cs="Times New Roman"/>
          <w:b w:val="0"/>
          <w:bCs w:val="0"/>
          <w:w w:val="100"/>
          <w:sz w:val="21"/>
          <w:szCs w:val="21"/>
          <w:lang w:val="en-US" w:eastAsia="zh-CN"/>
        </w:rPr>
      </w:pPr>
      <w:r>
        <w:rPr>
          <w:rFonts w:hint="default" w:ascii="Times New Roman" w:hAnsi="Times New Roman" w:eastAsia="宋体" w:cs="Times New Roman"/>
          <w:b w:val="0"/>
          <w:bCs w:val="0"/>
          <w:w w:val="100"/>
          <w:sz w:val="21"/>
          <w:szCs w:val="21"/>
          <w:lang w:val="en-US" w:eastAsia="zh-CN"/>
        </w:rPr>
        <w:t>为认真贯彻落实《国务院关于取消和下放一批行政许可事项的决定》（国发〔2020〕13号）《河北省人民政府办公厅关于衔接落实国务院取消和下放一批行政许可事项的通知》（冀政办发〔2020〕7号）和《邯郸市人民政府办公室关于衔接落实国务院取消和下放一批行政许可事项的通知》（邯政办规〔2020〕12号）精神，结合我县实际，经县政府研究决定，对应国务院取消的29项行政许可事项（省衔接取消17项、市衔接取消6项），我县衔接取消3项。为确保取消事项全部落实到位，现将有关事宜通知如下：</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default" w:ascii="Times New Roman" w:hAnsi="Times New Roman" w:eastAsia="宋体" w:cs="Times New Roman"/>
          <w:b w:val="0"/>
          <w:bCs w:val="0"/>
          <w:w w:val="100"/>
          <w:sz w:val="21"/>
          <w:szCs w:val="21"/>
          <w:lang w:val="en-US" w:eastAsia="zh-CN"/>
        </w:rPr>
      </w:pPr>
      <w:r>
        <w:rPr>
          <w:rFonts w:hint="default" w:ascii="Times New Roman" w:hAnsi="Times New Roman" w:eastAsia="宋体" w:cs="Times New Roman"/>
          <w:b w:val="0"/>
          <w:bCs w:val="0"/>
          <w:w w:val="100"/>
          <w:sz w:val="21"/>
          <w:szCs w:val="21"/>
          <w:lang w:val="en-US" w:eastAsia="zh-CN"/>
        </w:rPr>
        <w:t>一、严格衔接工作要求。对取消的行政许可事项，有关部门要立即停止审批，不得拆分、合并或重组以新的名义、条目变相审批。取消事项涉及调整地方性法规、政府规章和规范性文件的，各有关部门要及时研究，按照规定程序修订或废止。</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default" w:ascii="Times New Roman" w:hAnsi="Times New Roman" w:eastAsia="宋体" w:cs="Times New Roman"/>
          <w:b w:val="0"/>
          <w:bCs w:val="0"/>
          <w:w w:val="100"/>
          <w:sz w:val="21"/>
          <w:szCs w:val="21"/>
          <w:lang w:val="en-US" w:eastAsia="zh-CN"/>
        </w:rPr>
      </w:pPr>
      <w:r>
        <w:rPr>
          <w:rFonts w:hint="default" w:ascii="Times New Roman" w:hAnsi="Times New Roman" w:eastAsia="宋体" w:cs="Times New Roman"/>
          <w:b w:val="0"/>
          <w:bCs w:val="0"/>
          <w:w w:val="100"/>
          <w:sz w:val="21"/>
          <w:szCs w:val="21"/>
          <w:lang w:val="en-US" w:eastAsia="zh-CN"/>
        </w:rPr>
        <w:t>二、更新完善事项公开。对取消的行政许可事项，县直有关部门要在河北省政务服务事项管理平台上进行更新完善；对赋权委托乡镇办理的取消行政许可事项（乡村兽医登记许可），各乡镇要立即同步取消、更新公示。</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default" w:ascii="Times New Roman" w:hAnsi="Times New Roman" w:eastAsia="宋体" w:cs="Times New Roman"/>
          <w:b w:val="0"/>
          <w:bCs w:val="0"/>
          <w:w w:val="100"/>
          <w:sz w:val="21"/>
          <w:szCs w:val="21"/>
          <w:lang w:val="en-US" w:eastAsia="zh-CN"/>
        </w:rPr>
      </w:pPr>
      <w:r>
        <w:rPr>
          <w:rFonts w:hint="default" w:ascii="Times New Roman" w:hAnsi="Times New Roman" w:eastAsia="宋体" w:cs="Times New Roman"/>
          <w:b w:val="0"/>
          <w:bCs w:val="0"/>
          <w:w w:val="100"/>
          <w:sz w:val="21"/>
          <w:szCs w:val="21"/>
          <w:lang w:val="en-US" w:eastAsia="zh-CN"/>
        </w:rPr>
        <w:t>三、强化事中事后监管。各监管部门要尽快制定事中事后监管具体措施，强化监管主体责任，与审批部门建立信息双向反馈机制，确保审批、监管无缝衔接。</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576"/>
        <w:jc w:val="both"/>
        <w:textAlignment w:val="auto"/>
        <w:outlineLvl w:val="9"/>
        <w:rPr>
          <w:rFonts w:hint="default" w:ascii="Times New Roman" w:hAnsi="Times New Roman" w:eastAsia="宋体" w:cs="Times New Roman"/>
          <w:b w:val="0"/>
          <w:bCs w:val="0"/>
          <w:w w:val="100"/>
          <w:sz w:val="21"/>
          <w:szCs w:val="21"/>
          <w:lang w:val="en-US" w:eastAsia="zh-CN"/>
        </w:rPr>
      </w:pPr>
      <w:r>
        <w:rPr>
          <w:rFonts w:hint="default" w:ascii="Times New Roman" w:hAnsi="Times New Roman" w:eastAsia="宋体" w:cs="Times New Roman"/>
          <w:b w:val="0"/>
          <w:bCs w:val="0"/>
          <w:w w:val="100"/>
          <w:sz w:val="21"/>
          <w:szCs w:val="21"/>
          <w:lang w:val="en-US" w:eastAsia="zh-CN"/>
        </w:rPr>
        <w:t>附件：魏县衔接国务院取消的行政许可事项目录（共3项）</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576"/>
        <w:jc w:val="both"/>
        <w:textAlignment w:val="auto"/>
        <w:outlineLvl w:val="9"/>
        <w:rPr>
          <w:rFonts w:hint="default" w:ascii="Times New Roman" w:hAnsi="Times New Roman" w:eastAsia="宋体" w:cs="Times New Roman"/>
          <w:b w:val="0"/>
          <w:bCs w:val="0"/>
          <w:w w:val="100"/>
          <w:sz w:val="21"/>
          <w:szCs w:val="21"/>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380" w:lineRule="exact"/>
        <w:ind w:left="0" w:leftChars="0" w:right="0" w:rightChars="0" w:firstLine="576"/>
        <w:jc w:val="center"/>
        <w:textAlignment w:val="auto"/>
        <w:outlineLvl w:val="9"/>
        <w:rPr>
          <w:rFonts w:hint="default" w:ascii="Times New Roman" w:hAnsi="Times New Roman" w:eastAsia="宋体" w:cs="Times New Roman"/>
          <w:b w:val="0"/>
          <w:bCs w:val="0"/>
          <w:w w:val="100"/>
          <w:sz w:val="21"/>
          <w:szCs w:val="21"/>
          <w:lang w:val="en-US" w:eastAsia="zh-CN"/>
        </w:rPr>
      </w:pPr>
      <w:r>
        <w:rPr>
          <w:rFonts w:hint="default" w:ascii="Times New Roman" w:hAnsi="Times New Roman" w:eastAsia="宋体" w:cs="Times New Roman"/>
          <w:b w:val="0"/>
          <w:bCs w:val="0"/>
          <w:w w:val="100"/>
          <w:sz w:val="21"/>
          <w:szCs w:val="21"/>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380" w:lineRule="exact"/>
        <w:ind w:left="0" w:leftChars="0" w:right="0" w:rightChars="0" w:firstLine="576"/>
        <w:jc w:val="center"/>
        <w:textAlignment w:val="auto"/>
        <w:outlineLvl w:val="9"/>
        <w:rPr>
          <w:rFonts w:hint="default" w:ascii="Times New Roman" w:hAnsi="Times New Roman" w:eastAsia="宋体" w:cs="Times New Roman"/>
          <w:b w:val="0"/>
          <w:bCs w:val="0"/>
          <w:w w:val="100"/>
          <w:sz w:val="21"/>
          <w:szCs w:val="21"/>
          <w:lang w:val="en-US" w:eastAsia="zh-CN"/>
        </w:rPr>
      </w:pPr>
      <w:r>
        <w:rPr>
          <w:rFonts w:hint="eastAsia" w:ascii="Times New Roman" w:hAnsi="Times New Roman" w:cs="Times New Roman"/>
          <w:b w:val="0"/>
          <w:bCs w:val="0"/>
          <w:w w:val="100"/>
          <w:sz w:val="21"/>
          <w:szCs w:val="21"/>
          <w:lang w:val="en-US" w:eastAsia="zh-CN"/>
        </w:rPr>
        <w:t xml:space="preserve">         </w:t>
      </w:r>
      <w:r>
        <w:rPr>
          <w:rFonts w:hint="default" w:ascii="Times New Roman" w:hAnsi="Times New Roman" w:eastAsia="宋体" w:cs="Times New Roman"/>
          <w:b w:val="0"/>
          <w:bCs w:val="0"/>
          <w:w w:val="100"/>
          <w:sz w:val="21"/>
          <w:szCs w:val="21"/>
          <w:lang w:val="en-US" w:eastAsia="zh-CN"/>
        </w:rPr>
        <w:t xml:space="preserve">魏县人民政府办公室    </w:t>
      </w:r>
    </w:p>
    <w:p>
      <w:pPr>
        <w:keepNext w:val="0"/>
        <w:keepLines w:val="0"/>
        <w:pageBreakBefore w:val="0"/>
        <w:widowControl w:val="0"/>
        <w:numPr>
          <w:ilvl w:val="0"/>
          <w:numId w:val="0"/>
        </w:numPr>
        <w:kinsoku/>
        <w:wordWrap w:val="0"/>
        <w:overflowPunct/>
        <w:topLinePunct w:val="0"/>
        <w:autoSpaceDE/>
        <w:autoSpaceDN/>
        <w:bidi w:val="0"/>
        <w:adjustRightInd/>
        <w:snapToGrid/>
        <w:spacing w:line="380" w:lineRule="exact"/>
        <w:ind w:left="0" w:leftChars="0" w:right="0" w:rightChars="0" w:firstLine="576"/>
        <w:jc w:val="center"/>
        <w:textAlignment w:val="auto"/>
        <w:outlineLvl w:val="9"/>
        <w:rPr>
          <w:rFonts w:hint="default" w:ascii="Times New Roman" w:hAnsi="Times New Roman" w:eastAsia="宋体" w:cs="Times New Roman"/>
          <w:b w:val="0"/>
          <w:bCs w:val="0"/>
          <w:w w:val="90"/>
          <w:sz w:val="21"/>
          <w:szCs w:val="21"/>
          <w:lang w:val="en-US" w:eastAsia="zh-CN"/>
        </w:rPr>
      </w:pPr>
      <w:r>
        <w:rPr>
          <w:rFonts w:hint="eastAsia" w:ascii="Times New Roman" w:hAnsi="Times New Roman" w:cs="Times New Roman"/>
          <w:b w:val="0"/>
          <w:bCs w:val="0"/>
          <w:w w:val="100"/>
          <w:sz w:val="21"/>
          <w:szCs w:val="21"/>
          <w:lang w:val="en-US" w:eastAsia="zh-CN"/>
        </w:rPr>
        <w:t xml:space="preserve">          </w:t>
      </w:r>
      <w:r>
        <w:rPr>
          <w:rFonts w:hint="default" w:ascii="Times New Roman" w:hAnsi="Times New Roman" w:eastAsia="宋体" w:cs="Times New Roman"/>
          <w:b w:val="0"/>
          <w:bCs w:val="0"/>
          <w:w w:val="100"/>
          <w:sz w:val="21"/>
          <w:szCs w:val="21"/>
          <w:lang w:val="en-US" w:eastAsia="zh-CN"/>
        </w:rPr>
        <w:t xml:space="preserve">2020年11月18日 </w:t>
      </w:r>
      <w:r>
        <w:rPr>
          <w:rFonts w:hint="default" w:ascii="Times New Roman" w:hAnsi="Times New Roman" w:eastAsia="宋体" w:cs="Times New Roman"/>
          <w:b w:val="0"/>
          <w:bCs w:val="0"/>
          <w:w w:val="90"/>
          <w:sz w:val="21"/>
          <w:szCs w:val="21"/>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380" w:lineRule="exact"/>
        <w:ind w:right="0" w:rightChars="0"/>
        <w:jc w:val="both"/>
        <w:textAlignment w:val="auto"/>
        <w:outlineLvl w:val="9"/>
        <w:rPr>
          <w:rFonts w:hint="default" w:ascii="Times New Roman" w:hAnsi="Times New Roman" w:eastAsia="宋体" w:cs="Times New Roman"/>
          <w:b w:val="0"/>
          <w:bCs w:val="0"/>
          <w:w w:val="90"/>
          <w:sz w:val="21"/>
          <w:szCs w:val="21"/>
          <w:lang w:val="en-US" w:eastAsia="zh-CN"/>
        </w:rPr>
        <w:sectPr>
          <w:type w:val="continuous"/>
          <w:pgSz w:w="11906" w:h="16838"/>
          <w:pgMar w:top="2268" w:right="1417" w:bottom="1984" w:left="1417" w:header="851" w:footer="1474" w:gutter="0"/>
          <w:pgNumType w:fmt="numberInDash"/>
          <w:cols w:equalWidth="0" w:num="2">
            <w:col w:w="4323" w:space="425"/>
            <w:col w:w="4323"/>
          </w:cols>
          <w:rtlGutter w:val="0"/>
          <w:docGrid w:type="lines" w:linePitch="312" w:charSpace="0"/>
        </w:sectPr>
      </w:pP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附件</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b/>
          <w:bCs/>
          <w:sz w:val="28"/>
          <w:szCs w:val="28"/>
          <w:lang w:eastAsia="zh-CN"/>
        </w:rPr>
      </w:pPr>
      <w:r>
        <w:rPr>
          <w:rFonts w:hint="eastAsia" w:ascii="宋体" w:hAnsi="宋体" w:eastAsia="宋体" w:cs="宋体"/>
          <w:b w:val="0"/>
          <w:bCs w:val="0"/>
          <w:sz w:val="28"/>
          <w:szCs w:val="28"/>
          <w:lang w:eastAsia="zh-CN"/>
        </w:rPr>
        <w:t>魏县衔接国务院取消的行政许可事项目录</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宋体" w:cs="Times New Roman"/>
          <w:b w:val="0"/>
          <w:bCs w:val="0"/>
          <w:w w:val="98"/>
          <w:sz w:val="21"/>
          <w:szCs w:val="21"/>
          <w:lang w:eastAsia="zh-CN"/>
        </w:rPr>
      </w:pPr>
      <w:r>
        <w:rPr>
          <w:rFonts w:hint="default" w:ascii="Times New Roman" w:hAnsi="Times New Roman" w:eastAsia="宋体" w:cs="Times New Roman"/>
          <w:b w:val="0"/>
          <w:bCs w:val="0"/>
          <w:w w:val="98"/>
          <w:sz w:val="21"/>
          <w:szCs w:val="21"/>
          <w:lang w:eastAsia="zh-CN"/>
        </w:rPr>
        <w:t>（共</w:t>
      </w:r>
      <w:r>
        <w:rPr>
          <w:rFonts w:hint="default" w:ascii="Times New Roman" w:hAnsi="Times New Roman" w:eastAsia="宋体" w:cs="Times New Roman"/>
          <w:b w:val="0"/>
          <w:bCs w:val="0"/>
          <w:w w:val="98"/>
          <w:sz w:val="21"/>
          <w:szCs w:val="21"/>
          <w:lang w:val="en-US" w:eastAsia="zh-CN"/>
        </w:rPr>
        <w:t>3项</w:t>
      </w:r>
      <w:r>
        <w:rPr>
          <w:rFonts w:hint="default" w:ascii="Times New Roman" w:hAnsi="Times New Roman" w:eastAsia="宋体" w:cs="Times New Roman"/>
          <w:b w:val="0"/>
          <w:bCs w:val="0"/>
          <w:w w:val="98"/>
          <w:sz w:val="21"/>
          <w:szCs w:val="21"/>
          <w:lang w:eastAsia="zh-CN"/>
        </w:rPr>
        <w:t>）</w:t>
      </w:r>
    </w:p>
    <w:tbl>
      <w:tblPr>
        <w:tblStyle w:val="7"/>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1287"/>
        <w:gridCol w:w="1413"/>
        <w:gridCol w:w="1900"/>
        <w:gridCol w:w="3582"/>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358"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w w:val="98"/>
                <w:sz w:val="18"/>
                <w:szCs w:val="18"/>
                <w:vertAlign w:val="baseline"/>
                <w:lang w:eastAsia="zh-CN"/>
              </w:rPr>
            </w:pPr>
            <w:r>
              <w:rPr>
                <w:rFonts w:hint="default" w:ascii="Times New Roman" w:hAnsi="Times New Roman" w:eastAsia="宋体" w:cs="Times New Roman"/>
                <w:b w:val="0"/>
                <w:bCs w:val="0"/>
                <w:w w:val="98"/>
                <w:sz w:val="18"/>
                <w:szCs w:val="18"/>
                <w:vertAlign w:val="baseline"/>
                <w:lang w:eastAsia="zh-CN"/>
              </w:rPr>
              <w:t>序号</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w w:val="98"/>
                <w:sz w:val="18"/>
                <w:szCs w:val="18"/>
                <w:vertAlign w:val="baseline"/>
                <w:lang w:eastAsia="zh-CN"/>
              </w:rPr>
            </w:pPr>
            <w:r>
              <w:rPr>
                <w:rFonts w:hint="default" w:ascii="Times New Roman" w:hAnsi="Times New Roman" w:eastAsia="宋体" w:cs="Times New Roman"/>
                <w:b w:val="0"/>
                <w:bCs w:val="0"/>
                <w:w w:val="98"/>
                <w:sz w:val="18"/>
                <w:szCs w:val="18"/>
                <w:vertAlign w:val="baseline"/>
                <w:lang w:eastAsia="zh-CN"/>
              </w:rPr>
              <w:t>项目名称</w:t>
            </w:r>
          </w:p>
        </w:tc>
        <w:tc>
          <w:tcPr>
            <w:tcW w:w="141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w w:val="98"/>
                <w:sz w:val="18"/>
                <w:szCs w:val="18"/>
                <w:vertAlign w:val="baseline"/>
                <w:lang w:eastAsia="zh-CN"/>
              </w:rPr>
            </w:pPr>
            <w:r>
              <w:rPr>
                <w:rFonts w:hint="default" w:ascii="Times New Roman" w:hAnsi="Times New Roman" w:eastAsia="宋体" w:cs="Times New Roman"/>
                <w:b w:val="0"/>
                <w:bCs w:val="0"/>
                <w:w w:val="98"/>
                <w:sz w:val="18"/>
                <w:szCs w:val="18"/>
                <w:vertAlign w:val="baseline"/>
                <w:lang w:eastAsia="zh-CN"/>
              </w:rPr>
              <w:t>审批部门</w:t>
            </w:r>
          </w:p>
        </w:tc>
        <w:tc>
          <w:tcPr>
            <w:tcW w:w="190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w w:val="98"/>
                <w:sz w:val="18"/>
                <w:szCs w:val="18"/>
                <w:vertAlign w:val="baseline"/>
                <w:lang w:eastAsia="zh-CN"/>
              </w:rPr>
            </w:pPr>
            <w:r>
              <w:rPr>
                <w:rFonts w:hint="default" w:ascii="Times New Roman" w:hAnsi="Times New Roman" w:eastAsia="宋体" w:cs="Times New Roman"/>
                <w:b w:val="0"/>
                <w:bCs w:val="0"/>
                <w:w w:val="98"/>
                <w:sz w:val="18"/>
                <w:szCs w:val="18"/>
                <w:vertAlign w:val="baseline"/>
                <w:lang w:eastAsia="zh-CN"/>
              </w:rPr>
              <w:t>设定依据</w:t>
            </w:r>
          </w:p>
        </w:tc>
        <w:tc>
          <w:tcPr>
            <w:tcW w:w="358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w w:val="98"/>
                <w:sz w:val="18"/>
                <w:szCs w:val="18"/>
                <w:vertAlign w:val="baseline"/>
                <w:lang w:eastAsia="zh-CN"/>
              </w:rPr>
            </w:pPr>
            <w:r>
              <w:rPr>
                <w:rFonts w:hint="default" w:ascii="Times New Roman" w:hAnsi="Times New Roman" w:eastAsia="宋体" w:cs="Times New Roman"/>
                <w:b w:val="0"/>
                <w:bCs w:val="0"/>
                <w:w w:val="98"/>
                <w:sz w:val="18"/>
                <w:szCs w:val="18"/>
                <w:vertAlign w:val="baseline"/>
                <w:lang w:eastAsia="zh-CN"/>
              </w:rPr>
              <w:t>加强事中事后监管</w:t>
            </w:r>
          </w:p>
        </w:tc>
        <w:tc>
          <w:tcPr>
            <w:tcW w:w="748"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w w:val="98"/>
                <w:sz w:val="18"/>
                <w:szCs w:val="18"/>
                <w:vertAlign w:val="baseline"/>
                <w:lang w:eastAsia="zh-CN"/>
              </w:rPr>
            </w:pPr>
            <w:r>
              <w:rPr>
                <w:rFonts w:hint="default" w:ascii="Times New Roman" w:hAnsi="Times New Roman" w:eastAsia="宋体" w:cs="Times New Roman"/>
                <w:b w:val="0"/>
                <w:bCs w:val="0"/>
                <w:w w:val="98"/>
                <w:sz w:val="18"/>
                <w:szCs w:val="1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65" w:hRule="atLeast"/>
          <w:jc w:val="center"/>
        </w:trPr>
        <w:tc>
          <w:tcPr>
            <w:tcW w:w="358"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w w:val="98"/>
                <w:sz w:val="18"/>
                <w:szCs w:val="18"/>
                <w:vertAlign w:val="baseline"/>
                <w:lang w:val="en-US" w:eastAsia="zh-CN"/>
              </w:rPr>
            </w:pPr>
            <w:r>
              <w:rPr>
                <w:rFonts w:hint="default" w:ascii="Times New Roman" w:hAnsi="Times New Roman" w:eastAsia="宋体" w:cs="Times New Roman"/>
                <w:b w:val="0"/>
                <w:bCs w:val="0"/>
                <w:w w:val="98"/>
                <w:sz w:val="18"/>
                <w:szCs w:val="18"/>
                <w:vertAlign w:val="baseline"/>
                <w:lang w:val="en-US" w:eastAsia="zh-CN"/>
              </w:rPr>
              <w:t>1</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w w:val="98"/>
                <w:sz w:val="18"/>
                <w:szCs w:val="18"/>
                <w:vertAlign w:val="baseline"/>
                <w:lang w:eastAsia="zh-CN"/>
              </w:rPr>
            </w:pPr>
            <w:r>
              <w:rPr>
                <w:rFonts w:hint="default" w:ascii="Times New Roman" w:hAnsi="Times New Roman" w:eastAsia="宋体" w:cs="Times New Roman"/>
                <w:b w:val="0"/>
                <w:bCs w:val="0"/>
                <w:w w:val="98"/>
                <w:sz w:val="18"/>
                <w:szCs w:val="18"/>
                <w:vertAlign w:val="baseline"/>
                <w:lang w:eastAsia="zh-CN"/>
              </w:rPr>
              <w:t>典当业特种行业许可证核发</w:t>
            </w:r>
          </w:p>
        </w:tc>
        <w:tc>
          <w:tcPr>
            <w:tcW w:w="141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w w:val="98"/>
                <w:sz w:val="18"/>
                <w:szCs w:val="18"/>
                <w:vertAlign w:val="baseline"/>
                <w:lang w:eastAsia="zh-CN"/>
              </w:rPr>
            </w:pPr>
            <w:r>
              <w:rPr>
                <w:rFonts w:hint="default" w:ascii="Times New Roman" w:hAnsi="Times New Roman" w:eastAsia="宋体" w:cs="Times New Roman"/>
                <w:b w:val="0"/>
                <w:bCs w:val="0"/>
                <w:w w:val="98"/>
                <w:sz w:val="18"/>
                <w:szCs w:val="18"/>
                <w:vertAlign w:val="baseline"/>
                <w:lang w:eastAsia="zh-CN"/>
              </w:rPr>
              <w:t>县公安局</w:t>
            </w:r>
          </w:p>
        </w:tc>
        <w:tc>
          <w:tcPr>
            <w:tcW w:w="190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b w:val="0"/>
                <w:bCs w:val="0"/>
                <w:w w:val="98"/>
                <w:sz w:val="18"/>
                <w:szCs w:val="18"/>
                <w:vertAlign w:val="baseline"/>
                <w:lang w:eastAsia="zh-CN"/>
              </w:rPr>
            </w:pPr>
            <w:r>
              <w:rPr>
                <w:rFonts w:hint="default" w:ascii="Times New Roman" w:hAnsi="Times New Roman" w:eastAsia="宋体" w:cs="Times New Roman"/>
                <w:b w:val="0"/>
                <w:bCs w:val="0"/>
                <w:w w:val="98"/>
                <w:sz w:val="18"/>
                <w:szCs w:val="18"/>
                <w:vertAlign w:val="baseline"/>
                <w:lang w:eastAsia="zh-CN"/>
              </w:rPr>
              <w:t>《国务院对确需保留的行政审批项目设定行政许可的决定》《关于深化娱乐服务场所和特种行业治安管理改革进一步依法加强事中事后监管的工作意见》（公治〔2017〕529号</w:t>
            </w:r>
          </w:p>
        </w:tc>
        <w:tc>
          <w:tcPr>
            <w:tcW w:w="358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b w:val="0"/>
                <w:bCs w:val="0"/>
                <w:w w:val="98"/>
                <w:sz w:val="18"/>
                <w:szCs w:val="18"/>
                <w:vertAlign w:val="baseline"/>
                <w:lang w:eastAsia="zh-CN"/>
              </w:rPr>
            </w:pPr>
            <w:r>
              <w:rPr>
                <w:rFonts w:hint="default" w:ascii="Times New Roman" w:hAnsi="Times New Roman" w:eastAsia="宋体" w:cs="Times New Roman"/>
                <w:b w:val="0"/>
                <w:bCs w:val="0"/>
                <w:w w:val="98"/>
                <w:sz w:val="18"/>
                <w:szCs w:val="18"/>
                <w:vertAlign w:val="baseline"/>
                <w:lang w:eastAsia="zh-CN"/>
              </w:rPr>
              <w:t>取消许可后，公安机关要通过以下措施加强监管：</w:t>
            </w:r>
          </w:p>
          <w:p>
            <w:pPr>
              <w:keepNext w:val="0"/>
              <w:keepLines w:val="0"/>
              <w:pageBreakBefore w:val="0"/>
              <w:widowControl w:val="0"/>
              <w:numPr>
                <w:ilvl w:val="0"/>
                <w:numId w:val="3"/>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b w:val="0"/>
                <w:bCs w:val="0"/>
                <w:w w:val="98"/>
                <w:sz w:val="18"/>
                <w:szCs w:val="18"/>
                <w:vertAlign w:val="baseline"/>
                <w:lang w:eastAsia="zh-CN"/>
              </w:rPr>
            </w:pPr>
            <w:r>
              <w:rPr>
                <w:rFonts w:hint="default" w:ascii="Times New Roman" w:hAnsi="Times New Roman" w:eastAsia="宋体" w:cs="Times New Roman"/>
                <w:b w:val="0"/>
                <w:bCs w:val="0"/>
                <w:w w:val="98"/>
                <w:sz w:val="18"/>
                <w:szCs w:val="18"/>
                <w:vertAlign w:val="baseline"/>
                <w:lang w:eastAsia="zh-CN"/>
              </w:rPr>
              <w:t>公安机关与商务、金融监管部门加强信息共享，及时获取“设立典当行及分支机构审批”(含设立、变更、注销)信息，做好信息备案，依法实施监管。</w:t>
            </w:r>
          </w:p>
          <w:p>
            <w:pPr>
              <w:keepNext w:val="0"/>
              <w:keepLines w:val="0"/>
              <w:pageBreakBefore w:val="0"/>
              <w:widowControl w:val="0"/>
              <w:numPr>
                <w:ilvl w:val="0"/>
                <w:numId w:val="3"/>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b w:val="0"/>
                <w:bCs w:val="0"/>
                <w:w w:val="98"/>
                <w:sz w:val="18"/>
                <w:szCs w:val="18"/>
                <w:vertAlign w:val="baseline"/>
                <w:lang w:eastAsia="zh-CN"/>
              </w:rPr>
            </w:pPr>
            <w:r>
              <w:rPr>
                <w:rFonts w:hint="default" w:ascii="Times New Roman" w:hAnsi="Times New Roman" w:eastAsia="宋体" w:cs="Times New Roman"/>
                <w:b w:val="0"/>
                <w:bCs w:val="0"/>
                <w:w w:val="98"/>
                <w:sz w:val="18"/>
                <w:szCs w:val="18"/>
                <w:vertAlign w:val="baseline"/>
                <w:lang w:eastAsia="zh-CN"/>
              </w:rPr>
              <w:t>通过“双随机、一公开”监管等方式，加强对典当行的治安管理，及时化解风险隐患，发现违法犯罪活动依法查处。</w:t>
            </w:r>
          </w:p>
        </w:tc>
        <w:tc>
          <w:tcPr>
            <w:tcW w:w="748"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w w:val="98"/>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2" w:hRule="atLeast"/>
          <w:jc w:val="center"/>
        </w:trPr>
        <w:tc>
          <w:tcPr>
            <w:tcW w:w="358"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w w:val="98"/>
                <w:sz w:val="18"/>
                <w:szCs w:val="18"/>
                <w:vertAlign w:val="baseline"/>
                <w:lang w:val="en-US" w:eastAsia="zh-CN"/>
              </w:rPr>
            </w:pPr>
            <w:r>
              <w:rPr>
                <w:rFonts w:hint="default" w:ascii="Times New Roman" w:hAnsi="Times New Roman" w:eastAsia="宋体" w:cs="Times New Roman"/>
                <w:b w:val="0"/>
                <w:bCs w:val="0"/>
                <w:w w:val="98"/>
                <w:sz w:val="18"/>
                <w:szCs w:val="18"/>
                <w:vertAlign w:val="baseline"/>
                <w:lang w:val="en-US" w:eastAsia="zh-CN"/>
              </w:rPr>
              <w:t>2</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w w:val="98"/>
                <w:sz w:val="18"/>
                <w:szCs w:val="18"/>
                <w:vertAlign w:val="baseline"/>
                <w:lang w:eastAsia="zh-CN"/>
              </w:rPr>
            </w:pPr>
            <w:r>
              <w:rPr>
                <w:rFonts w:hint="default" w:ascii="Times New Roman" w:hAnsi="Times New Roman" w:eastAsia="宋体" w:cs="Times New Roman"/>
                <w:b w:val="0"/>
                <w:bCs w:val="0"/>
                <w:w w:val="98"/>
                <w:sz w:val="18"/>
                <w:szCs w:val="18"/>
                <w:vertAlign w:val="baseline"/>
                <w:lang w:eastAsia="zh-CN"/>
              </w:rPr>
              <w:t>乡村兽医登记许可</w:t>
            </w:r>
          </w:p>
        </w:tc>
        <w:tc>
          <w:tcPr>
            <w:tcW w:w="141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w w:val="98"/>
                <w:sz w:val="18"/>
                <w:szCs w:val="18"/>
                <w:vertAlign w:val="baseline"/>
                <w:lang w:eastAsia="zh-CN"/>
              </w:rPr>
            </w:pPr>
            <w:r>
              <w:rPr>
                <w:rFonts w:hint="default" w:ascii="Times New Roman" w:hAnsi="Times New Roman" w:eastAsia="宋体" w:cs="Times New Roman"/>
                <w:b w:val="0"/>
                <w:bCs w:val="0"/>
                <w:w w:val="98"/>
                <w:sz w:val="18"/>
                <w:szCs w:val="18"/>
                <w:vertAlign w:val="baseline"/>
                <w:lang w:eastAsia="zh-CN"/>
              </w:rPr>
              <w:t>县行政</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w w:val="98"/>
                <w:sz w:val="18"/>
                <w:szCs w:val="18"/>
                <w:vertAlign w:val="baseline"/>
                <w:lang w:eastAsia="zh-CN"/>
              </w:rPr>
            </w:pPr>
            <w:r>
              <w:rPr>
                <w:rFonts w:hint="default" w:ascii="Times New Roman" w:hAnsi="Times New Roman" w:eastAsia="宋体" w:cs="Times New Roman"/>
                <w:b w:val="0"/>
                <w:bCs w:val="0"/>
                <w:w w:val="98"/>
                <w:sz w:val="18"/>
                <w:szCs w:val="18"/>
                <w:vertAlign w:val="baseline"/>
                <w:lang w:eastAsia="zh-CN"/>
              </w:rPr>
              <w:t>审批局</w:t>
            </w:r>
          </w:p>
        </w:tc>
        <w:tc>
          <w:tcPr>
            <w:tcW w:w="190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b w:val="0"/>
                <w:bCs w:val="0"/>
                <w:w w:val="98"/>
                <w:sz w:val="18"/>
                <w:szCs w:val="18"/>
                <w:vertAlign w:val="baseline"/>
                <w:lang w:eastAsia="zh-CN"/>
              </w:rPr>
            </w:pPr>
            <w:r>
              <w:rPr>
                <w:rFonts w:hint="default" w:ascii="Times New Roman" w:hAnsi="Times New Roman" w:eastAsia="宋体" w:cs="Times New Roman"/>
                <w:b w:val="0"/>
                <w:bCs w:val="0"/>
                <w:w w:val="98"/>
                <w:sz w:val="18"/>
                <w:szCs w:val="18"/>
                <w:vertAlign w:val="baseline"/>
                <w:lang w:eastAsia="zh-CN"/>
              </w:rPr>
              <w:t>《中华人民共和国动物防疫法》《乡村兽医管理办法》（原农业部令第17号）</w:t>
            </w:r>
          </w:p>
        </w:tc>
        <w:tc>
          <w:tcPr>
            <w:tcW w:w="3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b w:val="0"/>
                <w:bCs w:val="0"/>
                <w:w w:val="98"/>
                <w:sz w:val="18"/>
                <w:szCs w:val="18"/>
                <w:vertAlign w:val="baseline"/>
                <w:lang w:eastAsia="zh-CN"/>
              </w:rPr>
            </w:pPr>
            <w:r>
              <w:rPr>
                <w:rFonts w:hint="default" w:ascii="Times New Roman" w:hAnsi="Times New Roman" w:eastAsia="宋体" w:cs="Times New Roman"/>
                <w:b w:val="0"/>
                <w:bCs w:val="0"/>
                <w:w w:val="98"/>
                <w:sz w:val="18"/>
                <w:szCs w:val="18"/>
                <w:vertAlign w:val="baseline"/>
                <w:lang w:eastAsia="zh-CN"/>
              </w:rPr>
              <w:t>取消许可后，改为备案。农业农村(兽医)部门要通过以下措施加强监管：</w:t>
            </w:r>
          </w:p>
          <w:p>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b w:val="0"/>
                <w:bCs w:val="0"/>
                <w:w w:val="98"/>
                <w:sz w:val="18"/>
                <w:szCs w:val="18"/>
                <w:vertAlign w:val="baseline"/>
                <w:lang w:eastAsia="zh-CN"/>
              </w:rPr>
            </w:pPr>
            <w:r>
              <w:rPr>
                <w:rFonts w:hint="default" w:ascii="Times New Roman" w:hAnsi="Times New Roman" w:eastAsia="宋体" w:cs="Times New Roman"/>
                <w:b w:val="0"/>
                <w:bCs w:val="0"/>
                <w:w w:val="98"/>
                <w:sz w:val="18"/>
                <w:szCs w:val="18"/>
                <w:vertAlign w:val="baseline"/>
                <w:lang w:eastAsia="zh-CN"/>
              </w:rPr>
              <w:t>建立健全乡村兽医服务人员备案制度，对不按要求备案的依法追究法律责任。</w:t>
            </w:r>
          </w:p>
          <w:p>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b w:val="0"/>
                <w:bCs w:val="0"/>
                <w:w w:val="98"/>
                <w:sz w:val="18"/>
                <w:szCs w:val="18"/>
                <w:vertAlign w:val="baseline"/>
                <w:lang w:eastAsia="zh-CN"/>
              </w:rPr>
            </w:pPr>
            <w:r>
              <w:rPr>
                <w:rFonts w:hint="default" w:ascii="Times New Roman" w:hAnsi="Times New Roman" w:eastAsia="宋体" w:cs="Times New Roman"/>
                <w:b w:val="0"/>
                <w:bCs w:val="0"/>
                <w:w w:val="98"/>
                <w:sz w:val="18"/>
                <w:szCs w:val="18"/>
                <w:vertAlign w:val="baseline"/>
                <w:lang w:eastAsia="zh-CN"/>
              </w:rPr>
              <w:t>向社会公开备案情况，方便查询、就医，并发挥社会监督作用。</w:t>
            </w:r>
          </w:p>
          <w:p>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b w:val="0"/>
                <w:bCs w:val="0"/>
                <w:w w:val="98"/>
                <w:sz w:val="18"/>
                <w:szCs w:val="18"/>
                <w:vertAlign w:val="baseline"/>
                <w:lang w:eastAsia="zh-CN"/>
              </w:rPr>
            </w:pPr>
            <w:r>
              <w:rPr>
                <w:rFonts w:hint="default" w:ascii="Times New Roman" w:hAnsi="Times New Roman" w:eastAsia="宋体" w:cs="Times New Roman"/>
                <w:b w:val="0"/>
                <w:bCs w:val="0"/>
                <w:w w:val="98"/>
                <w:sz w:val="18"/>
                <w:szCs w:val="18"/>
                <w:vertAlign w:val="baseline"/>
                <w:lang w:eastAsia="zh-CN"/>
              </w:rPr>
              <w:t>开展“双随机、一公开”监管，畅通投诉举报渠道，发现违法违规行为依法查处并向社会公开结果</w:t>
            </w:r>
          </w:p>
          <w:p>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b w:val="0"/>
                <w:bCs w:val="0"/>
                <w:w w:val="98"/>
                <w:sz w:val="18"/>
                <w:szCs w:val="18"/>
                <w:vertAlign w:val="baseline"/>
                <w:lang w:eastAsia="zh-CN"/>
              </w:rPr>
            </w:pPr>
            <w:r>
              <w:rPr>
                <w:rFonts w:hint="default" w:ascii="Times New Roman" w:hAnsi="Times New Roman" w:eastAsia="宋体" w:cs="Times New Roman"/>
                <w:b w:val="0"/>
                <w:bCs w:val="0"/>
                <w:w w:val="98"/>
                <w:sz w:val="18"/>
                <w:szCs w:val="18"/>
                <w:vertAlign w:val="baseline"/>
                <w:lang w:eastAsia="zh-CN"/>
              </w:rPr>
              <w:t>依法实施信用监管，如实记录违法失信行为，实施差异化监管等措施。</w:t>
            </w:r>
          </w:p>
        </w:tc>
        <w:tc>
          <w:tcPr>
            <w:tcW w:w="748"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w w:val="98"/>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4" w:hRule="atLeast"/>
          <w:jc w:val="center"/>
        </w:trPr>
        <w:tc>
          <w:tcPr>
            <w:tcW w:w="358"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w w:val="98"/>
                <w:sz w:val="18"/>
                <w:szCs w:val="18"/>
                <w:vertAlign w:val="baseline"/>
                <w:lang w:val="en-US" w:eastAsia="zh-CN"/>
              </w:rPr>
            </w:pPr>
            <w:r>
              <w:rPr>
                <w:rFonts w:hint="default" w:ascii="Times New Roman" w:hAnsi="Times New Roman" w:eastAsia="宋体" w:cs="Times New Roman"/>
                <w:b w:val="0"/>
                <w:bCs w:val="0"/>
                <w:w w:val="98"/>
                <w:sz w:val="18"/>
                <w:szCs w:val="18"/>
                <w:vertAlign w:val="baseline"/>
                <w:lang w:val="en-US" w:eastAsia="zh-CN"/>
              </w:rPr>
              <w:t>3</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b w:val="0"/>
                <w:bCs w:val="0"/>
                <w:w w:val="98"/>
                <w:sz w:val="18"/>
                <w:szCs w:val="18"/>
                <w:vertAlign w:val="baseline"/>
                <w:lang w:eastAsia="zh-CN"/>
              </w:rPr>
            </w:pPr>
            <w:r>
              <w:rPr>
                <w:rFonts w:hint="default" w:ascii="Times New Roman" w:hAnsi="Times New Roman" w:eastAsia="宋体" w:cs="Times New Roman"/>
                <w:b w:val="0"/>
                <w:bCs w:val="0"/>
                <w:w w:val="98"/>
                <w:sz w:val="18"/>
                <w:szCs w:val="18"/>
                <w:vertAlign w:val="baseline"/>
                <w:lang w:eastAsia="zh-CN"/>
              </w:rPr>
              <w:t>医疗机构设置审批(除三级医院、三级妇幼保健院、急救中心、急救站、临床检验中心、中外合资合作医疗机构、港澳台独资医院外）</w:t>
            </w:r>
          </w:p>
        </w:tc>
        <w:tc>
          <w:tcPr>
            <w:tcW w:w="141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w w:val="98"/>
                <w:sz w:val="18"/>
                <w:szCs w:val="18"/>
                <w:vertAlign w:val="baseline"/>
                <w:lang w:eastAsia="zh-CN"/>
              </w:rPr>
            </w:pPr>
            <w:r>
              <w:rPr>
                <w:rFonts w:hint="default" w:ascii="Times New Roman" w:hAnsi="Times New Roman" w:eastAsia="宋体" w:cs="Times New Roman"/>
                <w:b w:val="0"/>
                <w:bCs w:val="0"/>
                <w:w w:val="98"/>
                <w:sz w:val="18"/>
                <w:szCs w:val="18"/>
                <w:vertAlign w:val="baseline"/>
                <w:lang w:eastAsia="zh-CN"/>
              </w:rPr>
              <w:t>市行政审批局</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w w:val="98"/>
                <w:sz w:val="18"/>
                <w:szCs w:val="18"/>
                <w:vertAlign w:val="baseline"/>
                <w:lang w:val="en-US" w:eastAsia="zh-CN"/>
              </w:rPr>
            </w:pPr>
            <w:r>
              <w:rPr>
                <w:rFonts w:hint="default" w:ascii="Times New Roman" w:hAnsi="Times New Roman" w:eastAsia="宋体" w:cs="Times New Roman"/>
                <w:b w:val="0"/>
                <w:bCs w:val="0"/>
                <w:w w:val="98"/>
                <w:sz w:val="18"/>
                <w:szCs w:val="18"/>
                <w:vertAlign w:val="baseline"/>
                <w:lang w:eastAsia="zh-CN"/>
              </w:rPr>
              <w:t>县卫健局</w:t>
            </w:r>
          </w:p>
        </w:tc>
        <w:tc>
          <w:tcPr>
            <w:tcW w:w="190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b w:val="0"/>
                <w:bCs w:val="0"/>
                <w:w w:val="98"/>
                <w:sz w:val="18"/>
                <w:szCs w:val="18"/>
                <w:vertAlign w:val="baseline"/>
                <w:lang w:eastAsia="zh-CN"/>
              </w:rPr>
            </w:pPr>
            <w:r>
              <w:rPr>
                <w:rFonts w:hint="default" w:ascii="Times New Roman" w:hAnsi="Times New Roman" w:eastAsia="宋体" w:cs="Times New Roman"/>
                <w:b w:val="0"/>
                <w:bCs w:val="0"/>
                <w:w w:val="98"/>
                <w:sz w:val="18"/>
                <w:szCs w:val="18"/>
                <w:vertAlign w:val="baseline"/>
                <w:lang w:eastAsia="zh-CN"/>
              </w:rPr>
              <w:t>《医疗机构管理条例》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b w:val="0"/>
                <w:bCs w:val="0"/>
                <w:w w:val="98"/>
                <w:sz w:val="18"/>
                <w:szCs w:val="18"/>
                <w:vertAlign w:val="baseline"/>
                <w:lang w:eastAsia="zh-CN"/>
              </w:rPr>
            </w:pPr>
            <w:r>
              <w:rPr>
                <w:rFonts w:hint="default" w:ascii="Times New Roman" w:hAnsi="Times New Roman" w:eastAsia="宋体" w:cs="Times New Roman"/>
                <w:b w:val="0"/>
                <w:bCs w:val="0"/>
                <w:w w:val="98"/>
                <w:sz w:val="18"/>
                <w:szCs w:val="18"/>
                <w:vertAlign w:val="baseline"/>
                <w:lang w:eastAsia="zh-CN"/>
              </w:rPr>
              <w:t>《医疗机构管理条例细则》</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b w:val="0"/>
                <w:bCs w:val="0"/>
                <w:w w:val="98"/>
                <w:sz w:val="18"/>
                <w:szCs w:val="18"/>
                <w:vertAlign w:val="baseline"/>
                <w:lang w:eastAsia="zh-CN"/>
              </w:rPr>
            </w:pPr>
            <w:r>
              <w:rPr>
                <w:rFonts w:hint="default" w:ascii="Times New Roman" w:hAnsi="Times New Roman" w:eastAsia="宋体" w:cs="Times New Roman"/>
                <w:b w:val="0"/>
                <w:bCs w:val="0"/>
                <w:w w:val="98"/>
                <w:sz w:val="18"/>
                <w:szCs w:val="18"/>
                <w:vertAlign w:val="baseline"/>
                <w:lang w:eastAsia="zh-CN"/>
              </w:rPr>
              <w:t>《河北省医疗机构管理实施办法》</w:t>
            </w:r>
          </w:p>
        </w:tc>
        <w:tc>
          <w:tcPr>
            <w:tcW w:w="358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w w:val="98"/>
                <w:sz w:val="18"/>
                <w:szCs w:val="18"/>
                <w:vertAlign w:val="baseline"/>
                <w:lang w:eastAsia="zh-CN"/>
              </w:rPr>
            </w:pPr>
            <w:r>
              <w:rPr>
                <w:rFonts w:hint="default" w:ascii="Times New Roman" w:hAnsi="Times New Roman" w:eastAsia="宋体" w:cs="Times New Roman"/>
                <w:b w:val="0"/>
                <w:bCs w:val="0"/>
                <w:w w:val="98"/>
                <w:sz w:val="18"/>
                <w:szCs w:val="18"/>
                <w:vertAlign w:val="baseline"/>
                <w:lang w:eastAsia="zh-CN"/>
              </w:rPr>
              <w:t>取消许可后，卫生健康部门要通过以下措施加强监管：</w:t>
            </w:r>
          </w:p>
          <w:p>
            <w:pPr>
              <w:keepNext w:val="0"/>
              <w:keepLines w:val="0"/>
              <w:pageBreakBefore w:val="0"/>
              <w:widowControl w:val="0"/>
              <w:numPr>
                <w:ilvl w:val="0"/>
                <w:numId w:val="5"/>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w w:val="98"/>
                <w:sz w:val="18"/>
                <w:szCs w:val="18"/>
                <w:vertAlign w:val="baseline"/>
                <w:lang w:eastAsia="zh-CN"/>
              </w:rPr>
            </w:pPr>
            <w:r>
              <w:rPr>
                <w:rFonts w:hint="default" w:ascii="Times New Roman" w:hAnsi="Times New Roman" w:eastAsia="宋体" w:cs="Times New Roman"/>
                <w:b w:val="0"/>
                <w:bCs w:val="0"/>
                <w:w w:val="98"/>
                <w:sz w:val="18"/>
                <w:szCs w:val="18"/>
                <w:vertAlign w:val="baseline"/>
                <w:lang w:eastAsia="zh-CN"/>
              </w:rPr>
              <w:t>严格实施“医疗机构执业登记”，并将审批结果向社会公开。</w:t>
            </w:r>
          </w:p>
          <w:p>
            <w:pPr>
              <w:keepNext w:val="0"/>
              <w:keepLines w:val="0"/>
              <w:pageBreakBefore w:val="0"/>
              <w:widowControl w:val="0"/>
              <w:numPr>
                <w:ilvl w:val="0"/>
                <w:numId w:val="5"/>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w w:val="98"/>
                <w:sz w:val="18"/>
                <w:szCs w:val="18"/>
                <w:vertAlign w:val="baseline"/>
                <w:lang w:eastAsia="zh-CN"/>
              </w:rPr>
            </w:pPr>
            <w:r>
              <w:rPr>
                <w:rFonts w:hint="default" w:ascii="Times New Roman" w:hAnsi="Times New Roman" w:eastAsia="宋体" w:cs="Times New Roman"/>
                <w:b w:val="0"/>
                <w:bCs w:val="0"/>
                <w:w w:val="98"/>
                <w:sz w:val="18"/>
                <w:szCs w:val="18"/>
                <w:vertAlign w:val="baseline"/>
                <w:lang w:eastAsia="zh-CN"/>
              </w:rPr>
              <w:t>开展“双随机、一公开”监管、重点监管，畅通投诉举报渠道，加大对医疗机构的监督检查力度，依法査处违法违规行为。</w:t>
            </w:r>
          </w:p>
          <w:p>
            <w:pPr>
              <w:keepNext w:val="0"/>
              <w:keepLines w:val="0"/>
              <w:pageBreakBefore w:val="0"/>
              <w:widowControl w:val="0"/>
              <w:numPr>
                <w:ilvl w:val="0"/>
                <w:numId w:val="5"/>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w w:val="98"/>
                <w:sz w:val="18"/>
                <w:szCs w:val="18"/>
                <w:vertAlign w:val="baseline"/>
                <w:lang w:eastAsia="zh-CN"/>
              </w:rPr>
            </w:pPr>
            <w:r>
              <w:rPr>
                <w:rFonts w:hint="default" w:ascii="Times New Roman" w:hAnsi="Times New Roman" w:eastAsia="宋体" w:cs="Times New Roman"/>
                <w:b w:val="0"/>
                <w:bCs w:val="0"/>
                <w:w w:val="98"/>
                <w:sz w:val="18"/>
                <w:szCs w:val="18"/>
                <w:vertAlign w:val="baseline"/>
                <w:lang w:eastAsia="zh-CN"/>
              </w:rPr>
              <w:t>依法实施信用监管，认真落实《河北省医疗机构不良执业行为记分管理办法》，结合机构校验强化医疗机构日常监督管理，规范医疗机构执业行为，保障医疗服务质量和医疗安全。</w:t>
            </w:r>
          </w:p>
        </w:tc>
        <w:tc>
          <w:tcPr>
            <w:tcW w:w="748"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w w:val="98"/>
                <w:sz w:val="18"/>
                <w:szCs w:val="18"/>
                <w:vertAlign w:val="baseline"/>
                <w:lang w:eastAsia="zh-CN"/>
              </w:rPr>
            </w:pPr>
          </w:p>
        </w:tc>
      </w:tr>
    </w:tbl>
    <w:p>
      <w:pPr>
        <w:keepNext w:val="0"/>
        <w:keepLines w:val="0"/>
        <w:pageBreakBefore w:val="0"/>
        <w:widowControl w:val="0"/>
        <w:numPr>
          <w:ilvl w:val="0"/>
          <w:numId w:val="0"/>
        </w:numPr>
        <w:kinsoku/>
        <w:wordWrap w:val="0"/>
        <w:overflowPunct/>
        <w:topLinePunct w:val="0"/>
        <w:autoSpaceDE/>
        <w:autoSpaceDN/>
        <w:bidi w:val="0"/>
        <w:adjustRightInd/>
        <w:snapToGrid/>
        <w:spacing w:line="380" w:lineRule="exact"/>
        <w:ind w:right="0" w:rightChars="0"/>
        <w:jc w:val="both"/>
        <w:textAlignment w:val="auto"/>
        <w:outlineLvl w:val="9"/>
        <w:rPr>
          <w:rFonts w:hint="eastAsia"/>
          <w:sz w:val="32"/>
          <w:szCs w:val="32"/>
          <w:u w:val="single"/>
        </w:rPr>
        <w:sectPr>
          <w:type w:val="continuous"/>
          <w:pgSz w:w="11906" w:h="16838"/>
          <w:pgMar w:top="2268" w:right="1417" w:bottom="1984" w:left="1417" w:header="851" w:footer="1474" w:gutter="0"/>
          <w:pgNumType w:fmt="numberInDash"/>
          <w:cols w:space="425"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100" w:lineRule="exact"/>
        <w:ind w:left="0" w:leftChars="0" w:right="0" w:rightChars="0" w:firstLine="0" w:firstLineChars="0"/>
        <w:jc w:val="both"/>
        <w:textAlignment w:val="auto"/>
        <w:outlineLvl w:val="9"/>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0" w:rightChars="0" w:firstLine="0" w:firstLineChars="0"/>
        <w:jc w:val="both"/>
        <w:textAlignment w:val="auto"/>
        <w:outlineLvl w:val="9"/>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beforeLines="100" w:line="500" w:lineRule="exact"/>
        <w:ind w:left="0" w:leftChars="0" w:right="0" w:rightChars="0" w:firstLine="0" w:firstLineChars="0"/>
        <w:jc w:val="center"/>
        <w:textAlignment w:val="auto"/>
        <w:outlineLvl w:val="9"/>
        <w:rPr>
          <w:rFonts w:hint="eastAsia" w:ascii="宋体" w:hAnsi="宋体" w:eastAsia="宋体" w:cs="宋体"/>
          <w:color w:val="000000"/>
          <w:sz w:val="36"/>
          <w:szCs w:val="36"/>
        </w:rPr>
      </w:pPr>
      <w:r>
        <w:rPr>
          <w:rFonts w:hint="eastAsia" w:ascii="宋体" w:hAnsi="宋体" w:eastAsia="宋体" w:cs="宋体"/>
          <w:color w:val="000000"/>
          <w:sz w:val="36"/>
          <w:szCs w:val="36"/>
        </w:rPr>
        <w:t>魏县人民政府办公室</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36"/>
          <w:szCs w:val="36"/>
        </w:rPr>
      </w:pPr>
      <w:r>
        <w:rPr>
          <w:rFonts w:hint="eastAsia" w:ascii="宋体" w:hAnsi="宋体" w:eastAsia="宋体" w:cs="宋体"/>
          <w:color w:val="000000"/>
          <w:sz w:val="36"/>
          <w:szCs w:val="36"/>
        </w:rPr>
        <w:t>关于印发《</w:t>
      </w:r>
      <w:r>
        <w:rPr>
          <w:rFonts w:hint="eastAsia" w:ascii="宋体" w:hAnsi="宋体" w:eastAsia="宋体" w:cs="宋体"/>
          <w:sz w:val="36"/>
          <w:szCs w:val="36"/>
        </w:rPr>
        <w:t>魏县城乡居民</w:t>
      </w:r>
      <w:r>
        <w:rPr>
          <w:rFonts w:hint="eastAsia" w:ascii="宋体" w:hAnsi="宋体" w:eastAsia="宋体" w:cs="宋体"/>
          <w:sz w:val="36"/>
          <w:szCs w:val="36"/>
          <w:lang w:eastAsia="zh-CN"/>
        </w:rPr>
        <w:t>基本</w:t>
      </w:r>
      <w:r>
        <w:rPr>
          <w:rFonts w:hint="eastAsia" w:ascii="宋体" w:hAnsi="宋体" w:eastAsia="宋体" w:cs="宋体"/>
          <w:sz w:val="36"/>
          <w:szCs w:val="36"/>
        </w:rPr>
        <w:t>养老保险</w:t>
      </w:r>
      <w:r>
        <w:rPr>
          <w:rFonts w:hint="eastAsia" w:ascii="宋体" w:hAnsi="宋体" w:eastAsia="宋体" w:cs="宋体"/>
          <w:sz w:val="36"/>
          <w:szCs w:val="36"/>
          <w:lang w:eastAsia="zh-CN"/>
        </w:rPr>
        <w:t>资格确认</w:t>
      </w:r>
      <w:r>
        <w:rPr>
          <w:rFonts w:hint="eastAsia" w:ascii="宋体" w:hAnsi="宋体" w:eastAsia="宋体" w:cs="宋体"/>
          <w:sz w:val="36"/>
          <w:szCs w:val="36"/>
        </w:rPr>
        <w:t>及管理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000000"/>
          <w:sz w:val="36"/>
          <w:szCs w:val="36"/>
        </w:rPr>
      </w:pPr>
      <w:r>
        <w:rPr>
          <w:rFonts w:hint="eastAsia" w:ascii="宋体" w:hAnsi="宋体" w:eastAsia="宋体" w:cs="宋体"/>
          <w:sz w:val="36"/>
          <w:szCs w:val="36"/>
        </w:rPr>
        <w:t>暂行办法</w:t>
      </w:r>
      <w:r>
        <w:rPr>
          <w:rFonts w:hint="eastAsia" w:ascii="宋体" w:hAnsi="宋体" w:eastAsia="宋体" w:cs="宋体"/>
          <w:color w:val="000000"/>
          <w:sz w:val="36"/>
          <w:szCs w:val="36"/>
        </w:rPr>
        <w:t>》的通知</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eastAsia="宋体" w:cs="Times New Roman"/>
          <w:bCs/>
          <w:sz w:val="21"/>
          <w:szCs w:val="21"/>
        </w:rPr>
      </w:pPr>
    </w:p>
    <w:p>
      <w:pPr>
        <w:keepNext w:val="0"/>
        <w:keepLines w:val="0"/>
        <w:pageBreakBefore w:val="0"/>
        <w:widowControl w:val="0"/>
        <w:kinsoku/>
        <w:wordWrap/>
        <w:overflowPunct/>
        <w:topLinePunct w:val="0"/>
        <w:autoSpaceDE/>
        <w:autoSpaceDN/>
        <w:bidi w:val="0"/>
        <w:spacing w:beforeLines="20" w:line="380" w:lineRule="exact"/>
        <w:ind w:right="0" w:rightChars="0"/>
        <w:jc w:val="center"/>
        <w:textAlignment w:val="auto"/>
        <w:outlineLvl w:val="9"/>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魏政办字〔2020〕</w:t>
      </w:r>
      <w:r>
        <w:rPr>
          <w:rFonts w:hint="default" w:ascii="Times New Roman" w:hAnsi="Times New Roman" w:eastAsia="宋体" w:cs="Times New Roman"/>
          <w:bCs/>
          <w:sz w:val="21"/>
          <w:szCs w:val="21"/>
          <w:lang w:val="en-US" w:eastAsia="zh-CN"/>
        </w:rPr>
        <w:t>30</w:t>
      </w:r>
      <w:r>
        <w:rPr>
          <w:rFonts w:hint="default" w:ascii="Times New Roman" w:hAnsi="Times New Roman" w:eastAsia="宋体" w:cs="Times New Roman"/>
          <w:bCs/>
          <w:sz w:val="21"/>
          <w:szCs w:val="21"/>
        </w:rPr>
        <w:t>号</w:t>
      </w:r>
    </w:p>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9"/>
        <w:rPr>
          <w:rFonts w:hint="default" w:ascii="Times New Roman" w:hAnsi="Times New Roman" w:eastAsia="宋体" w:cs="Times New Roman"/>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380" w:lineRule="exact"/>
        <w:ind w:right="0" w:rightChars="0"/>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各乡镇政府、街道办，县对口有关单位，县政府有关部门：</w:t>
      </w:r>
    </w:p>
    <w:p>
      <w:pPr>
        <w:keepNext w:val="0"/>
        <w:keepLines w:val="0"/>
        <w:pageBreakBefore w:val="0"/>
        <w:widowControl w:val="0"/>
        <w:kinsoku/>
        <w:wordWrap/>
        <w:overflowPunct/>
        <w:topLinePunct w:val="0"/>
        <w:autoSpaceDE/>
        <w:autoSpaceDN/>
        <w:bidi w:val="0"/>
        <w:adjustRightInd/>
        <w:snapToGrid/>
        <w:spacing w:line="380" w:lineRule="exact"/>
        <w:ind w:right="0" w:rightChars="0" w:firstLine="420" w:firstLineChars="200"/>
        <w:jc w:val="both"/>
        <w:textAlignment w:val="auto"/>
        <w:outlineLvl w:val="9"/>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《魏县城乡居民基本养老保险资格确认及管理暂行办法》</w:t>
      </w:r>
      <w:r>
        <w:rPr>
          <w:rFonts w:hint="default" w:ascii="Times New Roman" w:hAnsi="Times New Roman" w:eastAsia="宋体" w:cs="Times New Roman"/>
          <w:sz w:val="21"/>
          <w:szCs w:val="21"/>
        </w:rPr>
        <w:t>已经</w:t>
      </w:r>
      <w:r>
        <w:rPr>
          <w:rFonts w:hint="default" w:ascii="Times New Roman" w:hAnsi="Times New Roman" w:eastAsia="宋体" w:cs="Times New Roman"/>
          <w:sz w:val="21"/>
          <w:szCs w:val="21"/>
          <w:lang w:val="en-US" w:eastAsia="zh-CN"/>
        </w:rPr>
        <w:t>2020年9月29日</w:t>
      </w:r>
      <w:r>
        <w:rPr>
          <w:rFonts w:hint="default" w:ascii="Times New Roman" w:hAnsi="Times New Roman" w:eastAsia="宋体" w:cs="Times New Roman"/>
          <w:sz w:val="21"/>
          <w:szCs w:val="21"/>
        </w:rPr>
        <w:t>魏县第十六届人民政府第4</w:t>
      </w: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次常务会议研究</w:t>
      </w:r>
      <w:r>
        <w:rPr>
          <w:rFonts w:hint="default" w:ascii="Times New Roman" w:hAnsi="Times New Roman" w:eastAsia="宋体" w:cs="Times New Roman"/>
          <w:sz w:val="21"/>
          <w:szCs w:val="21"/>
          <w:lang w:eastAsia="zh-CN"/>
        </w:rPr>
        <w:t>通过</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eastAsia="zh-CN"/>
        </w:rPr>
        <w:t>现印发给你们，请认真贯彻落实。</w:t>
      </w:r>
    </w:p>
    <w:p>
      <w:pPr>
        <w:keepNext w:val="0"/>
        <w:keepLines w:val="0"/>
        <w:pageBreakBefore w:val="0"/>
        <w:widowControl w:val="0"/>
        <w:kinsoku/>
        <w:wordWrap/>
        <w:overflowPunct/>
        <w:topLinePunct w:val="0"/>
        <w:autoSpaceDE/>
        <w:autoSpaceDN/>
        <w:bidi w:val="0"/>
        <w:adjustRightInd w:val="0"/>
        <w:snapToGrid w:val="0"/>
        <w:spacing w:line="380" w:lineRule="exact"/>
        <w:ind w:left="5040" w:leftChars="2400" w:right="0" w:rightChars="0"/>
        <w:jc w:val="center"/>
        <w:textAlignment w:val="auto"/>
        <w:outlineLvl w:val="9"/>
        <w:rPr>
          <w:rFonts w:hint="default" w:ascii="Times New Roman" w:hAnsi="Times New Roman" w:eastAsia="宋体" w:cs="Times New Roman"/>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380" w:lineRule="exact"/>
        <w:ind w:left="3255" w:leftChars="1550" w:right="0" w:rightChars="0"/>
        <w:jc w:val="center"/>
        <w:textAlignment w:val="auto"/>
        <w:outlineLvl w:val="9"/>
        <w:rPr>
          <w:rFonts w:hint="default" w:ascii="Times New Roman" w:hAnsi="Times New Roman" w:eastAsia="宋体" w:cs="Times New Roman"/>
          <w:color w:val="000000"/>
          <w:sz w:val="21"/>
          <w:szCs w:val="21"/>
        </w:rPr>
      </w:pPr>
      <w:r>
        <w:rPr>
          <w:rFonts w:hint="eastAsia" w:ascii="Times New Roman" w:hAnsi="Times New Roman" w:cs="Times New Roman"/>
          <w:color w:val="000000"/>
          <w:sz w:val="21"/>
          <w:szCs w:val="21"/>
          <w:lang w:val="en-US" w:eastAsia="zh-CN"/>
        </w:rPr>
        <w:t xml:space="preserve">                 </w:t>
      </w:r>
      <w:r>
        <w:rPr>
          <w:rFonts w:hint="default" w:ascii="Times New Roman" w:hAnsi="Times New Roman" w:eastAsia="宋体" w:cs="Times New Roman"/>
          <w:color w:val="000000"/>
          <w:sz w:val="21"/>
          <w:szCs w:val="21"/>
        </w:rPr>
        <w:t>魏县人民政府办公室</w:t>
      </w:r>
    </w:p>
    <w:p>
      <w:pPr>
        <w:keepNext w:val="0"/>
        <w:keepLines w:val="0"/>
        <w:pageBreakBefore w:val="0"/>
        <w:widowControl w:val="0"/>
        <w:kinsoku/>
        <w:wordWrap/>
        <w:overflowPunct/>
        <w:topLinePunct w:val="0"/>
        <w:autoSpaceDE/>
        <w:autoSpaceDN/>
        <w:bidi w:val="0"/>
        <w:spacing w:line="380" w:lineRule="exact"/>
        <w:ind w:left="3255" w:leftChars="1550" w:right="0" w:rightChars="0"/>
        <w:jc w:val="center"/>
        <w:textAlignment w:val="auto"/>
        <w:outlineLvl w:val="9"/>
        <w:rPr>
          <w:rFonts w:hint="default" w:ascii="Times New Roman" w:hAnsi="Times New Roman" w:eastAsia="宋体" w:cs="Times New Roman"/>
          <w:color w:val="000000"/>
          <w:sz w:val="21"/>
          <w:szCs w:val="21"/>
        </w:rPr>
      </w:pPr>
      <w:r>
        <w:rPr>
          <w:rFonts w:hint="eastAsia" w:ascii="Times New Roman" w:hAnsi="Times New Roman" w:cs="Times New Roman"/>
          <w:color w:val="000000"/>
          <w:sz w:val="21"/>
          <w:szCs w:val="21"/>
          <w:lang w:val="en-US" w:eastAsia="zh-CN"/>
        </w:rPr>
        <w:t xml:space="preserve">                 </w:t>
      </w:r>
      <w:r>
        <w:rPr>
          <w:rFonts w:hint="default" w:ascii="Times New Roman" w:hAnsi="Times New Roman" w:eastAsia="宋体" w:cs="Times New Roman"/>
          <w:color w:val="000000"/>
          <w:sz w:val="21"/>
          <w:szCs w:val="21"/>
        </w:rPr>
        <w:t>2020年</w:t>
      </w:r>
      <w:r>
        <w:rPr>
          <w:rFonts w:hint="default" w:ascii="Times New Roman" w:hAnsi="Times New Roman" w:eastAsia="宋体" w:cs="Times New Roman"/>
          <w:color w:val="000000"/>
          <w:sz w:val="21"/>
          <w:szCs w:val="21"/>
          <w:lang w:val="en-US" w:eastAsia="zh-CN"/>
        </w:rPr>
        <w:t>10</w:t>
      </w:r>
      <w:r>
        <w:rPr>
          <w:rFonts w:hint="default" w:ascii="Times New Roman" w:hAnsi="Times New Roman" w:eastAsia="宋体" w:cs="Times New Roman"/>
          <w:color w:val="000000"/>
          <w:sz w:val="21"/>
          <w:szCs w:val="21"/>
        </w:rPr>
        <w:t>月</w:t>
      </w:r>
      <w:r>
        <w:rPr>
          <w:rFonts w:hint="default" w:ascii="Times New Roman" w:hAnsi="Times New Roman" w:eastAsia="宋体" w:cs="Times New Roman"/>
          <w:color w:val="000000"/>
          <w:sz w:val="21"/>
          <w:szCs w:val="21"/>
          <w:lang w:val="en-US" w:eastAsia="zh-CN"/>
        </w:rPr>
        <w:t>10</w:t>
      </w:r>
      <w:r>
        <w:rPr>
          <w:rFonts w:hint="default" w:ascii="Times New Roman" w:hAnsi="Times New Roman" w:eastAsia="宋体" w:cs="Times New Roman"/>
          <w:color w:val="000000"/>
          <w:sz w:val="21"/>
          <w:szCs w:val="21"/>
        </w:rPr>
        <w:t>日</w:t>
      </w:r>
    </w:p>
    <w:p>
      <w:pPr>
        <w:keepNext w:val="0"/>
        <w:keepLines w:val="0"/>
        <w:pageBreakBefore w:val="0"/>
        <w:widowControl w:val="0"/>
        <w:kinsoku/>
        <w:wordWrap/>
        <w:overflowPunct/>
        <w:topLinePunct w:val="0"/>
        <w:autoSpaceDE/>
        <w:autoSpaceDN/>
        <w:bidi w:val="0"/>
        <w:adjustRightInd/>
        <w:snapToGrid/>
        <w:spacing w:line="100" w:lineRule="exact"/>
        <w:ind w:left="0" w:leftChars="0" w:right="0" w:rightChars="0" w:firstLine="0" w:firstLineChars="0"/>
        <w:jc w:val="both"/>
        <w:textAlignment w:val="auto"/>
        <w:outlineLvl w:val="9"/>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0" w:rightChars="0" w:firstLine="0" w:firstLineChars="0"/>
        <w:jc w:val="both"/>
        <w:textAlignment w:val="auto"/>
        <w:outlineLvl w:val="9"/>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0" w:rightChars="0" w:firstLine="0" w:firstLineChars="0"/>
        <w:jc w:val="both"/>
        <w:textAlignment w:val="auto"/>
        <w:outlineLvl w:val="9"/>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0" w:rightChars="0" w:firstLine="0" w:firstLineChars="0"/>
        <w:jc w:val="both"/>
        <w:textAlignment w:val="auto"/>
        <w:outlineLvl w:val="9"/>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0" w:rightChars="0" w:firstLine="0" w:firstLineChars="0"/>
        <w:jc w:val="both"/>
        <w:textAlignment w:val="auto"/>
        <w:outlineLvl w:val="9"/>
        <w:rPr>
          <w:rFonts w:hint="default" w:ascii="Times New Roman" w:hAnsi="Times New Roman" w:eastAsia="宋体" w:cs="Times New Roman"/>
          <w:sz w:val="21"/>
          <w:szCs w:val="21"/>
        </w:rPr>
      </w:pPr>
    </w:p>
    <w:p>
      <w:pPr>
        <w:keepNext w:val="0"/>
        <w:keepLines w:val="0"/>
        <w:pageBreakBefore w:val="0"/>
        <w:kinsoku/>
        <w:wordWrap/>
        <w:overflowPunct/>
        <w:topLinePunct w:val="0"/>
        <w:autoSpaceDE/>
        <w:autoSpaceDN/>
        <w:bidi w:val="0"/>
        <w:adjustRightInd/>
        <w:snapToGrid/>
        <w:spacing w:line="540" w:lineRule="exact"/>
        <w:ind w:right="0" w:rightChars="0"/>
        <w:jc w:val="center"/>
        <w:textAlignment w:val="auto"/>
        <w:rPr>
          <w:rFonts w:hint="default" w:ascii="Times New Roman" w:hAnsi="Times New Roman" w:eastAsia="宋体" w:cs="Times New Roman"/>
          <w:sz w:val="36"/>
          <w:szCs w:val="36"/>
        </w:rPr>
      </w:pPr>
      <w:r>
        <w:rPr>
          <w:rFonts w:hint="default" w:ascii="Times New Roman" w:hAnsi="Times New Roman" w:eastAsia="宋体" w:cs="Times New Roman"/>
          <w:sz w:val="36"/>
          <w:szCs w:val="36"/>
        </w:rPr>
        <w:t>魏县城乡居民</w:t>
      </w:r>
      <w:r>
        <w:rPr>
          <w:rFonts w:hint="default" w:ascii="Times New Roman" w:hAnsi="Times New Roman" w:eastAsia="宋体" w:cs="Times New Roman"/>
          <w:sz w:val="36"/>
          <w:szCs w:val="36"/>
          <w:lang w:eastAsia="zh-CN"/>
        </w:rPr>
        <w:t>基本</w:t>
      </w:r>
      <w:r>
        <w:rPr>
          <w:rFonts w:hint="default" w:ascii="Times New Roman" w:hAnsi="Times New Roman" w:eastAsia="宋体" w:cs="Times New Roman"/>
          <w:sz w:val="36"/>
          <w:szCs w:val="36"/>
        </w:rPr>
        <w:t>养老保险</w:t>
      </w:r>
      <w:r>
        <w:rPr>
          <w:rFonts w:hint="default" w:ascii="Times New Roman" w:hAnsi="Times New Roman" w:eastAsia="宋体" w:cs="Times New Roman"/>
          <w:sz w:val="36"/>
          <w:szCs w:val="36"/>
          <w:lang w:eastAsia="zh-CN"/>
        </w:rPr>
        <w:t>资格确认</w:t>
      </w:r>
      <w:r>
        <w:rPr>
          <w:rFonts w:hint="default" w:ascii="Times New Roman" w:hAnsi="Times New Roman" w:eastAsia="宋体" w:cs="Times New Roman"/>
          <w:sz w:val="36"/>
          <w:szCs w:val="36"/>
        </w:rPr>
        <w:t>及管理</w:t>
      </w:r>
    </w:p>
    <w:p>
      <w:pPr>
        <w:keepNext w:val="0"/>
        <w:keepLines w:val="0"/>
        <w:pageBreakBefore w:val="0"/>
        <w:kinsoku/>
        <w:wordWrap/>
        <w:overflowPunct/>
        <w:topLinePunct w:val="0"/>
        <w:autoSpaceDE/>
        <w:autoSpaceDN/>
        <w:bidi w:val="0"/>
        <w:adjustRightInd/>
        <w:snapToGrid/>
        <w:spacing w:line="540" w:lineRule="exact"/>
        <w:ind w:right="0" w:rightChars="0"/>
        <w:jc w:val="center"/>
        <w:textAlignment w:val="auto"/>
        <w:rPr>
          <w:rFonts w:hint="default" w:ascii="Times New Roman" w:hAnsi="Times New Roman" w:eastAsia="宋体" w:cs="Times New Roman"/>
          <w:sz w:val="36"/>
          <w:szCs w:val="36"/>
          <w:lang w:eastAsia="zh-CN"/>
        </w:rPr>
      </w:pPr>
      <w:r>
        <w:rPr>
          <w:rFonts w:hint="default" w:ascii="Times New Roman" w:hAnsi="Times New Roman" w:eastAsia="宋体" w:cs="Times New Roman"/>
          <w:sz w:val="36"/>
          <w:szCs w:val="36"/>
        </w:rPr>
        <w:t>暂行办法</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textAlignment w:val="auto"/>
        <w:rPr>
          <w:rFonts w:hint="default" w:ascii="Times New Roman" w:hAnsi="Times New Roman" w:eastAsia="黑体" w:cs="Times New Roman"/>
          <w:sz w:val="32"/>
          <w:szCs w:val="32"/>
          <w:lang w:eastAsia="zh-CN"/>
        </w:rPr>
      </w:pPr>
    </w:p>
    <w:p>
      <w:pPr>
        <w:keepNext w:val="0"/>
        <w:keepLines w:val="0"/>
        <w:pageBreakBefore w:val="0"/>
        <w:numPr>
          <w:ilvl w:val="0"/>
          <w:numId w:val="0"/>
        </w:numPr>
        <w:kinsoku/>
        <w:wordWrap/>
        <w:overflowPunct/>
        <w:topLinePunct w:val="0"/>
        <w:autoSpaceDE/>
        <w:autoSpaceDN/>
        <w:bidi w:val="0"/>
        <w:adjustRightInd/>
        <w:snapToGrid/>
        <w:spacing w:line="380" w:lineRule="exact"/>
        <w:ind w:left="0" w:leftChars="0" w:right="0" w:rightChars="0"/>
        <w:jc w:val="center"/>
        <w:textAlignment w:val="auto"/>
        <w:outlineLvl w:val="9"/>
        <w:rPr>
          <w:rFonts w:hint="eastAsia" w:ascii="宋体" w:hAnsi="宋体" w:eastAsia="宋体" w:cs="宋体"/>
          <w:sz w:val="21"/>
          <w:szCs w:val="21"/>
          <w:lang w:eastAsia="zh-CN"/>
        </w:rPr>
        <w:sectPr>
          <w:type w:val="continuous"/>
          <w:pgSz w:w="11906" w:h="16838"/>
          <w:pgMar w:top="2268" w:right="1417" w:bottom="1984" w:left="1417" w:header="851" w:footer="1474" w:gutter="0"/>
          <w:pgNumType w:fmt="numberInDash"/>
          <w:cols w:space="0" w:num="1"/>
          <w:rtlGutter w:val="0"/>
          <w:docGrid w:type="lines" w:linePitch="312" w:charSpace="0"/>
        </w:sectPr>
      </w:pPr>
    </w:p>
    <w:p>
      <w:pPr>
        <w:keepNext w:val="0"/>
        <w:keepLines w:val="0"/>
        <w:pageBreakBefore w:val="0"/>
        <w:numPr>
          <w:ilvl w:val="0"/>
          <w:numId w:val="0"/>
        </w:numPr>
        <w:kinsoku/>
        <w:wordWrap/>
        <w:overflowPunct/>
        <w:topLinePunct w:val="0"/>
        <w:autoSpaceDE/>
        <w:autoSpaceDN/>
        <w:bidi w:val="0"/>
        <w:adjustRightInd/>
        <w:snapToGrid/>
        <w:spacing w:line="390" w:lineRule="exact"/>
        <w:ind w:left="0" w:leftChars="0" w:right="0" w:rightChars="0"/>
        <w:jc w:val="center"/>
        <w:textAlignment w:val="auto"/>
        <w:outlineLvl w:val="9"/>
        <w:rPr>
          <w:rFonts w:hint="eastAsia" w:ascii="黑体" w:hAnsi="黑体" w:eastAsia="黑体" w:cs="黑体"/>
          <w:sz w:val="21"/>
          <w:szCs w:val="21"/>
          <w:lang w:eastAsia="zh-CN"/>
        </w:rPr>
      </w:pPr>
      <w:r>
        <w:rPr>
          <w:rFonts w:hint="eastAsia" w:ascii="黑体" w:hAnsi="黑体" w:eastAsia="黑体" w:cs="黑体"/>
          <w:sz w:val="21"/>
          <w:szCs w:val="21"/>
          <w:lang w:eastAsia="zh-CN"/>
        </w:rPr>
        <w:t>第一章</w:t>
      </w:r>
      <w:r>
        <w:rPr>
          <w:rFonts w:hint="eastAsia" w:ascii="黑体" w:hAnsi="黑体" w:eastAsia="黑体" w:cs="黑体"/>
          <w:sz w:val="21"/>
          <w:szCs w:val="21"/>
          <w:lang w:val="en-US" w:eastAsia="zh-CN"/>
        </w:rPr>
        <w:t xml:space="preserve"> </w:t>
      </w:r>
      <w:r>
        <w:rPr>
          <w:rFonts w:hint="eastAsia" w:ascii="黑体" w:hAnsi="黑体" w:eastAsia="黑体" w:cs="黑体"/>
          <w:sz w:val="21"/>
          <w:szCs w:val="21"/>
          <w:lang w:eastAsia="zh-CN"/>
        </w:rPr>
        <w:t>总则</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2" w:firstLineChars="200"/>
        <w:jc w:val="both"/>
        <w:textAlignment w:val="auto"/>
        <w:outlineLvl w:val="9"/>
        <w:rPr>
          <w:rFonts w:hint="eastAsia" w:ascii="宋体" w:hAnsi="宋体" w:eastAsia="宋体" w:cs="宋体"/>
          <w:sz w:val="21"/>
          <w:szCs w:val="21"/>
        </w:rPr>
      </w:pPr>
      <w:r>
        <w:rPr>
          <w:rFonts w:hint="eastAsia" w:ascii="宋体" w:hAnsi="宋体" w:eastAsia="宋体" w:cs="宋体"/>
          <w:b/>
          <w:bCs/>
          <w:sz w:val="21"/>
          <w:szCs w:val="21"/>
          <w:lang w:val="en-US" w:eastAsia="zh-CN"/>
        </w:rPr>
        <w:t>第一条</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为</w:t>
      </w:r>
      <w:r>
        <w:rPr>
          <w:rFonts w:hint="eastAsia" w:ascii="宋体" w:hAnsi="宋体" w:eastAsia="宋体" w:cs="宋体"/>
          <w:sz w:val="21"/>
          <w:szCs w:val="21"/>
          <w:lang w:eastAsia="zh-CN"/>
        </w:rPr>
        <w:t>落实上级“放管服”改革</w:t>
      </w:r>
      <w:r>
        <w:rPr>
          <w:rFonts w:hint="eastAsia" w:ascii="宋体" w:hAnsi="宋体" w:eastAsia="宋体" w:cs="宋体"/>
          <w:sz w:val="21"/>
          <w:szCs w:val="21"/>
          <w:lang w:val="en-US" w:eastAsia="zh-CN"/>
        </w:rPr>
        <w:t>精神和要求</w:t>
      </w:r>
      <w:r>
        <w:rPr>
          <w:rFonts w:hint="eastAsia" w:ascii="宋体" w:hAnsi="宋体" w:eastAsia="宋体" w:cs="宋体"/>
          <w:sz w:val="21"/>
          <w:szCs w:val="21"/>
          <w:lang w:eastAsia="zh-CN"/>
        </w:rPr>
        <w:t>，强化</w:t>
      </w:r>
      <w:r>
        <w:rPr>
          <w:rFonts w:hint="eastAsia" w:ascii="宋体" w:hAnsi="宋体" w:eastAsia="宋体" w:cs="宋体"/>
          <w:sz w:val="21"/>
          <w:szCs w:val="21"/>
        </w:rPr>
        <w:t>城乡居民</w:t>
      </w:r>
      <w:r>
        <w:rPr>
          <w:rFonts w:hint="eastAsia" w:ascii="宋体" w:hAnsi="宋体" w:eastAsia="宋体" w:cs="宋体"/>
          <w:sz w:val="21"/>
          <w:szCs w:val="21"/>
          <w:lang w:eastAsia="zh-CN"/>
        </w:rPr>
        <w:t>基本</w:t>
      </w:r>
      <w:r>
        <w:rPr>
          <w:rFonts w:hint="eastAsia" w:ascii="宋体" w:hAnsi="宋体" w:eastAsia="宋体" w:cs="宋体"/>
          <w:sz w:val="21"/>
          <w:szCs w:val="21"/>
        </w:rPr>
        <w:t>养老保险</w:t>
      </w:r>
      <w:r>
        <w:rPr>
          <w:rFonts w:hint="eastAsia" w:ascii="宋体" w:hAnsi="宋体" w:eastAsia="宋体" w:cs="宋体"/>
          <w:sz w:val="21"/>
          <w:szCs w:val="21"/>
          <w:lang w:eastAsia="zh-CN"/>
        </w:rPr>
        <w:t>基金</w:t>
      </w:r>
      <w:r>
        <w:rPr>
          <w:rFonts w:hint="eastAsia" w:ascii="宋体" w:hAnsi="宋体" w:eastAsia="宋体" w:cs="宋体"/>
          <w:sz w:val="21"/>
          <w:szCs w:val="21"/>
        </w:rPr>
        <w:t>管理与监督,</w:t>
      </w:r>
      <w:r>
        <w:rPr>
          <w:rFonts w:hint="eastAsia" w:ascii="宋体" w:hAnsi="宋体" w:eastAsia="宋体" w:cs="宋体"/>
          <w:sz w:val="21"/>
          <w:szCs w:val="21"/>
          <w:lang w:eastAsia="zh-CN"/>
        </w:rPr>
        <w:t>杜绝</w:t>
      </w:r>
      <w:r>
        <w:rPr>
          <w:rFonts w:hint="eastAsia" w:ascii="宋体" w:hAnsi="宋体" w:eastAsia="宋体" w:cs="宋体"/>
          <w:sz w:val="21"/>
          <w:szCs w:val="21"/>
        </w:rPr>
        <w:t>社保基金流失,根据《中华人民共和国社会保险法》、</w:t>
      </w:r>
      <w:r>
        <w:rPr>
          <w:rFonts w:hint="eastAsia" w:ascii="宋体" w:hAnsi="宋体" w:eastAsia="宋体" w:cs="宋体"/>
          <w:sz w:val="21"/>
          <w:szCs w:val="21"/>
          <w:lang w:eastAsia="zh-CN"/>
        </w:rPr>
        <w:t>人力资源和社会保障部办公厅</w:t>
      </w:r>
      <w:r>
        <w:rPr>
          <w:rFonts w:hint="eastAsia" w:ascii="宋体" w:hAnsi="宋体" w:eastAsia="宋体" w:cs="宋体"/>
          <w:sz w:val="21"/>
          <w:szCs w:val="21"/>
        </w:rPr>
        <w:t>《</w:t>
      </w:r>
      <w:r>
        <w:rPr>
          <w:rFonts w:hint="eastAsia" w:ascii="宋体" w:hAnsi="宋体" w:eastAsia="宋体" w:cs="宋体"/>
          <w:sz w:val="21"/>
          <w:szCs w:val="21"/>
          <w:lang w:eastAsia="zh-CN"/>
        </w:rPr>
        <w:t>领取社会保险待遇资格确认经办规程（暂行）</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rPr>
        <w:t>河北省人社厅《社会保险基金监督举报暂行规定》和</w:t>
      </w:r>
      <w:r>
        <w:rPr>
          <w:rFonts w:hint="eastAsia" w:ascii="宋体" w:hAnsi="宋体" w:eastAsia="宋体" w:cs="宋体"/>
          <w:sz w:val="21"/>
          <w:szCs w:val="21"/>
          <w:lang w:eastAsia="zh-CN"/>
        </w:rPr>
        <w:t>《河北省城乡居民基本养老保险经办规程（暂行）》</w:t>
      </w:r>
      <w:r>
        <w:rPr>
          <w:rFonts w:hint="eastAsia" w:ascii="宋体" w:hAnsi="宋体" w:eastAsia="宋体" w:cs="宋体"/>
          <w:sz w:val="21"/>
          <w:szCs w:val="21"/>
        </w:rPr>
        <w:t>等法律法规和政策规定,</w:t>
      </w:r>
      <w:r>
        <w:rPr>
          <w:rFonts w:hint="eastAsia" w:ascii="宋体" w:hAnsi="宋体" w:eastAsia="宋体" w:cs="宋体"/>
          <w:sz w:val="21"/>
          <w:szCs w:val="21"/>
          <w:lang w:eastAsia="zh-CN"/>
        </w:rPr>
        <w:t>有效防范欺诈、冒领城乡居民养老保险待遇行为，</w:t>
      </w:r>
      <w:r>
        <w:rPr>
          <w:rFonts w:hint="eastAsia" w:ascii="宋体" w:hAnsi="宋体" w:eastAsia="宋体" w:cs="宋体"/>
          <w:sz w:val="21"/>
          <w:szCs w:val="21"/>
        </w:rPr>
        <w:t>结合魏县实际,制定本办法。</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2"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b/>
          <w:bCs/>
          <w:sz w:val="21"/>
          <w:szCs w:val="21"/>
        </w:rPr>
        <w:t>第二条</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本办法适用于</w:t>
      </w:r>
      <w:r>
        <w:rPr>
          <w:rFonts w:hint="eastAsia" w:ascii="宋体" w:hAnsi="宋体" w:eastAsia="宋体" w:cs="宋体"/>
          <w:sz w:val="21"/>
          <w:szCs w:val="21"/>
          <w:lang w:eastAsia="zh-CN"/>
        </w:rPr>
        <w:t>乡镇</w:t>
      </w:r>
      <w:r>
        <w:rPr>
          <w:rFonts w:hint="eastAsia" w:ascii="宋体" w:hAnsi="宋体" w:eastAsia="宋体" w:cs="宋体"/>
          <w:sz w:val="21"/>
          <w:szCs w:val="21"/>
          <w:lang w:val="en-US" w:eastAsia="zh-CN"/>
        </w:rPr>
        <w:t>(街道)城乡</w:t>
      </w:r>
      <w:r>
        <w:rPr>
          <w:rFonts w:hint="eastAsia" w:ascii="宋体" w:hAnsi="宋体" w:eastAsia="宋体" w:cs="宋体"/>
          <w:sz w:val="21"/>
          <w:szCs w:val="21"/>
        </w:rPr>
        <w:t>居民中领取城乡居民基本养老金的人员(以下简称“待遇领取人员”)</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2"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b/>
          <w:bCs/>
          <w:sz w:val="21"/>
          <w:szCs w:val="21"/>
        </w:rPr>
        <w:t>第三条</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待遇领取人员资格确认工作在县政府领导下，由各乡镇</w:t>
      </w:r>
      <w:r>
        <w:rPr>
          <w:rFonts w:hint="eastAsia" w:ascii="宋体" w:hAnsi="宋体" w:eastAsia="宋体" w:cs="宋体"/>
          <w:kern w:val="2"/>
          <w:sz w:val="21"/>
          <w:szCs w:val="21"/>
          <w:lang w:val="en-US" w:eastAsia="zh-CN" w:bidi="ar-SA"/>
        </w:rPr>
        <w:t>(街道)具体</w:t>
      </w:r>
      <w:r>
        <w:rPr>
          <w:rFonts w:hint="eastAsia" w:ascii="宋体" w:hAnsi="宋体" w:eastAsia="宋体" w:cs="宋体"/>
          <w:sz w:val="21"/>
          <w:szCs w:val="21"/>
          <w:lang w:eastAsia="zh-CN"/>
        </w:rPr>
        <w:t>负责安排落实，县农保中心做好相关业务指导。</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2" w:firstLineChars="200"/>
        <w:jc w:val="both"/>
        <w:textAlignment w:val="auto"/>
        <w:outlineLvl w:val="9"/>
        <w:rPr>
          <w:rFonts w:hint="eastAsia" w:ascii="宋体" w:hAnsi="宋体" w:eastAsia="宋体" w:cs="宋体"/>
          <w:sz w:val="21"/>
          <w:szCs w:val="21"/>
        </w:rPr>
      </w:pPr>
      <w:r>
        <w:rPr>
          <w:rFonts w:hint="eastAsia" w:ascii="宋体" w:hAnsi="宋体" w:eastAsia="宋体" w:cs="宋体"/>
          <w:b/>
          <w:bCs/>
          <w:sz w:val="21"/>
          <w:szCs w:val="21"/>
        </w:rPr>
        <w:t>第四条</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待遇领取人员</w:t>
      </w:r>
      <w:r>
        <w:rPr>
          <w:rFonts w:hint="eastAsia" w:ascii="宋体" w:hAnsi="宋体" w:eastAsia="宋体" w:cs="宋体"/>
          <w:color w:val="auto"/>
          <w:sz w:val="21"/>
          <w:szCs w:val="21"/>
        </w:rPr>
        <w:t>资格</w:t>
      </w:r>
      <w:r>
        <w:rPr>
          <w:rFonts w:hint="eastAsia" w:ascii="宋体" w:hAnsi="宋体" w:eastAsia="宋体" w:cs="宋体"/>
          <w:color w:val="auto"/>
          <w:sz w:val="21"/>
          <w:szCs w:val="21"/>
          <w:lang w:eastAsia="zh-CN"/>
        </w:rPr>
        <w:t>确认实行乡镇村月报制度和手机</w:t>
      </w:r>
      <w:r>
        <w:rPr>
          <w:rFonts w:hint="eastAsia" w:ascii="宋体" w:hAnsi="宋体" w:eastAsia="宋体" w:cs="宋体"/>
          <w:color w:val="auto"/>
          <w:sz w:val="21"/>
          <w:szCs w:val="21"/>
          <w:lang w:val="en-US" w:eastAsia="zh-CN"/>
        </w:rPr>
        <w:t>APP及现场确认</w:t>
      </w:r>
      <w:r>
        <w:rPr>
          <w:rFonts w:hint="eastAsia" w:ascii="宋体" w:hAnsi="宋体" w:eastAsia="宋体" w:cs="宋体"/>
          <w:color w:val="auto"/>
          <w:sz w:val="21"/>
          <w:szCs w:val="21"/>
          <w:lang w:eastAsia="zh-CN"/>
        </w:rPr>
        <w:t>相结合。</w:t>
      </w:r>
      <w:r>
        <w:rPr>
          <w:rFonts w:hint="eastAsia" w:ascii="宋体" w:hAnsi="宋体" w:eastAsia="宋体" w:cs="宋体"/>
          <w:sz w:val="21"/>
          <w:szCs w:val="21"/>
          <w:lang w:val="en-US" w:eastAsia="zh-CN"/>
        </w:rPr>
        <w:t>实行乡镇村月报制度，每月由村上报该村人员死亡花名册及死亡时间，</w:t>
      </w:r>
      <w:r>
        <w:rPr>
          <w:rFonts w:hint="eastAsia" w:ascii="宋体" w:hAnsi="宋体" w:eastAsia="宋体" w:cs="宋体"/>
          <w:color w:val="auto"/>
          <w:sz w:val="21"/>
          <w:szCs w:val="21"/>
          <w:lang w:val="en-US" w:eastAsia="zh-CN"/>
        </w:rPr>
        <w:t>经村支书、主任及负责城乡居民养老保险工作的村协办员签字加盖村公章、报经乡镇主管领导审核签字后，</w:t>
      </w:r>
      <w:r>
        <w:rPr>
          <w:rFonts w:hint="eastAsia" w:ascii="宋体" w:hAnsi="宋体" w:eastAsia="宋体" w:cs="宋体"/>
          <w:sz w:val="21"/>
          <w:szCs w:val="21"/>
          <w:lang w:val="en-US" w:eastAsia="zh-CN"/>
        </w:rPr>
        <w:t>上报</w:t>
      </w:r>
      <w:r>
        <w:rPr>
          <w:rFonts w:hint="eastAsia" w:ascii="宋体" w:hAnsi="宋体" w:eastAsia="宋体" w:cs="宋体"/>
          <w:sz w:val="21"/>
          <w:szCs w:val="21"/>
          <w:lang w:eastAsia="zh-CN"/>
        </w:rPr>
        <w:t>乡镇</w:t>
      </w:r>
      <w:r>
        <w:rPr>
          <w:rFonts w:hint="eastAsia" w:ascii="宋体" w:hAnsi="宋体" w:eastAsia="宋体" w:cs="宋体"/>
          <w:kern w:val="2"/>
          <w:sz w:val="21"/>
          <w:szCs w:val="21"/>
          <w:lang w:val="en-US" w:eastAsia="zh-CN" w:bidi="ar-SA"/>
        </w:rPr>
        <w:t>(街道)行政综合服务中心</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待遇领取人员</w:t>
      </w:r>
      <w:r>
        <w:rPr>
          <w:rFonts w:hint="eastAsia" w:ascii="宋体" w:hAnsi="宋体" w:eastAsia="宋体" w:cs="宋体"/>
          <w:sz w:val="21"/>
          <w:szCs w:val="21"/>
        </w:rPr>
        <w:t>资格</w:t>
      </w:r>
      <w:r>
        <w:rPr>
          <w:rFonts w:hint="eastAsia" w:ascii="宋体" w:hAnsi="宋体" w:eastAsia="宋体" w:cs="宋体"/>
          <w:sz w:val="21"/>
          <w:szCs w:val="21"/>
          <w:lang w:eastAsia="zh-CN"/>
        </w:rPr>
        <w:t>现场确认</w:t>
      </w:r>
      <w:r>
        <w:rPr>
          <w:rFonts w:hint="eastAsia" w:ascii="宋体" w:hAnsi="宋体" w:eastAsia="宋体" w:cs="宋体"/>
          <w:sz w:val="21"/>
          <w:szCs w:val="21"/>
        </w:rPr>
        <w:t>每年进行</w:t>
      </w:r>
      <w:r>
        <w:rPr>
          <w:rFonts w:hint="eastAsia" w:ascii="宋体" w:hAnsi="宋体" w:eastAsia="宋体" w:cs="宋体"/>
          <w:sz w:val="21"/>
          <w:szCs w:val="21"/>
          <w:lang w:val="en-US" w:eastAsia="zh-CN"/>
        </w:rPr>
        <w:t>2</w:t>
      </w:r>
      <w:r>
        <w:rPr>
          <w:rFonts w:hint="eastAsia" w:ascii="宋体" w:hAnsi="宋体" w:eastAsia="宋体" w:cs="宋体"/>
          <w:sz w:val="21"/>
          <w:szCs w:val="21"/>
        </w:rPr>
        <w:t>次,待遇领取人员必须按</w:t>
      </w:r>
      <w:r>
        <w:rPr>
          <w:rFonts w:hint="eastAsia" w:ascii="宋体" w:hAnsi="宋体" w:eastAsia="宋体" w:cs="宋体"/>
          <w:sz w:val="21"/>
          <w:szCs w:val="21"/>
          <w:lang w:eastAsia="zh-CN"/>
        </w:rPr>
        <w:t>规定</w:t>
      </w:r>
      <w:r>
        <w:rPr>
          <w:rFonts w:hint="eastAsia" w:ascii="宋体" w:hAnsi="宋体" w:eastAsia="宋体" w:cs="宋体"/>
          <w:sz w:val="21"/>
          <w:szCs w:val="21"/>
        </w:rPr>
        <w:t>参加</w:t>
      </w:r>
      <w:r>
        <w:rPr>
          <w:rFonts w:hint="eastAsia" w:ascii="宋体" w:hAnsi="宋体" w:eastAsia="宋体" w:cs="宋体"/>
          <w:sz w:val="21"/>
          <w:szCs w:val="21"/>
          <w:lang w:eastAsia="zh-CN"/>
        </w:rPr>
        <w:t>现场</w:t>
      </w:r>
      <w:r>
        <w:rPr>
          <w:rFonts w:hint="eastAsia" w:ascii="宋体" w:hAnsi="宋体" w:eastAsia="宋体" w:cs="宋体"/>
          <w:sz w:val="21"/>
          <w:szCs w:val="21"/>
        </w:rPr>
        <w:t>资格</w:t>
      </w:r>
      <w:r>
        <w:rPr>
          <w:rFonts w:hint="eastAsia" w:ascii="宋体" w:hAnsi="宋体" w:eastAsia="宋体" w:cs="宋体"/>
          <w:sz w:val="21"/>
          <w:szCs w:val="21"/>
          <w:lang w:eastAsia="zh-CN"/>
        </w:rPr>
        <w:t>确认</w:t>
      </w:r>
      <w:r>
        <w:rPr>
          <w:rFonts w:hint="eastAsia" w:ascii="宋体" w:hAnsi="宋体" w:eastAsia="宋体" w:cs="宋体"/>
          <w:sz w:val="21"/>
          <w:szCs w:val="21"/>
        </w:rPr>
        <w:t>,如实提供有关情况,主动提交有关</w:t>
      </w:r>
      <w:r>
        <w:rPr>
          <w:rFonts w:hint="eastAsia" w:ascii="宋体" w:hAnsi="宋体" w:eastAsia="宋体" w:cs="宋体"/>
          <w:sz w:val="21"/>
          <w:szCs w:val="21"/>
          <w:lang w:eastAsia="zh-CN"/>
        </w:rPr>
        <w:t>证据</w:t>
      </w:r>
      <w:r>
        <w:rPr>
          <w:rFonts w:hint="eastAsia" w:ascii="宋体" w:hAnsi="宋体" w:eastAsia="宋体" w:cs="宋体"/>
          <w:sz w:val="21"/>
          <w:szCs w:val="21"/>
        </w:rPr>
        <w:t>,配合</w:t>
      </w:r>
      <w:r>
        <w:rPr>
          <w:rFonts w:hint="eastAsia" w:ascii="宋体" w:hAnsi="宋体" w:eastAsia="宋体" w:cs="宋体"/>
          <w:sz w:val="21"/>
          <w:szCs w:val="21"/>
          <w:lang w:eastAsia="zh-CN"/>
        </w:rPr>
        <w:t>资格确认工作，切实保障个人权益</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2"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b/>
          <w:bCs/>
          <w:sz w:val="21"/>
          <w:szCs w:val="21"/>
        </w:rPr>
        <w:t>第五条</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资格</w:t>
      </w:r>
      <w:r>
        <w:rPr>
          <w:rFonts w:hint="eastAsia" w:ascii="宋体" w:hAnsi="宋体" w:eastAsia="宋体" w:cs="宋体"/>
          <w:sz w:val="21"/>
          <w:szCs w:val="21"/>
          <w:lang w:eastAsia="zh-CN"/>
        </w:rPr>
        <w:t>确认</w:t>
      </w:r>
      <w:r>
        <w:rPr>
          <w:rFonts w:hint="eastAsia" w:ascii="宋体" w:hAnsi="宋体" w:eastAsia="宋体" w:cs="宋体"/>
          <w:sz w:val="21"/>
          <w:szCs w:val="21"/>
        </w:rPr>
        <w:t>合格</w:t>
      </w:r>
      <w:r>
        <w:rPr>
          <w:rFonts w:hint="eastAsia" w:ascii="宋体" w:hAnsi="宋体" w:eastAsia="宋体" w:cs="宋体"/>
          <w:sz w:val="21"/>
          <w:szCs w:val="21"/>
          <w:lang w:eastAsia="zh-CN"/>
        </w:rPr>
        <w:t>者列入具备待遇领取资格人员名单，</w:t>
      </w:r>
      <w:r>
        <w:rPr>
          <w:rFonts w:hint="eastAsia" w:ascii="宋体" w:hAnsi="宋体" w:eastAsia="宋体" w:cs="宋体"/>
          <w:sz w:val="21"/>
          <w:szCs w:val="21"/>
        </w:rPr>
        <w:t>由乡镇(街道)</w:t>
      </w:r>
      <w:r>
        <w:rPr>
          <w:rFonts w:hint="eastAsia" w:ascii="宋体" w:hAnsi="宋体" w:eastAsia="宋体" w:cs="宋体"/>
          <w:sz w:val="21"/>
          <w:szCs w:val="21"/>
          <w:lang w:eastAsia="zh-CN"/>
        </w:rPr>
        <w:t>行政综合</w:t>
      </w:r>
      <w:r>
        <w:rPr>
          <w:rFonts w:hint="eastAsia" w:ascii="宋体" w:hAnsi="宋体" w:eastAsia="宋体" w:cs="宋体"/>
          <w:sz w:val="21"/>
          <w:szCs w:val="21"/>
        </w:rPr>
        <w:t>服务</w:t>
      </w:r>
      <w:r>
        <w:rPr>
          <w:rFonts w:hint="eastAsia" w:ascii="宋体" w:hAnsi="宋体" w:eastAsia="宋体" w:cs="宋体"/>
          <w:sz w:val="21"/>
          <w:szCs w:val="21"/>
          <w:lang w:eastAsia="zh-CN"/>
        </w:rPr>
        <w:t>中心上</w:t>
      </w:r>
      <w:r>
        <w:rPr>
          <w:rFonts w:hint="eastAsia" w:ascii="宋体" w:hAnsi="宋体" w:eastAsia="宋体" w:cs="宋体"/>
          <w:sz w:val="21"/>
          <w:szCs w:val="21"/>
        </w:rPr>
        <w:t>报县</w:t>
      </w:r>
      <w:r>
        <w:rPr>
          <w:rFonts w:hint="eastAsia" w:ascii="宋体" w:hAnsi="宋体" w:eastAsia="宋体" w:cs="宋体"/>
          <w:sz w:val="21"/>
          <w:szCs w:val="21"/>
          <w:lang w:eastAsia="zh-CN"/>
        </w:rPr>
        <w:t>农保中心审核</w:t>
      </w:r>
      <w:r>
        <w:rPr>
          <w:rFonts w:hint="eastAsia" w:ascii="宋体" w:hAnsi="宋体" w:eastAsia="宋体" w:cs="宋体"/>
          <w:sz w:val="21"/>
          <w:szCs w:val="21"/>
        </w:rPr>
        <w:t>后及时续发养老金。资格</w:t>
      </w:r>
      <w:r>
        <w:rPr>
          <w:rFonts w:hint="eastAsia" w:ascii="宋体" w:hAnsi="宋体" w:eastAsia="宋体" w:cs="宋体"/>
          <w:sz w:val="21"/>
          <w:szCs w:val="21"/>
          <w:lang w:eastAsia="zh-CN"/>
        </w:rPr>
        <w:t>确认</w:t>
      </w:r>
      <w:r>
        <w:rPr>
          <w:rFonts w:hint="eastAsia" w:ascii="宋体" w:hAnsi="宋体" w:eastAsia="宋体" w:cs="宋体"/>
          <w:sz w:val="21"/>
          <w:szCs w:val="21"/>
        </w:rPr>
        <w:t>不合格者</w:t>
      </w:r>
      <w:r>
        <w:rPr>
          <w:rFonts w:hint="eastAsia" w:ascii="宋体" w:hAnsi="宋体" w:eastAsia="宋体" w:cs="宋体"/>
          <w:sz w:val="21"/>
          <w:szCs w:val="21"/>
          <w:lang w:eastAsia="zh-CN"/>
        </w:rPr>
        <w:t>列入丧失待遇领取资格人员名单，</w:t>
      </w:r>
      <w:r>
        <w:rPr>
          <w:rFonts w:hint="eastAsia" w:ascii="宋体" w:hAnsi="宋体" w:eastAsia="宋体" w:cs="宋体"/>
          <w:sz w:val="21"/>
          <w:szCs w:val="21"/>
        </w:rPr>
        <w:t>应及时办理暂停、终止、注销</w:t>
      </w:r>
      <w:r>
        <w:rPr>
          <w:rFonts w:hint="eastAsia" w:ascii="宋体" w:hAnsi="宋体" w:eastAsia="宋体" w:cs="宋体"/>
          <w:sz w:val="21"/>
          <w:szCs w:val="21"/>
          <w:lang w:eastAsia="zh-CN"/>
        </w:rPr>
        <w:t>等</w:t>
      </w:r>
      <w:r>
        <w:rPr>
          <w:rFonts w:hint="eastAsia" w:ascii="宋体" w:hAnsi="宋体" w:eastAsia="宋体" w:cs="宋体"/>
          <w:sz w:val="21"/>
          <w:szCs w:val="21"/>
        </w:rPr>
        <w:t>有关手续</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2"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第六条</w:t>
      </w:r>
      <w:r>
        <w:rPr>
          <w:rFonts w:hint="eastAsia" w:ascii="宋体" w:hAnsi="宋体" w:eastAsia="宋体" w:cs="宋体"/>
          <w:kern w:val="2"/>
          <w:sz w:val="21"/>
          <w:szCs w:val="21"/>
          <w:lang w:val="en-US" w:eastAsia="zh-CN" w:bidi="ar-SA"/>
        </w:rPr>
        <w:t xml:space="preserve">  采取多部门联动配合，公安、司法、民政、卫健、医保、法院、</w:t>
      </w:r>
      <w:r>
        <w:rPr>
          <w:rFonts w:hint="eastAsia" w:ascii="宋体" w:hAnsi="宋体" w:eastAsia="宋体" w:cs="宋体"/>
          <w:color w:val="auto"/>
          <w:kern w:val="2"/>
          <w:sz w:val="21"/>
          <w:szCs w:val="21"/>
          <w:lang w:val="en-US" w:eastAsia="zh-CN" w:bidi="ar-SA"/>
        </w:rPr>
        <w:t>交运</w:t>
      </w:r>
      <w:r>
        <w:rPr>
          <w:rFonts w:hint="eastAsia" w:ascii="宋体" w:hAnsi="宋体" w:eastAsia="宋体" w:cs="宋体"/>
          <w:kern w:val="2"/>
          <w:sz w:val="21"/>
          <w:szCs w:val="21"/>
          <w:lang w:val="en-US" w:eastAsia="zh-CN" w:bidi="ar-SA"/>
        </w:rPr>
        <w:t>、保险公司、代发金融机构等多部门应与县人社局进行数据共享，积极配合</w:t>
      </w:r>
      <w:r>
        <w:rPr>
          <w:rFonts w:hint="eastAsia" w:ascii="宋体" w:hAnsi="宋体" w:eastAsia="宋体" w:cs="宋体"/>
          <w:color w:val="auto"/>
          <w:kern w:val="2"/>
          <w:sz w:val="21"/>
          <w:szCs w:val="21"/>
          <w:lang w:val="en-US" w:eastAsia="zh-CN" w:bidi="ar-SA"/>
        </w:rPr>
        <w:t>城乡居民基本养老保险经</w:t>
      </w:r>
      <w:r>
        <w:rPr>
          <w:rFonts w:hint="eastAsia" w:ascii="宋体" w:hAnsi="宋体" w:eastAsia="宋体" w:cs="宋体"/>
          <w:kern w:val="2"/>
          <w:sz w:val="21"/>
          <w:szCs w:val="21"/>
          <w:lang w:val="en-US" w:eastAsia="zh-CN" w:bidi="ar-SA"/>
        </w:rPr>
        <w:t>办机构做好城乡居民基本养老保险和职工养老保险数据、户籍注销信息、民政火化数据、法院已判刑人员信息、残联数据等的对比工作。</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left="0" w:leftChars="0"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民政部门每月提供死亡火化名单；公安部门每月提供户籍注销人员名单并根据县农保中心移交死亡冒领人员名单依法予以追回冒领基金；卫健部门每月提供在医院病人死亡名单；保险公司负责提供理赔死亡人员信息；司法局和法院每月提供已服刑和判刑人员信息，其他有关部门充分发挥自身优势，协调联动、有机配合，有效防止死亡及不符合领取条件人员冒领养老金现象发生，确保基金安全。</w:t>
      </w:r>
    </w:p>
    <w:p>
      <w:pPr>
        <w:keepNext w:val="0"/>
        <w:keepLines w:val="0"/>
        <w:pageBreakBefore w:val="0"/>
        <w:kinsoku/>
        <w:wordWrap/>
        <w:overflowPunct/>
        <w:topLinePunct w:val="0"/>
        <w:autoSpaceDE/>
        <w:autoSpaceDN/>
        <w:bidi w:val="0"/>
        <w:adjustRightInd/>
        <w:snapToGrid/>
        <w:spacing w:line="390" w:lineRule="exact"/>
        <w:ind w:left="0" w:leftChars="0" w:right="0" w:rightChars="0" w:firstLine="2310" w:firstLineChars="1100"/>
        <w:jc w:val="left"/>
        <w:textAlignment w:val="auto"/>
        <w:outlineLvl w:val="9"/>
        <w:rPr>
          <w:rFonts w:hint="eastAsia" w:ascii="宋体" w:hAnsi="宋体" w:eastAsia="宋体" w:cs="宋体"/>
          <w:kern w:val="2"/>
          <w:sz w:val="21"/>
          <w:szCs w:val="21"/>
          <w:lang w:val="en-US" w:eastAsia="zh-CN" w:bidi="ar-SA"/>
        </w:rPr>
      </w:pPr>
    </w:p>
    <w:p>
      <w:pPr>
        <w:keepNext w:val="0"/>
        <w:keepLines w:val="0"/>
        <w:pageBreakBefore w:val="0"/>
        <w:kinsoku/>
        <w:wordWrap/>
        <w:overflowPunct/>
        <w:topLinePunct w:val="0"/>
        <w:autoSpaceDE/>
        <w:autoSpaceDN/>
        <w:bidi w:val="0"/>
        <w:adjustRightInd/>
        <w:snapToGrid/>
        <w:spacing w:line="390" w:lineRule="exact"/>
        <w:ind w:left="0" w:leftChars="0" w:right="0" w:rightChars="0"/>
        <w:jc w:val="center"/>
        <w:textAlignment w:val="auto"/>
        <w:outlineLvl w:val="9"/>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第二章 资格确认</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left="0" w:leftChars="0" w:right="0" w:rightChars="0" w:firstLine="422"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第七条</w:t>
      </w:r>
      <w:r>
        <w:rPr>
          <w:rFonts w:hint="eastAsia" w:ascii="宋体" w:hAnsi="宋体" w:eastAsia="宋体" w:cs="宋体"/>
          <w:kern w:val="2"/>
          <w:sz w:val="21"/>
          <w:szCs w:val="21"/>
          <w:lang w:val="en-US" w:eastAsia="zh-CN" w:bidi="ar-SA"/>
        </w:rPr>
        <w:t xml:space="preserve">  (一)对于大多数身体健康且在家的待遇领取人员，由乡镇(街道)组织人员通过手机APP或到村（居、社区）进行指静脉（人脸）资格确认。(二)对长期卧床不起、行动不便和高龄待遇领取人员，乡镇(街道)行政综合服务中心人员和村干部服务上门，入户进行资格确认。(三)在外务工、在外居住待遇领取人员，采取手机APP或网络视频的方式进行资格确认。(四)在外投亲、迁移且不能使用网络视频确认的待遇领取人员，到当地的人社部门进行资格确认，留存纸质图片加盖当地公章后寄回完成资格确认。</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left="0" w:leftChars="0" w:right="0" w:rightChars="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w:t>
      </w:r>
      <w:r>
        <w:rPr>
          <w:rFonts w:hint="eastAsia" w:ascii="宋体" w:hAnsi="宋体" w:eastAsia="宋体" w:cs="宋体"/>
          <w:b/>
          <w:bCs/>
          <w:kern w:val="2"/>
          <w:sz w:val="21"/>
          <w:szCs w:val="21"/>
          <w:lang w:val="en-US" w:eastAsia="zh-CN" w:bidi="ar-SA"/>
        </w:rPr>
        <w:t>第八条</w:t>
      </w:r>
      <w:r>
        <w:rPr>
          <w:rFonts w:hint="eastAsia" w:ascii="宋体" w:hAnsi="宋体" w:eastAsia="宋体" w:cs="宋体"/>
          <w:kern w:val="2"/>
          <w:sz w:val="21"/>
          <w:szCs w:val="21"/>
          <w:lang w:val="en-US" w:eastAsia="zh-CN" w:bidi="ar-SA"/>
        </w:rPr>
        <w:t xml:space="preserve">  资格确认时要认真审查有关证件,及时登录上传资格确认内网。  </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2"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第九条</w:t>
      </w:r>
      <w:r>
        <w:rPr>
          <w:rFonts w:hint="eastAsia" w:ascii="宋体" w:hAnsi="宋体" w:eastAsia="宋体" w:cs="宋体"/>
          <w:kern w:val="2"/>
          <w:sz w:val="21"/>
          <w:szCs w:val="21"/>
          <w:lang w:val="en-US" w:eastAsia="zh-CN" w:bidi="ar-SA"/>
        </w:rPr>
        <w:t xml:space="preserve">  各乡镇(街道)村（居）对待遇领取人员进行资格确认后,要将名单进行一次公示,公示期不得少于10天。同时,公布举报电话与监督电话,及时受理举报,并对举报情况及时处理。</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2"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第十条</w:t>
      </w:r>
      <w:r>
        <w:rPr>
          <w:rFonts w:hint="eastAsia" w:ascii="宋体" w:hAnsi="宋体" w:eastAsia="宋体" w:cs="宋体"/>
          <w:kern w:val="2"/>
          <w:sz w:val="21"/>
          <w:szCs w:val="21"/>
          <w:lang w:val="en-US" w:eastAsia="zh-CN" w:bidi="ar-SA"/>
        </w:rPr>
        <w:t xml:space="preserve">  对资格确认中需要调查核实的问题，工作人员应及时报告乡镇(街道)领导,特殊情况移送县人力资源和社会保障局调查处理。</w:t>
      </w:r>
    </w:p>
    <w:p>
      <w:pPr>
        <w:keepNext w:val="0"/>
        <w:keepLines w:val="0"/>
        <w:pageBreakBefore w:val="0"/>
        <w:kinsoku/>
        <w:wordWrap/>
        <w:overflowPunct/>
        <w:topLinePunct w:val="0"/>
        <w:autoSpaceDE/>
        <w:autoSpaceDN/>
        <w:bidi w:val="0"/>
        <w:adjustRightInd/>
        <w:snapToGrid/>
        <w:spacing w:line="390" w:lineRule="exact"/>
        <w:ind w:left="0" w:leftChars="0" w:right="0" w:rightChars="0"/>
        <w:jc w:val="center"/>
        <w:textAlignment w:val="auto"/>
        <w:outlineLvl w:val="9"/>
        <w:rPr>
          <w:rFonts w:hint="eastAsia" w:ascii="宋体" w:hAnsi="宋体" w:eastAsia="宋体" w:cs="宋体"/>
          <w:kern w:val="2"/>
          <w:sz w:val="21"/>
          <w:szCs w:val="21"/>
          <w:lang w:val="en-US" w:eastAsia="zh-CN" w:bidi="ar-SA"/>
        </w:rPr>
      </w:pPr>
    </w:p>
    <w:p>
      <w:pPr>
        <w:keepNext w:val="0"/>
        <w:keepLines w:val="0"/>
        <w:pageBreakBefore w:val="0"/>
        <w:kinsoku/>
        <w:wordWrap/>
        <w:overflowPunct/>
        <w:topLinePunct w:val="0"/>
        <w:autoSpaceDE/>
        <w:autoSpaceDN/>
        <w:bidi w:val="0"/>
        <w:adjustRightInd/>
        <w:snapToGrid/>
        <w:spacing w:line="390" w:lineRule="exact"/>
        <w:ind w:left="0" w:leftChars="0" w:right="0" w:rightChars="0"/>
        <w:jc w:val="center"/>
        <w:textAlignment w:val="auto"/>
        <w:outlineLvl w:val="9"/>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第三章 举报机制</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2"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第十一条</w:t>
      </w:r>
      <w:r>
        <w:rPr>
          <w:rFonts w:hint="eastAsia" w:ascii="宋体" w:hAnsi="宋体" w:eastAsia="宋体" w:cs="宋体"/>
          <w:kern w:val="2"/>
          <w:sz w:val="21"/>
          <w:szCs w:val="21"/>
          <w:lang w:val="en-US" w:eastAsia="zh-CN" w:bidi="ar-SA"/>
        </w:rPr>
        <w:t xml:space="preserve">  建立举报制度,鼓励社会各界人士对冒领骗取养老金行为投诉举报。县农保中心设立举报电话(0310-3532479),工作人员要对举报情况认真登记,对举报人、线索严格保密,并在30天内调查核实,及时处理。各乡镇（街道）也要设立举报网络。</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2"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第十二条</w:t>
      </w:r>
      <w:r>
        <w:rPr>
          <w:rFonts w:hint="eastAsia" w:ascii="宋体" w:hAnsi="宋体" w:eastAsia="宋体" w:cs="宋体"/>
          <w:kern w:val="2"/>
          <w:sz w:val="21"/>
          <w:szCs w:val="21"/>
          <w:lang w:val="en-US" w:eastAsia="zh-CN" w:bidi="ar-SA"/>
        </w:rPr>
        <w:t xml:space="preserve">  县城乡居民基本养老保险经办机构采取下列措施,为举报人保密:(一)对举报人姓名、家庭住址及举报内容严格保密,并按国家有关保密规定,妥善保管有关举报材料及凭证;(二)严禁将举报材料传给被举报人;(三)核实情况时,要做好保密工作,不得泄露举报人身份情况;(四)宣传报道举报人时,未经举报人同意,不得泄露或公开举报人身份。</w:t>
      </w:r>
    </w:p>
    <w:p>
      <w:pPr>
        <w:keepNext w:val="0"/>
        <w:keepLines w:val="0"/>
        <w:pageBreakBefore w:val="0"/>
        <w:kinsoku/>
        <w:wordWrap/>
        <w:overflowPunct/>
        <w:topLinePunct w:val="0"/>
        <w:autoSpaceDE/>
        <w:autoSpaceDN/>
        <w:bidi w:val="0"/>
        <w:adjustRightInd/>
        <w:snapToGrid/>
        <w:spacing w:line="390" w:lineRule="exact"/>
        <w:ind w:left="0" w:leftChars="0" w:right="0" w:rightChars="0"/>
        <w:jc w:val="center"/>
        <w:textAlignment w:val="auto"/>
        <w:outlineLvl w:val="9"/>
        <w:rPr>
          <w:rFonts w:hint="eastAsia" w:ascii="宋体" w:hAnsi="宋体" w:eastAsia="宋体" w:cs="宋体"/>
          <w:kern w:val="2"/>
          <w:sz w:val="21"/>
          <w:szCs w:val="21"/>
          <w:lang w:val="en-US" w:eastAsia="zh-CN" w:bidi="ar-SA"/>
        </w:rPr>
      </w:pPr>
    </w:p>
    <w:p>
      <w:pPr>
        <w:keepNext w:val="0"/>
        <w:keepLines w:val="0"/>
        <w:pageBreakBefore w:val="0"/>
        <w:kinsoku/>
        <w:wordWrap/>
        <w:overflowPunct/>
        <w:topLinePunct w:val="0"/>
        <w:autoSpaceDE/>
        <w:autoSpaceDN/>
        <w:bidi w:val="0"/>
        <w:adjustRightInd/>
        <w:snapToGrid/>
        <w:spacing w:line="390" w:lineRule="exact"/>
        <w:ind w:left="0" w:leftChars="0" w:right="0" w:rightChars="0"/>
        <w:jc w:val="center"/>
        <w:textAlignment w:val="auto"/>
        <w:outlineLvl w:val="9"/>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第四章 追缴处罚</w:t>
      </w:r>
    </w:p>
    <w:p>
      <w:pPr>
        <w:pStyle w:val="9"/>
        <w:keepNext w:val="0"/>
        <w:keepLines w:val="0"/>
        <w:pageBreakBefore w:val="0"/>
        <w:numPr>
          <w:ilvl w:val="0"/>
          <w:numId w:val="0"/>
        </w:numPr>
        <w:kinsoku/>
        <w:wordWrap/>
        <w:overflowPunct/>
        <w:topLinePunct w:val="0"/>
        <w:autoSpaceDE/>
        <w:autoSpaceDN/>
        <w:bidi w:val="0"/>
        <w:adjustRightInd/>
        <w:snapToGrid/>
        <w:spacing w:line="390" w:lineRule="exact"/>
        <w:ind w:left="0" w:leftChars="0" w:right="0" w:rightChars="0" w:firstLine="422"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b/>
          <w:bCs/>
          <w:kern w:val="2"/>
          <w:sz w:val="21"/>
          <w:szCs w:val="21"/>
          <w:lang w:val="en-US" w:eastAsia="zh-CN" w:bidi="ar-SA"/>
        </w:rPr>
        <w:t>第十三条</w:t>
      </w:r>
      <w:r>
        <w:rPr>
          <w:rFonts w:hint="eastAsia" w:ascii="宋体" w:hAnsi="宋体" w:eastAsia="宋体" w:cs="宋体"/>
          <w:kern w:val="2"/>
          <w:sz w:val="21"/>
          <w:szCs w:val="21"/>
          <w:lang w:val="en-US" w:eastAsia="zh-CN" w:bidi="ar-SA"/>
        </w:rPr>
        <w:t xml:space="preserve">  丧失待遇领取资格人员如其本人或家属存在弄虚作假、冒领骗取城乡居民基本养老金的由所在乡镇（街道）追缴；</w:t>
      </w:r>
      <w:r>
        <w:rPr>
          <w:rFonts w:hint="eastAsia" w:ascii="宋体" w:hAnsi="宋体" w:eastAsia="宋体" w:cs="宋体"/>
          <w:sz w:val="21"/>
          <w:szCs w:val="21"/>
          <w:lang w:val="en-US" w:eastAsia="zh-CN"/>
        </w:rPr>
        <w:t>对拒不退回的由乡镇（街道）移送公安机关依法追回。对基金追缴不力造成基金流失的由县纪委监委追究乡镇村相关责任人责任。</w:t>
      </w:r>
    </w:p>
    <w:p>
      <w:pPr>
        <w:keepNext w:val="0"/>
        <w:keepLines w:val="0"/>
        <w:pageBreakBefore w:val="0"/>
        <w:kinsoku/>
        <w:wordWrap/>
        <w:overflowPunct/>
        <w:topLinePunct w:val="0"/>
        <w:autoSpaceDE/>
        <w:autoSpaceDN/>
        <w:bidi w:val="0"/>
        <w:adjustRightInd/>
        <w:snapToGrid/>
        <w:spacing w:line="390" w:lineRule="exact"/>
        <w:ind w:left="0" w:leftChars="0" w:right="0" w:righ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情节严重构成犯罪的,移交司法机关依法追缴并追究刑事责任。</w:t>
      </w:r>
    </w:p>
    <w:p>
      <w:pPr>
        <w:keepNext w:val="0"/>
        <w:keepLines w:val="0"/>
        <w:pageBreakBefore w:val="0"/>
        <w:kinsoku/>
        <w:wordWrap/>
        <w:overflowPunct/>
        <w:topLinePunct w:val="0"/>
        <w:autoSpaceDE/>
        <w:autoSpaceDN/>
        <w:bidi w:val="0"/>
        <w:adjustRightInd/>
        <w:snapToGrid/>
        <w:spacing w:line="390" w:lineRule="exact"/>
        <w:ind w:left="0" w:leftChars="0" w:right="0" w:rightChars="0" w:firstLine="422"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第十四条</w:t>
      </w:r>
      <w:r>
        <w:rPr>
          <w:rFonts w:hint="eastAsia" w:ascii="宋体" w:hAnsi="宋体" w:eastAsia="宋体" w:cs="宋体"/>
          <w:kern w:val="2"/>
          <w:sz w:val="21"/>
          <w:szCs w:val="21"/>
          <w:lang w:val="en-US" w:eastAsia="zh-CN" w:bidi="ar-SA"/>
        </w:rPr>
        <w:t xml:space="preserve">  已领取城镇职工基本养老保险待遇的城镇居民,不得享受城乡居民基本养老金待遇,否则按第十三条处理。</w:t>
      </w:r>
    </w:p>
    <w:p>
      <w:pPr>
        <w:keepNext w:val="0"/>
        <w:keepLines w:val="0"/>
        <w:pageBreakBefore w:val="0"/>
        <w:kinsoku/>
        <w:wordWrap/>
        <w:overflowPunct/>
        <w:topLinePunct w:val="0"/>
        <w:autoSpaceDE/>
        <w:autoSpaceDN/>
        <w:bidi w:val="0"/>
        <w:adjustRightInd/>
        <w:snapToGrid/>
        <w:spacing w:line="390" w:lineRule="exact"/>
        <w:ind w:left="0" w:leftChars="0" w:right="0" w:rightChars="0" w:firstLine="422"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第十五条</w:t>
      </w:r>
      <w:r>
        <w:rPr>
          <w:rFonts w:hint="eastAsia" w:ascii="宋体" w:hAnsi="宋体" w:eastAsia="宋体" w:cs="宋体"/>
          <w:kern w:val="2"/>
          <w:sz w:val="21"/>
          <w:szCs w:val="21"/>
          <w:lang w:val="en-US" w:eastAsia="zh-CN" w:bidi="ar-SA"/>
        </w:rPr>
        <w:t xml:space="preserve">  建立经济责任担保制度,对资格确认对象出具担保书的责任人,因提供情况不实而致使养老金被冒领骗取的,依法追究其担保人的经济责任。</w:t>
      </w:r>
    </w:p>
    <w:p>
      <w:pPr>
        <w:keepNext w:val="0"/>
        <w:keepLines w:val="0"/>
        <w:pageBreakBefore w:val="0"/>
        <w:numPr>
          <w:ilvl w:val="0"/>
          <w:numId w:val="0"/>
        </w:numPr>
        <w:kinsoku/>
        <w:wordWrap/>
        <w:overflowPunct/>
        <w:topLinePunct w:val="0"/>
        <w:autoSpaceDE/>
        <w:autoSpaceDN/>
        <w:bidi w:val="0"/>
        <w:adjustRightInd/>
        <w:snapToGrid/>
        <w:spacing w:line="390" w:lineRule="exact"/>
        <w:ind w:left="0" w:leftChars="0" w:right="0" w:rightChars="0" w:firstLine="422"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b/>
          <w:bCs/>
          <w:kern w:val="2"/>
          <w:sz w:val="21"/>
          <w:szCs w:val="21"/>
          <w:lang w:val="en-US" w:eastAsia="zh-CN" w:bidi="ar-SA"/>
        </w:rPr>
        <w:t>第十六条</w:t>
      </w:r>
      <w:r>
        <w:rPr>
          <w:rFonts w:hint="eastAsia" w:ascii="宋体" w:hAnsi="宋体" w:eastAsia="宋体" w:cs="宋体"/>
          <w:kern w:val="2"/>
          <w:sz w:val="21"/>
          <w:szCs w:val="21"/>
          <w:lang w:val="en-US" w:eastAsia="zh-CN" w:bidi="ar-SA"/>
        </w:rPr>
        <w:t xml:space="preserve">  建立责任追究制度,</w:t>
      </w:r>
      <w:r>
        <w:rPr>
          <w:rFonts w:hint="eastAsia" w:ascii="宋体" w:hAnsi="宋体" w:eastAsia="宋体" w:cs="宋体"/>
          <w:sz w:val="21"/>
          <w:szCs w:val="21"/>
          <w:lang w:val="en-US" w:eastAsia="zh-CN"/>
        </w:rPr>
        <w:t>进一步强化措施，严明责任，确保城乡居民养老保险工作落到实处。实行乡镇村月报制度，每月村上报该村人员死亡花名册及死亡时间和本村服刑、已判刑人员准确信息，以便及时暂停养老金发放，</w:t>
      </w:r>
      <w:r>
        <w:rPr>
          <w:rFonts w:hint="eastAsia" w:ascii="宋体" w:hAnsi="宋体" w:eastAsia="宋体" w:cs="宋体"/>
          <w:color w:val="auto"/>
          <w:sz w:val="21"/>
          <w:szCs w:val="21"/>
          <w:lang w:val="en-US" w:eastAsia="zh-CN"/>
        </w:rPr>
        <w:t>村支书、主任及负责城乡居民养老保险工作的村协办员签字加盖村公章、报经乡镇主管领导审核签字后</w:t>
      </w:r>
      <w:r>
        <w:rPr>
          <w:rFonts w:hint="eastAsia" w:ascii="宋体" w:hAnsi="宋体" w:eastAsia="宋体" w:cs="宋体"/>
          <w:sz w:val="21"/>
          <w:szCs w:val="21"/>
          <w:lang w:val="en-US" w:eastAsia="zh-CN"/>
        </w:rPr>
        <w:t>上报；对乡镇村月报信息不准确及提供虚假信息的，对乡镇主管领导、村支书主任及协办员严格追究责任，情节严重的移交县纪委监委处理。</w:t>
      </w:r>
    </w:p>
    <w:p>
      <w:pPr>
        <w:keepNext w:val="0"/>
        <w:keepLines w:val="0"/>
        <w:pageBreakBefore w:val="0"/>
        <w:kinsoku/>
        <w:wordWrap/>
        <w:overflowPunct/>
        <w:topLinePunct w:val="0"/>
        <w:autoSpaceDE/>
        <w:autoSpaceDN/>
        <w:bidi w:val="0"/>
        <w:adjustRightInd/>
        <w:snapToGrid/>
        <w:spacing w:line="390" w:lineRule="exact"/>
        <w:ind w:left="0" w:leftChars="0" w:right="0" w:righ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村两委干部、村协办员工作不力,有漏报行为的,由所在村追回冒领的养老金,凡出现弄虚作假的,按照相关法律法规,一律从严处理;凡乡镇（街道）行政综合服务中心稽查复核经办不力,导致出现丧失待遇领取资格人员上报信息不准的,除责令追回冒领的养老金外,发现较大问题的追究岗位责任;对城乡居民基本养老保险经办机构经办人员在资格确认中弄虚作假、徇私舞弊的,依照法律法规从严处理。</w:t>
      </w:r>
    </w:p>
    <w:p>
      <w:pPr>
        <w:keepNext w:val="0"/>
        <w:keepLines w:val="0"/>
        <w:pageBreakBefore w:val="0"/>
        <w:kinsoku/>
        <w:wordWrap/>
        <w:overflowPunct/>
        <w:topLinePunct w:val="0"/>
        <w:autoSpaceDE/>
        <w:autoSpaceDN/>
        <w:bidi w:val="0"/>
        <w:adjustRightInd/>
        <w:snapToGrid/>
        <w:spacing w:line="390" w:lineRule="exact"/>
        <w:ind w:left="0" w:leftChars="0" w:right="0" w:rightChars="0" w:firstLine="422"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第十七条</w:t>
      </w:r>
      <w:r>
        <w:rPr>
          <w:rFonts w:hint="eastAsia" w:ascii="宋体" w:hAnsi="宋体" w:eastAsia="宋体" w:cs="宋体"/>
          <w:kern w:val="2"/>
          <w:sz w:val="21"/>
          <w:szCs w:val="21"/>
          <w:lang w:val="en-US" w:eastAsia="zh-CN" w:bidi="ar-SA"/>
        </w:rPr>
        <w:t xml:space="preserve">  各乡镇(街道)村（居）两委干部、村协办员与金融机构工作人员串通冒领城乡居民基本养老保险养老金的,按第十三条从严处理。</w:t>
      </w:r>
    </w:p>
    <w:p>
      <w:pPr>
        <w:keepNext w:val="0"/>
        <w:keepLines w:val="0"/>
        <w:pageBreakBefore w:val="0"/>
        <w:kinsoku/>
        <w:wordWrap/>
        <w:overflowPunct/>
        <w:topLinePunct w:val="0"/>
        <w:autoSpaceDE/>
        <w:autoSpaceDN/>
        <w:bidi w:val="0"/>
        <w:adjustRightInd/>
        <w:snapToGrid/>
        <w:spacing w:line="390" w:lineRule="exact"/>
        <w:ind w:left="0" w:leftChars="0" w:right="0" w:rightChars="0" w:firstLine="2520" w:firstLineChars="1200"/>
        <w:jc w:val="both"/>
        <w:textAlignment w:val="auto"/>
        <w:outlineLvl w:val="9"/>
        <w:rPr>
          <w:rFonts w:hint="eastAsia" w:ascii="宋体" w:hAnsi="宋体" w:eastAsia="宋体" w:cs="宋体"/>
          <w:kern w:val="2"/>
          <w:sz w:val="21"/>
          <w:szCs w:val="21"/>
          <w:lang w:val="en-US" w:eastAsia="zh-CN" w:bidi="ar-SA"/>
        </w:rPr>
      </w:pPr>
    </w:p>
    <w:p>
      <w:pPr>
        <w:keepNext w:val="0"/>
        <w:keepLines w:val="0"/>
        <w:pageBreakBefore w:val="0"/>
        <w:kinsoku/>
        <w:wordWrap/>
        <w:overflowPunct/>
        <w:topLinePunct w:val="0"/>
        <w:autoSpaceDE/>
        <w:autoSpaceDN/>
        <w:bidi w:val="0"/>
        <w:adjustRightInd/>
        <w:snapToGrid/>
        <w:spacing w:line="390" w:lineRule="exact"/>
        <w:ind w:left="0" w:leftChars="0" w:right="0" w:rightChars="0"/>
        <w:jc w:val="center"/>
        <w:textAlignment w:val="auto"/>
        <w:outlineLvl w:val="9"/>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第五章 附则</w:t>
      </w:r>
    </w:p>
    <w:p>
      <w:pPr>
        <w:keepNext w:val="0"/>
        <w:keepLines w:val="0"/>
        <w:pageBreakBefore w:val="0"/>
        <w:kinsoku/>
        <w:wordWrap/>
        <w:overflowPunct/>
        <w:topLinePunct w:val="0"/>
        <w:autoSpaceDE/>
        <w:autoSpaceDN/>
        <w:bidi w:val="0"/>
        <w:adjustRightInd/>
        <w:snapToGrid/>
        <w:spacing w:line="390" w:lineRule="exact"/>
        <w:ind w:left="0" w:leftChars="0" w:right="0" w:rightChars="0" w:firstLine="422"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第十八条</w:t>
      </w:r>
      <w:r>
        <w:rPr>
          <w:rFonts w:hint="eastAsia" w:ascii="宋体" w:hAnsi="宋体" w:eastAsia="宋体" w:cs="宋体"/>
          <w:kern w:val="2"/>
          <w:sz w:val="21"/>
          <w:szCs w:val="21"/>
          <w:lang w:val="en-US" w:eastAsia="zh-CN" w:bidi="ar-SA"/>
        </w:rPr>
        <w:t xml:space="preserve">  本办法自印发之日起施行，魏政办字〔2019〕22号文件同时废止。</w:t>
      </w:r>
    </w:p>
    <w:p>
      <w:pPr>
        <w:rPr>
          <w:rFonts w:hint="default" w:ascii="Times New Roman" w:hAnsi="Times New Roman" w:cs="Times New Roman"/>
        </w:rPr>
        <w:sectPr>
          <w:type w:val="continuous"/>
          <w:pgSz w:w="11906" w:h="16838"/>
          <w:pgMar w:top="2268" w:right="1417" w:bottom="1984" w:left="1417" w:header="851" w:footer="1474" w:gutter="0"/>
          <w:pgNumType w:fmt="numberInDash"/>
          <w:cols w:equalWidth="0" w:num="2">
            <w:col w:w="4323" w:space="425"/>
            <w:col w:w="4323"/>
          </w:cols>
          <w:rtlGutter w:val="0"/>
          <w:docGrid w:type="lines" w:linePitch="312" w:charSpace="0"/>
        </w:sectPr>
      </w:pPr>
    </w:p>
    <w:p>
      <w:pPr>
        <w:rPr>
          <w:rFonts w:hint="default" w:ascii="Times New Roman" w:hAnsi="Times New Roman" w:cs="Times New Roman"/>
        </w:rPr>
      </w:pPr>
    </w:p>
    <w:p>
      <w:pPr>
        <w:rPr>
          <w:rFonts w:hint="default" w:ascii="Times New Roman" w:hAnsi="Times New Roman" w:cs="Times New Roman"/>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b w:val="0"/>
          <w:bCs/>
          <w:color w:val="000000"/>
          <w:kern w:val="0"/>
          <w:sz w:val="36"/>
          <w:szCs w:val="36"/>
        </w:rPr>
      </w:pPr>
      <w:r>
        <w:rPr>
          <w:rFonts w:hint="eastAsia" w:ascii="宋体" w:hAnsi="宋体" w:eastAsia="宋体" w:cs="宋体"/>
          <w:b w:val="0"/>
          <w:bCs/>
          <w:color w:val="000000"/>
          <w:kern w:val="0"/>
          <w:sz w:val="36"/>
          <w:szCs w:val="36"/>
        </w:rPr>
        <w:t>魏县人民政府办公室</w:t>
      </w:r>
    </w:p>
    <w:p>
      <w:pPr>
        <w:keepNext w:val="0"/>
        <w:keepLines w:val="0"/>
        <w:pageBreakBefore w:val="0"/>
        <w:widowControl w:val="0"/>
        <w:kinsoku/>
        <w:wordWrap/>
        <w:overflowPunct w:val="0"/>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b w:val="0"/>
          <w:bCs/>
          <w:color w:val="000000"/>
          <w:kern w:val="0"/>
          <w:sz w:val="36"/>
          <w:szCs w:val="36"/>
        </w:rPr>
      </w:pPr>
      <w:r>
        <w:rPr>
          <w:rFonts w:hint="eastAsia" w:ascii="宋体" w:hAnsi="宋体" w:eastAsia="宋体" w:cs="宋体"/>
          <w:b w:val="0"/>
          <w:bCs/>
          <w:color w:val="000000"/>
          <w:spacing w:val="-11"/>
          <w:kern w:val="0"/>
          <w:sz w:val="36"/>
          <w:szCs w:val="36"/>
        </w:rPr>
        <w:t>关于印发《扩大内需提升商务服务业发展水平的工作措施》的</w:t>
      </w:r>
      <w:r>
        <w:rPr>
          <w:rFonts w:hint="eastAsia" w:ascii="宋体" w:hAnsi="宋体" w:eastAsia="宋体" w:cs="宋体"/>
          <w:b w:val="0"/>
          <w:bCs/>
          <w:color w:val="000000"/>
          <w:kern w:val="0"/>
          <w:sz w:val="36"/>
          <w:szCs w:val="36"/>
        </w:rPr>
        <w:t>通</w:t>
      </w:r>
      <w:r>
        <w:rPr>
          <w:rFonts w:hint="eastAsia" w:ascii="宋体" w:hAnsi="宋体" w:cs="宋体"/>
          <w:b w:val="0"/>
          <w:bCs/>
          <w:color w:val="000000"/>
          <w:kern w:val="0"/>
          <w:sz w:val="36"/>
          <w:szCs w:val="36"/>
          <w:lang w:val="en-US" w:eastAsia="zh-CN"/>
        </w:rPr>
        <w:t xml:space="preserve">    </w:t>
      </w:r>
      <w:r>
        <w:rPr>
          <w:rFonts w:hint="eastAsia" w:ascii="宋体" w:hAnsi="宋体" w:eastAsia="宋体" w:cs="宋体"/>
          <w:b w:val="0"/>
          <w:bCs/>
          <w:color w:val="000000"/>
          <w:kern w:val="0"/>
          <w:sz w:val="36"/>
          <w:szCs w:val="36"/>
        </w:rPr>
        <w:t>知</w:t>
      </w:r>
    </w:p>
    <w:p>
      <w:pPr>
        <w:spacing w:line="570" w:lineRule="exac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魏政办字〔2020〕36号</w:t>
      </w:r>
    </w:p>
    <w:p>
      <w:pPr>
        <w:keepNext w:val="0"/>
        <w:keepLines w:val="0"/>
        <w:pageBreakBefore w:val="0"/>
        <w:widowControl w:val="0"/>
        <w:kinsoku/>
        <w:wordWrap/>
        <w:overflowPunct w:val="0"/>
        <w:topLinePunct w:val="0"/>
        <w:autoSpaceDE/>
        <w:autoSpaceDN/>
        <w:bidi w:val="0"/>
        <w:spacing w:line="360" w:lineRule="exact"/>
        <w:jc w:val="left"/>
        <w:textAlignment w:val="auto"/>
        <w:outlineLvl w:val="9"/>
        <w:rPr>
          <w:rFonts w:hint="eastAsia" w:ascii="宋体" w:hAnsi="宋体" w:eastAsia="宋体" w:cs="宋体"/>
          <w:color w:val="000000"/>
          <w:kern w:val="0"/>
          <w:sz w:val="21"/>
          <w:szCs w:val="21"/>
        </w:rPr>
      </w:pPr>
    </w:p>
    <w:p>
      <w:pPr>
        <w:keepNext w:val="0"/>
        <w:keepLines w:val="0"/>
        <w:pageBreakBefore w:val="0"/>
        <w:widowControl w:val="0"/>
        <w:kinsoku/>
        <w:wordWrap/>
        <w:topLinePunct w:val="0"/>
        <w:autoSpaceDE/>
        <w:autoSpaceDN/>
        <w:bidi w:val="0"/>
        <w:adjustRightInd w:val="0"/>
        <w:snapToGrid w:val="0"/>
        <w:spacing w:line="360" w:lineRule="exac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sz w:val="21"/>
          <w:szCs w:val="21"/>
        </w:rPr>
        <w:t>各乡镇政府、街道办，县对口有关单位，县政府有关部门</w:t>
      </w:r>
      <w:r>
        <w:rPr>
          <w:rFonts w:hint="eastAsia" w:ascii="宋体" w:hAnsi="宋体" w:eastAsia="宋体" w:cs="宋体"/>
          <w:color w:val="000000"/>
          <w:spacing w:val="6"/>
          <w:sz w:val="21"/>
          <w:szCs w:val="21"/>
        </w:rPr>
        <w:t>：</w:t>
      </w:r>
    </w:p>
    <w:p>
      <w:pPr>
        <w:keepNext w:val="0"/>
        <w:keepLines w:val="0"/>
        <w:pageBreakBefore w:val="0"/>
        <w:widowControl w:val="0"/>
        <w:kinsoku/>
        <w:wordWrap/>
        <w:overflowPunct w:val="0"/>
        <w:topLinePunct w:val="0"/>
        <w:autoSpaceDE/>
        <w:autoSpaceDN/>
        <w:bidi w:val="0"/>
        <w:spacing w:line="360" w:lineRule="exact"/>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《扩大内需提升商务服务业发展水平工作措施》已经县政府同意，现印发给你们，请结合实际，认真抓好贯彻落实。</w:t>
      </w:r>
    </w:p>
    <w:p>
      <w:pPr>
        <w:keepNext w:val="0"/>
        <w:keepLines w:val="0"/>
        <w:pageBreakBefore w:val="0"/>
        <w:widowControl w:val="0"/>
        <w:kinsoku/>
        <w:wordWrap/>
        <w:overflowPunct w:val="0"/>
        <w:topLinePunct w:val="0"/>
        <w:autoSpaceDE/>
        <w:autoSpaceDN/>
        <w:bidi w:val="0"/>
        <w:adjustRightInd/>
        <w:snapToGrid/>
        <w:spacing w:line="20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p>
    <w:p>
      <w:pPr>
        <w:keepNext w:val="0"/>
        <w:keepLines w:val="0"/>
        <w:pageBreakBefore w:val="0"/>
        <w:widowControl w:val="0"/>
        <w:kinsoku/>
        <w:wordWrap/>
        <w:overflowPunct w:val="0"/>
        <w:topLinePunct w:val="0"/>
        <w:autoSpaceDE/>
        <w:autoSpaceDN/>
        <w:bidi w:val="0"/>
        <w:spacing w:line="360" w:lineRule="exact"/>
        <w:ind w:left="4620" w:leftChars="2200" w:right="31" w:rightChars="15"/>
        <w:jc w:val="center"/>
        <w:textAlignment w:val="auto"/>
        <w:outlineLvl w:val="9"/>
        <w:rPr>
          <w:rFonts w:hint="eastAsia" w:ascii="宋体" w:hAnsi="宋体" w:eastAsia="宋体" w:cs="宋体"/>
          <w:color w:val="000000"/>
          <w:sz w:val="21"/>
          <w:szCs w:val="21"/>
        </w:rPr>
      </w:pP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魏县人民政府办公室</w:t>
      </w:r>
    </w:p>
    <w:p>
      <w:pPr>
        <w:keepNext w:val="0"/>
        <w:keepLines w:val="0"/>
        <w:pageBreakBefore w:val="0"/>
        <w:widowControl w:val="0"/>
        <w:kinsoku/>
        <w:wordWrap/>
        <w:overflowPunct w:val="0"/>
        <w:topLinePunct w:val="0"/>
        <w:autoSpaceDE/>
        <w:autoSpaceDN/>
        <w:bidi w:val="0"/>
        <w:spacing w:line="360" w:lineRule="exact"/>
        <w:ind w:left="4620" w:leftChars="2200" w:right="31" w:rightChars="15"/>
        <w:jc w:val="center"/>
        <w:textAlignment w:val="auto"/>
        <w:outlineLvl w:val="9"/>
        <w:rPr>
          <w:rFonts w:hint="eastAsia" w:ascii="宋体" w:hAnsi="宋体" w:eastAsia="宋体" w:cs="宋体"/>
          <w:color w:val="000000"/>
          <w:spacing w:val="6"/>
          <w:kern w:val="0"/>
          <w:sz w:val="21"/>
          <w:szCs w:val="21"/>
        </w:rPr>
      </w:pP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2020年12月9日</w:t>
      </w:r>
    </w:p>
    <w:p>
      <w:pPr>
        <w:keepNext w:val="0"/>
        <w:keepLines w:val="0"/>
        <w:pageBreakBefore w:val="0"/>
        <w:widowControl w:val="0"/>
        <w:kinsoku/>
        <w:wordWrap/>
        <w:overflowPunct/>
        <w:topLinePunct w:val="0"/>
        <w:autoSpaceDE/>
        <w:autoSpaceDN/>
        <w:bidi w:val="0"/>
        <w:adjustRightInd/>
        <w:snapToGrid/>
        <w:spacing w:line="100" w:lineRule="exact"/>
        <w:ind w:left="0" w:leftChars="0" w:right="0" w:rightChars="0" w:firstLine="0" w:firstLineChars="0"/>
        <w:jc w:val="both"/>
        <w:textAlignment w:val="auto"/>
        <w:outlineLvl w:val="9"/>
        <w:rPr>
          <w:rFonts w:hint="default" w:ascii="Times New Roman" w:hAnsi="Times New Roman" w:eastAsia="宋体" w:cs="Times New Roman"/>
          <w:sz w:val="21"/>
          <w:szCs w:val="21"/>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right="0" w:rightChars="0" w:firstLine="0" w:firstLineChars="0"/>
        <w:jc w:val="center"/>
        <w:textAlignment w:val="auto"/>
        <w:outlineLvl w:val="9"/>
        <w:rPr>
          <w:rFonts w:ascii="宋体" w:cs="宋体"/>
          <w:b w:val="0"/>
          <w:bCs/>
          <w:color w:val="000000"/>
          <w:kern w:val="0"/>
          <w:sz w:val="36"/>
          <w:szCs w:val="36"/>
        </w:rPr>
      </w:pPr>
      <w:r>
        <w:rPr>
          <w:rFonts w:hint="eastAsia" w:ascii="宋体" w:hAnsi="宋体" w:cs="宋体"/>
          <w:b w:val="0"/>
          <w:bCs/>
          <w:color w:val="000000"/>
          <w:kern w:val="0"/>
          <w:sz w:val="36"/>
          <w:szCs w:val="36"/>
        </w:rPr>
        <w:t>扩大内需提升商务服务业发展水平的工作措施</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jc w:val="center"/>
        <w:textAlignment w:val="auto"/>
        <w:outlineLvl w:val="9"/>
        <w:rPr>
          <w:rFonts w:hint="eastAsia" w:ascii="宋体" w:hAnsi="宋体" w:eastAsia="宋体" w:cs="宋体"/>
          <w:color w:val="000000"/>
          <w:kern w:val="0"/>
          <w:sz w:val="21"/>
          <w:szCs w:val="21"/>
        </w:rPr>
      </w:pP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20" w:firstLineChars="200"/>
        <w:textAlignment w:val="auto"/>
        <w:outlineLvl w:val="9"/>
        <w:rPr>
          <w:rFonts w:hint="eastAsia" w:ascii="宋体" w:hAnsi="宋体" w:eastAsia="宋体" w:cs="宋体"/>
          <w:color w:val="000000"/>
          <w:sz w:val="21"/>
          <w:szCs w:val="21"/>
        </w:rPr>
        <w:sectPr>
          <w:type w:val="continuous"/>
          <w:pgSz w:w="11906" w:h="16838"/>
          <w:pgMar w:top="2268" w:right="1417" w:bottom="1984" w:left="1417" w:header="851" w:footer="1474" w:gutter="0"/>
          <w:pgNumType w:fmt="numberInDash"/>
          <w:cols w:space="0" w:num="1"/>
          <w:rtlGutter w:val="0"/>
          <w:docGrid w:type="lines" w:linePitch="312" w:charSpace="0"/>
        </w:sectPr>
      </w:pP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为深入贯彻落实党中央、国务院关于扩大内需、提升服务业发展水平的各项决策部署，落实市政府办公室《关于印发扩大内需提升商务服务业发展水平工作措施的通知》（邯政办字〔2020〕76号）具体要求，在常态化疫情防控基础上释放内需动能，满足群众消费需求，结合我县实际，制定如下工作措施。</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20" w:firstLineChars="200"/>
        <w:textAlignment w:val="auto"/>
        <w:outlineLvl w:val="9"/>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一、推进城市商业设施升级</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20" w:firstLineChars="200"/>
        <w:textAlignment w:val="auto"/>
        <w:outlineLvl w:val="9"/>
        <w:rPr>
          <w:rFonts w:hint="eastAsia" w:ascii="宋体" w:hAnsi="宋体" w:eastAsia="宋体" w:cs="宋体"/>
          <w:color w:val="000000"/>
          <w:sz w:val="21"/>
          <w:szCs w:val="21"/>
        </w:rPr>
      </w:pPr>
      <w:r>
        <w:rPr>
          <w:rFonts w:hint="eastAsia" w:ascii="楷体_GB2312" w:hAnsi="楷体_GB2312" w:eastAsia="楷体_GB2312" w:cs="楷体_GB2312"/>
          <w:color w:val="000000"/>
          <w:kern w:val="0"/>
          <w:sz w:val="21"/>
          <w:szCs w:val="21"/>
        </w:rPr>
        <w:t>（一）加快推进步行街改造提升。</w:t>
      </w:r>
      <w:r>
        <w:rPr>
          <w:rFonts w:hint="eastAsia" w:ascii="宋体" w:hAnsi="宋体" w:eastAsia="宋体" w:cs="宋体"/>
          <w:color w:val="000000"/>
          <w:kern w:val="0"/>
          <w:sz w:val="21"/>
          <w:szCs w:val="21"/>
        </w:rPr>
        <w:t>重</w:t>
      </w:r>
      <w:r>
        <w:rPr>
          <w:rFonts w:hint="eastAsia" w:ascii="宋体" w:hAnsi="宋体" w:eastAsia="宋体" w:cs="宋体"/>
          <w:color w:val="000000"/>
          <w:sz w:val="21"/>
          <w:szCs w:val="21"/>
        </w:rPr>
        <w:t>点培育1-3条环境优美、商业繁华、文化浓厚、管理规范、具有县内外领先水平的示范步行街，加快形成引领消费的新平台和对外开放的新窗口。加强规划布局，科学布点选址，高标准制定改造提升方案，明确步行街四至范围、功能定位、重点任务和时间进度。优化街区环境，完善周边路网和交通设施，建设道路慢行系统，提高环境卫生标准，强化绿化亮化措施，增加休闲空间和设备设施。丰富业态结构，提升购物、餐饮等传统业态，布局体验式、互动式新兴业态，增强休闲娱乐功能，培育特色品牌、非遗技艺和老字号。各乡镇要根据各自实际，积极打造各自步行街。（责任单位：县住房和城乡建设局、县发展和改革局、文化广电和旅游局，各乡镇政府&lt;街道办&gt;）</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20" w:firstLineChars="200"/>
        <w:textAlignment w:val="auto"/>
        <w:outlineLvl w:val="9"/>
        <w:rPr>
          <w:rFonts w:hint="eastAsia" w:ascii="宋体" w:hAnsi="宋体" w:eastAsia="宋体" w:cs="宋体"/>
          <w:color w:val="000000"/>
          <w:sz w:val="21"/>
          <w:szCs w:val="21"/>
        </w:rPr>
      </w:pPr>
      <w:r>
        <w:rPr>
          <w:rFonts w:hint="eastAsia" w:ascii="楷体_GB2312" w:hAnsi="楷体_GB2312" w:eastAsia="楷体_GB2312" w:cs="楷体_GB2312"/>
          <w:color w:val="000000"/>
          <w:kern w:val="0"/>
          <w:sz w:val="21"/>
          <w:szCs w:val="21"/>
        </w:rPr>
        <w:t>（二）创建进口商品营销中心。</w:t>
      </w:r>
      <w:r>
        <w:rPr>
          <w:rFonts w:hint="eastAsia" w:ascii="宋体" w:hAnsi="宋体" w:eastAsia="宋体" w:cs="宋体"/>
          <w:color w:val="000000"/>
          <w:sz w:val="21"/>
          <w:szCs w:val="21"/>
        </w:rPr>
        <w:t>围绕满足城乡居民对境外优质商品的消费需求，鼓励企业建设进口商品营销中心（商店）。进口商品营销中心以现有商场、超市等单体店改造升级为主，营业面积一般不低于1000平方米，经营商品全部为进口商品。推进项目建设，优选网点地址，高标准制定建设改造方案，精心设计店名、标识和外观建筑风格，合理划分经营区域，丰富社交体验业态，支持设立跨境电商购物点。业务主管部门适时组织实地核验，达标合格后，对符合国家、省政策规定的项目，积极争取上级资金给予奖补。（责任单位：县发展和改革局、县财政局，各乡镇政府&lt;街道办&gt;）</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20" w:firstLineChars="200"/>
        <w:textAlignment w:val="auto"/>
        <w:outlineLvl w:val="9"/>
        <w:rPr>
          <w:rFonts w:hint="eastAsia" w:ascii="宋体" w:hAnsi="宋体" w:eastAsia="宋体" w:cs="宋体"/>
          <w:color w:val="000000"/>
          <w:sz w:val="21"/>
          <w:szCs w:val="21"/>
        </w:rPr>
      </w:pPr>
      <w:r>
        <w:rPr>
          <w:rFonts w:hint="eastAsia" w:ascii="楷体_GB2312" w:hAnsi="楷体_GB2312" w:eastAsia="楷体_GB2312" w:cs="楷体_GB2312"/>
          <w:color w:val="000000"/>
          <w:kern w:val="0"/>
          <w:sz w:val="21"/>
          <w:szCs w:val="21"/>
        </w:rPr>
        <w:t>（三）培育品牌连锁便利店。</w:t>
      </w:r>
      <w:r>
        <w:rPr>
          <w:rFonts w:hint="eastAsia" w:ascii="宋体" w:hAnsi="宋体" w:eastAsia="宋体" w:cs="宋体"/>
          <w:color w:val="000000"/>
          <w:sz w:val="21"/>
          <w:szCs w:val="21"/>
        </w:rPr>
        <w:t>优化网络布局，引导连锁企业到城市商业街区、居民生活区、公共服务场所和乡镇农村建设改造便利店，延伸经营网络。打造知名品牌，加快培育一批本土连锁企业，支持国内外知名连锁品牌落户我县。拓展经营范围，优化商品供给，扩大生鲜销售，丰富零售业务，增加居民服务。提升连锁水平，发展直营连锁，推进特许连锁，规范自愿连锁。推行统采统配，引导连锁总部建立联合采购中心和配送分拨中心，推动农产品直采直供直销，年内连锁企业统仓统配率达到70%以上。规范管理服务，统一品牌形象、业务管理和服务规范，推广信息技术，发展绿色营销，促进业务协同和降本增效。新增品牌连锁便利店建设任务全部完成。（责任单位：县发展和改革局，各乡镇政府&lt;街道办&gt;）</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20" w:firstLineChars="200"/>
        <w:textAlignment w:val="auto"/>
        <w:outlineLvl w:val="9"/>
        <w:rPr>
          <w:rFonts w:hint="eastAsia" w:ascii="宋体" w:hAnsi="宋体" w:eastAsia="宋体" w:cs="宋体"/>
          <w:color w:val="000000"/>
          <w:sz w:val="21"/>
          <w:szCs w:val="21"/>
        </w:rPr>
      </w:pPr>
      <w:r>
        <w:rPr>
          <w:rFonts w:hint="eastAsia" w:ascii="楷体_GB2312" w:hAnsi="楷体_GB2312" w:eastAsia="楷体_GB2312" w:cs="楷体_GB2312"/>
          <w:color w:val="000000"/>
          <w:kern w:val="0"/>
          <w:sz w:val="21"/>
          <w:szCs w:val="21"/>
        </w:rPr>
        <w:t>（四）抓好便民服务体系建设。</w:t>
      </w:r>
      <w:r>
        <w:rPr>
          <w:rFonts w:hint="eastAsia" w:ascii="宋体" w:hAnsi="宋体" w:eastAsia="宋体" w:cs="宋体"/>
          <w:color w:val="000000"/>
          <w:sz w:val="21"/>
          <w:szCs w:val="21"/>
        </w:rPr>
        <w:t>积极鼓励全县建设生鲜超市、菜市场、农贸市场等便民市场。积极争取中央预算内投资支持，加强我县卫生健康服务体系建设。鼓励社会资本以独资、合资及参股联营等形式组建市场化服务机构，以多种形式投入康复医疗服务，不断增加康复医疗服务供给。加强基层中医药服务能力建设，在乡镇卫生院和社区卫生服务中心新建“国医堂”。（责任单位：县发展和改革局、县卫生健康局、县财政局，各乡镇政府&lt;街道办&gt;）</w:t>
      </w:r>
    </w:p>
    <w:p>
      <w:pPr>
        <w:keepNext w:val="0"/>
        <w:keepLines w:val="0"/>
        <w:pageBreakBefore w:val="0"/>
        <w:widowControl w:val="0"/>
        <w:tabs>
          <w:tab w:val="left" w:pos="530"/>
        </w:tabs>
        <w:kinsoku/>
        <w:wordWrap/>
        <w:overflowPunct w:val="0"/>
        <w:topLinePunct w:val="0"/>
        <w:autoSpaceDE/>
        <w:autoSpaceDN/>
        <w:bidi w:val="0"/>
        <w:adjustRightInd/>
        <w:snapToGrid/>
        <w:spacing w:line="380" w:lineRule="exact"/>
        <w:ind w:left="0" w:leftChars="0" w:right="0" w:rightChars="0" w:firstLine="420" w:firstLineChars="200"/>
        <w:textAlignment w:val="auto"/>
        <w:outlineLvl w:val="9"/>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二、补齐农村商贸供应链条短板</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20" w:firstLineChars="200"/>
        <w:textAlignment w:val="auto"/>
        <w:outlineLvl w:val="9"/>
        <w:rPr>
          <w:rFonts w:hint="eastAsia" w:ascii="宋体" w:hAnsi="宋体" w:eastAsia="宋体" w:cs="宋体"/>
          <w:color w:val="000000"/>
          <w:sz w:val="21"/>
          <w:szCs w:val="21"/>
        </w:rPr>
      </w:pPr>
      <w:r>
        <w:rPr>
          <w:rFonts w:hint="eastAsia" w:ascii="楷体_GB2312" w:hAnsi="楷体_GB2312" w:eastAsia="楷体_GB2312" w:cs="楷体_GB2312"/>
          <w:color w:val="000000"/>
          <w:kern w:val="0"/>
          <w:sz w:val="21"/>
          <w:szCs w:val="21"/>
        </w:rPr>
        <w:t>（一）整合农村电商发展资源。</w:t>
      </w:r>
      <w:r>
        <w:rPr>
          <w:rFonts w:hint="eastAsia" w:ascii="宋体" w:hAnsi="宋体" w:eastAsia="宋体" w:cs="宋体"/>
          <w:color w:val="000000"/>
          <w:sz w:val="21"/>
          <w:szCs w:val="21"/>
        </w:rPr>
        <w:t>积极推进国家电子商务进农村综合示范县项目建设，扩大电商进农村覆盖面，整合县域物流快递资源，加强名优特新农产品线上线下展销。加强与京东、苏宁等集团合作，利用淘宝、抖音、快手等直播平台，以资源对接、研发创意、直播竞赛等形式，开展卖货达人招募培训、创意竞赛等系列活动，全网推荐魏县农副产品，带动更多创业就业。对政府部门工作人员、电商从业者、农业经营主体和创业就业农民开展电商政策、运营操作培训，改善农村电商人才不足现状。（责任单位：县发展和改革局，各乡镇政府&lt;街道办&gt;）</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20" w:firstLineChars="200"/>
        <w:textAlignment w:val="auto"/>
        <w:outlineLvl w:val="9"/>
        <w:rPr>
          <w:rFonts w:hint="eastAsia" w:ascii="宋体" w:hAnsi="宋体" w:eastAsia="宋体" w:cs="宋体"/>
          <w:color w:val="000000"/>
          <w:sz w:val="21"/>
          <w:szCs w:val="21"/>
        </w:rPr>
      </w:pPr>
      <w:r>
        <w:rPr>
          <w:rFonts w:hint="eastAsia" w:ascii="楷体_GB2312" w:hAnsi="楷体_GB2312" w:eastAsia="楷体_GB2312" w:cs="楷体_GB2312"/>
          <w:color w:val="000000"/>
          <w:kern w:val="0"/>
          <w:sz w:val="21"/>
          <w:szCs w:val="21"/>
        </w:rPr>
        <w:t>（二）拓宽贫困地区流通渠道。</w:t>
      </w:r>
      <w:r>
        <w:rPr>
          <w:rFonts w:hint="eastAsia" w:ascii="宋体" w:hAnsi="宋体" w:eastAsia="宋体" w:cs="宋体"/>
          <w:color w:val="000000"/>
          <w:sz w:val="21"/>
          <w:szCs w:val="21"/>
        </w:rPr>
        <w:t>引导农产品流通企业与各乡镇村开展长期稳定的产销合作。支持各大超市、本地电商销售平台、公益性农产品批发市场设立消费扶贫专区，为我县农特产品销售提供便利。推广“三品一标”认证，开展形式多样的农产品品牌推介洽谈活动。组织涉农企业参加全国性农商互联活动和中国（廊坊）农产品交易会特色农产品产销对接大会，促进本地农产品上行。县电商公共服务中心、村级电商服务站点，以及与阿里巴巴集团共同推动的脱贫项目，优先选用贫困人员。（责任单位：县发展和改革局、扶贫办，各乡镇政府&lt;街道办&gt;）</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20" w:firstLineChars="200"/>
        <w:textAlignment w:val="auto"/>
        <w:outlineLvl w:val="9"/>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三、畅通商贸物流网络</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20" w:firstLineChars="200"/>
        <w:textAlignment w:val="auto"/>
        <w:outlineLvl w:val="9"/>
        <w:rPr>
          <w:rFonts w:hint="eastAsia" w:ascii="楷体_GB2312" w:hAnsi="楷体_GB2312" w:eastAsia="楷体_GB2312" w:cs="楷体_GB2312"/>
          <w:color w:val="000000"/>
          <w:sz w:val="21"/>
          <w:szCs w:val="21"/>
        </w:rPr>
      </w:pPr>
      <w:r>
        <w:rPr>
          <w:rFonts w:hint="eastAsia" w:ascii="楷体_GB2312" w:hAnsi="楷体_GB2312" w:eastAsia="楷体_GB2312" w:cs="楷体_GB2312"/>
          <w:color w:val="000000"/>
          <w:kern w:val="0"/>
          <w:sz w:val="21"/>
          <w:szCs w:val="21"/>
        </w:rPr>
        <w:t>（一）推广城乡高效配送。</w:t>
      </w:r>
      <w:r>
        <w:rPr>
          <w:rFonts w:hint="eastAsia" w:ascii="宋体" w:hAnsi="宋体" w:eastAsia="宋体" w:cs="宋体"/>
          <w:color w:val="000000"/>
          <w:sz w:val="21"/>
          <w:szCs w:val="21"/>
        </w:rPr>
        <w:t>构建城乡配送骨干网络，加快培育综合物流中心、配送分拨中心，促进城乡网络衔接。创新城乡配送模式，着力培育发展农产品集中配送、园区市场共同配送、连锁经营统一配送、城市商圈统仓统配、线上线下一体化配送、现代供应链配送等模式。提升物流标准化水平，加快推广标准化托盘，购置使用标准化配送车辆，推动标准化设施装备改造升级。制定城乡配送车辆便利通行管理办法，对标准化配送车辆喷涂统一标识，缓解城乡配送“最后一公里”难题。</w:t>
      </w:r>
      <w:r>
        <w:rPr>
          <w:rFonts w:hint="eastAsia" w:ascii="楷体_GB2312" w:hAnsi="楷体_GB2312" w:eastAsia="楷体_GB2312" w:cs="楷体_GB2312"/>
          <w:color w:val="000000"/>
          <w:sz w:val="21"/>
          <w:szCs w:val="21"/>
        </w:rPr>
        <w:t>（责任单位：县发展和改革局，各乡镇政府&lt;街道办&gt;）</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20" w:firstLineChars="200"/>
        <w:textAlignment w:val="auto"/>
        <w:outlineLvl w:val="9"/>
        <w:rPr>
          <w:rFonts w:hint="eastAsia" w:ascii="楷体_GB2312" w:hAnsi="楷体_GB2312" w:eastAsia="楷体_GB2312" w:cs="楷体_GB2312"/>
          <w:color w:val="000000"/>
          <w:sz w:val="21"/>
          <w:szCs w:val="21"/>
        </w:rPr>
      </w:pPr>
      <w:r>
        <w:rPr>
          <w:rFonts w:hint="eastAsia" w:ascii="楷体_GB2312" w:hAnsi="楷体_GB2312" w:eastAsia="楷体_GB2312" w:cs="楷体_GB2312"/>
          <w:color w:val="000000"/>
          <w:kern w:val="0"/>
          <w:sz w:val="21"/>
          <w:szCs w:val="21"/>
        </w:rPr>
        <w:t>（二）加快供应链创新应用。</w:t>
      </w:r>
      <w:r>
        <w:rPr>
          <w:rFonts w:hint="eastAsia" w:ascii="宋体" w:hAnsi="宋体" w:eastAsia="宋体" w:cs="宋体"/>
          <w:color w:val="000000"/>
          <w:sz w:val="21"/>
          <w:szCs w:val="21"/>
        </w:rPr>
        <w:t>指导电商与物流企业加强业务联动，推广库存前置、智能分仓、仓配一体化等服务，提高供应链协同效率。重点提升供应链标准化、智能化、协同化、绿色化水平，加快推进统一的标准体系、物流服务、采购管理、信息采集、系统平台建设，打通供应链，延长产业链，提升价值链。加快项目实施，突出抓好物流设施设备标准化改造，搭建开放、共享、智能信息平台，创新供应链发展模式，促进上下游产业协同融合发展。</w:t>
      </w:r>
      <w:r>
        <w:rPr>
          <w:rFonts w:hint="eastAsia" w:ascii="楷体_GB2312" w:hAnsi="楷体_GB2312" w:eastAsia="楷体_GB2312" w:cs="楷体_GB2312"/>
          <w:color w:val="000000"/>
          <w:sz w:val="21"/>
          <w:szCs w:val="21"/>
        </w:rPr>
        <w:t>（责任单位：县发展和改革局，各乡镇政府&lt;街道办&gt;）</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20" w:firstLineChars="200"/>
        <w:textAlignment w:val="auto"/>
        <w:outlineLvl w:val="9"/>
        <w:rPr>
          <w:rFonts w:hint="eastAsia" w:ascii="楷体_GB2312" w:hAnsi="楷体_GB2312" w:eastAsia="楷体_GB2312" w:cs="楷体_GB2312"/>
          <w:color w:val="000000"/>
          <w:sz w:val="21"/>
          <w:szCs w:val="21"/>
        </w:rPr>
      </w:pPr>
      <w:r>
        <w:rPr>
          <w:rFonts w:hint="eastAsia" w:ascii="楷体_GB2312" w:hAnsi="楷体_GB2312" w:eastAsia="楷体_GB2312" w:cs="楷体_GB2312"/>
          <w:color w:val="000000"/>
          <w:kern w:val="0"/>
          <w:sz w:val="21"/>
          <w:szCs w:val="21"/>
        </w:rPr>
        <w:t>（三）推进农产品冷链物流发展。</w:t>
      </w:r>
      <w:r>
        <w:rPr>
          <w:rFonts w:hint="eastAsia" w:ascii="宋体" w:hAnsi="宋体" w:eastAsia="宋体" w:cs="宋体"/>
          <w:color w:val="000000"/>
          <w:sz w:val="21"/>
          <w:szCs w:val="21"/>
        </w:rPr>
        <w:t>鼓励大型冷链物流企业购置冷链运输车辆，建设改造标准化产地预冷集配中心、低温加工仓储配送中心、冷库等设施，构建功能完善的农产品冷链配送服务网络。引导社会闲置冷链物流资源共享利用，促进货源、车源、仓储和物流服务信息高效匹配，有效提高冷链物流设施利用率。指导农产品冷链物流企业与省级农产品冷链物流监控平台对接。探索建立集仓储、配送、运营和服务于一体的农产品冷链物流产教融合实训基地。</w:t>
      </w:r>
      <w:r>
        <w:rPr>
          <w:rFonts w:hint="eastAsia" w:ascii="楷体_GB2312" w:hAnsi="楷体_GB2312" w:eastAsia="楷体_GB2312" w:cs="楷体_GB2312"/>
          <w:color w:val="000000"/>
          <w:sz w:val="21"/>
          <w:szCs w:val="21"/>
        </w:rPr>
        <w:t>（责任单位：县发展和改革局，各乡镇政府&lt;街道办&gt;）</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20" w:firstLineChars="200"/>
        <w:textAlignment w:val="auto"/>
        <w:outlineLvl w:val="9"/>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四、搭建消费促进平台</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20" w:firstLineChars="200"/>
        <w:textAlignment w:val="auto"/>
        <w:outlineLvl w:val="9"/>
        <w:rPr>
          <w:rFonts w:hint="eastAsia" w:ascii="楷体_GB2312" w:hAnsi="楷体_GB2312" w:eastAsia="楷体_GB2312" w:cs="楷体_GB2312"/>
          <w:color w:val="000000"/>
          <w:sz w:val="21"/>
          <w:szCs w:val="21"/>
        </w:rPr>
      </w:pPr>
      <w:r>
        <w:rPr>
          <w:rFonts w:hint="eastAsia" w:ascii="楷体_GB2312" w:hAnsi="楷体_GB2312" w:eastAsia="楷体_GB2312" w:cs="楷体_GB2312"/>
          <w:color w:val="000000"/>
          <w:kern w:val="0"/>
          <w:sz w:val="21"/>
          <w:szCs w:val="21"/>
        </w:rPr>
        <w:t>（一）开展冀商触网行动。</w:t>
      </w:r>
      <w:r>
        <w:rPr>
          <w:rFonts w:hint="eastAsia" w:ascii="宋体" w:hAnsi="宋体" w:eastAsia="宋体" w:cs="宋体"/>
          <w:color w:val="000000"/>
          <w:sz w:val="21"/>
          <w:szCs w:val="21"/>
        </w:rPr>
        <w:t>积极组织企业参加邯郸网销产品大赛和直播带货网红大赛，以赛代训，扩大销售。组织电子商务进农村综合示范承办企业开展网络促销专项行动，提升区域农特产品市场价值。鼓励商贸流通企业参与知名电商举办的“双11”、“双12”等网购节，挖掘网上展销、网络直播、网红带货等资源，打造网络产品品牌，促进电商消费。年内举办网络产销对接会、电商购物节、带货直播等网络促销活动不少于1次。</w:t>
      </w:r>
      <w:r>
        <w:rPr>
          <w:rFonts w:hint="eastAsia" w:ascii="楷体_GB2312" w:hAnsi="楷体_GB2312" w:eastAsia="楷体_GB2312" w:cs="楷体_GB2312"/>
          <w:color w:val="000000"/>
          <w:sz w:val="21"/>
          <w:szCs w:val="21"/>
        </w:rPr>
        <w:t>（责任单位：县发展和改革局，各乡镇政府&lt;街道办&gt;）</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20" w:firstLineChars="200"/>
        <w:textAlignment w:val="auto"/>
        <w:outlineLvl w:val="9"/>
        <w:rPr>
          <w:rFonts w:hint="eastAsia" w:ascii="楷体_GB2312" w:hAnsi="楷体_GB2312" w:eastAsia="楷体_GB2312" w:cs="楷体_GB2312"/>
          <w:color w:val="000000"/>
          <w:sz w:val="21"/>
          <w:szCs w:val="21"/>
        </w:rPr>
      </w:pPr>
      <w:r>
        <w:rPr>
          <w:rFonts w:hint="eastAsia" w:ascii="楷体_GB2312" w:hAnsi="楷体_GB2312" w:eastAsia="楷体_GB2312" w:cs="楷体_GB2312"/>
          <w:color w:val="000000"/>
          <w:kern w:val="0"/>
          <w:sz w:val="21"/>
          <w:szCs w:val="21"/>
        </w:rPr>
        <w:t>（二）举办丰富多彩的消费促进活动。</w:t>
      </w:r>
      <w:r>
        <w:rPr>
          <w:rFonts w:hint="eastAsia" w:ascii="宋体" w:hAnsi="宋体" w:eastAsia="宋体" w:cs="宋体"/>
          <w:color w:val="000000"/>
          <w:sz w:val="21"/>
          <w:szCs w:val="21"/>
        </w:rPr>
        <w:t>围绕疫情防控中涌现的消费新需求，结合传统消费旺季和网络热购时段，搭建消费促进系列活动平台。支持商贸服务企业举办会员日、店庆等促销活动，开展团单折扣、电子优惠券、网络消费分期付款和预付费折扣卡等各类便民促销业务。在做好疫情防控前提下，针对节日期间公众外出购物、用餐、游玩多的特点，结合庙会等文化活动，有针对性地做好消费促进工作。加强谋划创新，充分发挥2020年“消费促进月”和第十六届“幸福邯郸欢乐购”消费促进活动作用，结合本地消费特点，积极搭建特色农副产品等供需对接平台，增加品质供给。加强组织实施，发挥步行街等消费集聚作用，引导特色商业街区和重点流通企业开展形式多样、内容丰富的促消费活动，拓展消费渠道，创新消费模式，满足不同消费需求。加强宣传引导，培育消费热点，稳定消费预期，提振消费信心，倡导简约适度、绿色低碳的消费理念，为消费营造良好舆论氛围。</w:t>
      </w:r>
      <w:r>
        <w:rPr>
          <w:rFonts w:hint="eastAsia" w:ascii="楷体_GB2312" w:hAnsi="楷体_GB2312" w:eastAsia="楷体_GB2312" w:cs="楷体_GB2312"/>
          <w:color w:val="000000"/>
          <w:sz w:val="21"/>
          <w:szCs w:val="21"/>
        </w:rPr>
        <w:t>（责任单位：县发展和改革局、县文化广电和旅游局，各乡镇政府&lt;街道办&gt;）</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20" w:firstLineChars="200"/>
        <w:textAlignment w:val="auto"/>
        <w:outlineLvl w:val="9"/>
        <w:rPr>
          <w:rFonts w:hint="eastAsia" w:ascii="楷体_GB2312" w:hAnsi="楷体_GB2312" w:eastAsia="楷体_GB2312" w:cs="楷体_GB2312"/>
          <w:color w:val="000000"/>
          <w:sz w:val="21"/>
          <w:szCs w:val="21"/>
        </w:rPr>
      </w:pPr>
      <w:r>
        <w:rPr>
          <w:rFonts w:hint="eastAsia" w:ascii="楷体_GB2312" w:hAnsi="楷体_GB2312" w:eastAsia="楷体_GB2312" w:cs="楷体_GB2312"/>
          <w:color w:val="000000"/>
          <w:kern w:val="0"/>
          <w:sz w:val="21"/>
          <w:szCs w:val="21"/>
        </w:rPr>
        <w:t>（三）实施夜间经济发展计划。</w:t>
      </w:r>
      <w:r>
        <w:rPr>
          <w:rFonts w:hint="eastAsia" w:ascii="宋体" w:hAnsi="宋体" w:eastAsia="宋体" w:cs="宋体"/>
          <w:color w:val="000000"/>
          <w:sz w:val="21"/>
          <w:szCs w:val="21"/>
        </w:rPr>
        <w:t>以激发城市夜经济活力为重要抓手，多举措支持夜经济发展，推动形成阳光超市等一批高端夜经济品牌示范企业发展。鼓励综合体、商场、超市等场所延长营业时间，引导品牌商超建设24小时便利店和“深夜食堂”；组织开展夜食、夜购、夜展、夜游等多业态融合和特色主题夜间休闲消费活动，提升商贸服务业对经济发展的贡献度；加快安全消费和业态引进，推动线上线下融合和文旅业态融合，为群众提供精彩纷呈的夜经济“盛宴”。</w:t>
      </w:r>
      <w:r>
        <w:rPr>
          <w:rFonts w:hint="eastAsia" w:ascii="楷体_GB2312" w:hAnsi="楷体_GB2312" w:eastAsia="楷体_GB2312" w:cs="楷体_GB2312"/>
          <w:color w:val="000000"/>
          <w:sz w:val="21"/>
          <w:szCs w:val="21"/>
        </w:rPr>
        <w:t>（责任单位：县发展和改革局、县文化广电和旅游局，各乡镇政府&lt;街道办&gt;）</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20" w:firstLineChars="200"/>
        <w:textAlignment w:val="auto"/>
        <w:outlineLvl w:val="9"/>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五、繁荣生活用品消费</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20" w:firstLineChars="200"/>
        <w:textAlignment w:val="auto"/>
        <w:outlineLvl w:val="9"/>
        <w:rPr>
          <w:rFonts w:hint="eastAsia" w:ascii="宋体" w:hAnsi="宋体" w:eastAsia="宋体" w:cs="宋体"/>
          <w:color w:val="000000"/>
          <w:sz w:val="21"/>
          <w:szCs w:val="21"/>
        </w:rPr>
      </w:pPr>
      <w:r>
        <w:rPr>
          <w:rFonts w:hint="eastAsia" w:ascii="楷体_GB2312" w:hAnsi="楷体_GB2312" w:eastAsia="楷体_GB2312" w:cs="楷体_GB2312"/>
          <w:color w:val="000000"/>
          <w:kern w:val="0"/>
          <w:sz w:val="21"/>
          <w:szCs w:val="21"/>
        </w:rPr>
        <w:t>（一）扩大汽车和成品油消费。</w:t>
      </w:r>
      <w:r>
        <w:rPr>
          <w:rFonts w:hint="eastAsia" w:ascii="宋体" w:hAnsi="宋体" w:eastAsia="宋体" w:cs="宋体"/>
          <w:color w:val="000000"/>
          <w:sz w:val="21"/>
          <w:szCs w:val="21"/>
        </w:rPr>
        <w:t>加强与省汽车流通行业协会、 团车网等有关单位的对接，举办汽车促销活动，帮助企业拓宽营销渠道。根据我市关于国三及以下排放标准营运柴油货车淘汰工作有关要求，积极推进相关车辆的淘汰工作。支持成品油企业开展消费促进活动，丰富销售业态，壮大油品业务，拓展非油品业务，进一步做大做强。（责任单位：县发展和改革局，各乡镇政府&lt;街道办&gt;）</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20" w:firstLineChars="200"/>
        <w:textAlignment w:val="auto"/>
        <w:outlineLvl w:val="9"/>
        <w:rPr>
          <w:rFonts w:hint="eastAsia" w:ascii="宋体" w:hAnsi="宋体" w:eastAsia="宋体" w:cs="宋体"/>
          <w:color w:val="000000"/>
          <w:sz w:val="21"/>
          <w:szCs w:val="21"/>
        </w:rPr>
      </w:pPr>
      <w:r>
        <w:rPr>
          <w:rFonts w:hint="eastAsia" w:ascii="楷体_GB2312" w:hAnsi="楷体_GB2312" w:eastAsia="楷体_GB2312" w:cs="楷体_GB2312"/>
          <w:color w:val="000000"/>
          <w:kern w:val="0"/>
          <w:sz w:val="21"/>
          <w:szCs w:val="21"/>
        </w:rPr>
        <w:t>（二）发展特色品牌消费。</w:t>
      </w:r>
      <w:r>
        <w:rPr>
          <w:rFonts w:hint="eastAsia" w:ascii="宋体" w:hAnsi="宋体" w:eastAsia="宋体" w:cs="宋体"/>
          <w:color w:val="000000"/>
          <w:sz w:val="21"/>
          <w:szCs w:val="21"/>
        </w:rPr>
        <w:t>实施增品种、提品质、创品牌“三品”战略，积极推荐重点企业参与建立河北名品名录，通过媒体、网站、展会、电商平台等渠道，宣传推广河北知名鲜活农产品、深加工食品、“冀字号”菜品、特色日用品、传统工艺品等产品品牌，提高居民对河北品牌的认可度和购买意识。挖掘、培育、发展、保护我省中华老字号，申报认定一批文化特色浓、品牌信誉高、具有市场竞争力的中华老字号品牌。积极吸引国内外知名专业服务机构来魏开办、拓展业务，打造一批专业服务领军企业和知名品牌，持续提升我县商务咨询服务专业化、规模化、网络化水平。（责任单位：县发展和改革局、县市场监督管理局，各乡镇政府&lt;街道办&gt;）</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20" w:firstLineChars="200"/>
        <w:textAlignment w:val="auto"/>
        <w:outlineLvl w:val="9"/>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六、恢复发展生活服务消费</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20" w:firstLineChars="200"/>
        <w:textAlignment w:val="auto"/>
        <w:outlineLvl w:val="9"/>
        <w:rPr>
          <w:rFonts w:hint="eastAsia" w:ascii="楷体_GB2312" w:hAnsi="楷体_GB2312" w:eastAsia="楷体_GB2312" w:cs="楷体_GB2312"/>
          <w:color w:val="000000"/>
          <w:sz w:val="21"/>
          <w:szCs w:val="21"/>
        </w:rPr>
      </w:pPr>
      <w:r>
        <w:rPr>
          <w:rFonts w:hint="eastAsia" w:ascii="楷体_GB2312" w:hAnsi="楷体_GB2312" w:eastAsia="楷体_GB2312" w:cs="楷体_GB2312"/>
          <w:color w:val="000000"/>
          <w:kern w:val="0"/>
          <w:sz w:val="21"/>
          <w:szCs w:val="21"/>
        </w:rPr>
        <w:t>（一）助力餐饮业恢复增长、提档创新。</w:t>
      </w:r>
      <w:r>
        <w:rPr>
          <w:rFonts w:hint="eastAsia" w:ascii="宋体" w:hAnsi="宋体" w:eastAsia="宋体" w:cs="宋体"/>
          <w:color w:val="000000"/>
          <w:sz w:val="21"/>
          <w:szCs w:val="21"/>
        </w:rPr>
        <w:t>用足用好帮扶政策，助力餐饮企业降负脱困，尽快实现恢复性发展。引导餐饮企业推行分餐、公筷公勺与双筷制，杜绝非法售卖、烹饪、食用野生动物行为。推广4D厨房模式，推进企业软硬件和产品改造，促进餐饮传承创新。开展康养餐、生态餐、文化餐、科技餐等特色宴席评选，引导企业开发、创新适销对路产品。</w:t>
      </w:r>
      <w:r>
        <w:rPr>
          <w:rFonts w:hint="eastAsia" w:ascii="楷体_GB2312" w:hAnsi="楷体_GB2312" w:eastAsia="楷体_GB2312" w:cs="楷体_GB2312"/>
          <w:color w:val="000000"/>
          <w:sz w:val="21"/>
          <w:szCs w:val="21"/>
        </w:rPr>
        <w:t>（责任单位：县发展和改革局、县市场监督管理局，各乡镇政府&lt;街道办&gt;）</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20" w:firstLineChars="200"/>
        <w:textAlignment w:val="auto"/>
        <w:outlineLvl w:val="9"/>
        <w:rPr>
          <w:rFonts w:hint="eastAsia" w:ascii="楷体_GB2312" w:hAnsi="楷体_GB2312" w:eastAsia="楷体_GB2312" w:cs="楷体_GB2312"/>
          <w:color w:val="000000"/>
          <w:sz w:val="21"/>
          <w:szCs w:val="21"/>
        </w:rPr>
      </w:pPr>
      <w:r>
        <w:rPr>
          <w:rFonts w:hint="eastAsia" w:ascii="楷体_GB2312" w:hAnsi="楷体_GB2312" w:eastAsia="楷体_GB2312" w:cs="楷体_GB2312"/>
          <w:color w:val="000000"/>
          <w:kern w:val="0"/>
          <w:sz w:val="21"/>
          <w:szCs w:val="21"/>
        </w:rPr>
        <w:t>（二）促进社区生活服务业提质扩容。</w:t>
      </w:r>
      <w:r>
        <w:rPr>
          <w:rFonts w:hint="eastAsia" w:ascii="宋体" w:hAnsi="宋体" w:eastAsia="宋体" w:cs="宋体"/>
          <w:color w:val="000000"/>
          <w:sz w:val="21"/>
          <w:szCs w:val="21"/>
        </w:rPr>
        <w:t>创新管理制度、发展模式和服务载体，开展社区生活服务业发展试点，引导居民社区商业网点增加服务内容，拓展服务品类，推进餐饮、家政、理发、洗衣、代收代缴等生活服务集聚化、便利化发展。鼓励家政服务企业在社区设置服务网点，参加家政商业保险，争列家政服务业提质扩容“领跑者”行动试点。重点扶持大型示范性家庭服务企业、中小型规范化服务企业，形成具有较大影响力的家庭服务品牌。</w:t>
      </w:r>
      <w:r>
        <w:rPr>
          <w:rFonts w:hint="eastAsia" w:ascii="楷体_GB2312" w:hAnsi="楷体_GB2312" w:eastAsia="楷体_GB2312" w:cs="楷体_GB2312"/>
          <w:color w:val="000000"/>
          <w:sz w:val="21"/>
          <w:szCs w:val="21"/>
        </w:rPr>
        <w:t>（责任单位：县发展和改革局，各乡镇政府&lt;街道办&gt;）</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20" w:firstLineChars="200"/>
        <w:textAlignment w:val="auto"/>
        <w:outlineLvl w:val="9"/>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七、发挥外贸企业扩内需作用</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20" w:firstLineChars="200"/>
        <w:textAlignment w:val="auto"/>
        <w:outlineLvl w:val="9"/>
        <w:rPr>
          <w:rFonts w:hint="eastAsia" w:ascii="楷体_GB2312" w:hAnsi="楷体_GB2312" w:eastAsia="楷体_GB2312" w:cs="楷体_GB2312"/>
          <w:color w:val="000000"/>
          <w:sz w:val="21"/>
          <w:szCs w:val="21"/>
        </w:rPr>
      </w:pPr>
      <w:r>
        <w:rPr>
          <w:rFonts w:hint="eastAsia" w:ascii="楷体_GB2312" w:hAnsi="楷体_GB2312" w:eastAsia="楷体_GB2312" w:cs="楷体_GB2312"/>
          <w:color w:val="000000"/>
          <w:kern w:val="0"/>
          <w:sz w:val="21"/>
          <w:szCs w:val="21"/>
        </w:rPr>
        <w:t>（一）加大外贸企业内销支持力度。</w:t>
      </w:r>
      <w:r>
        <w:rPr>
          <w:rFonts w:hint="eastAsia" w:ascii="宋体" w:hAnsi="宋体" w:eastAsia="宋体" w:cs="宋体"/>
          <w:color w:val="000000"/>
          <w:sz w:val="21"/>
          <w:szCs w:val="21"/>
        </w:rPr>
        <w:t>抓好稳外贸相关政策举措落实落地，加强政策宣传引导，降低出口转内销市场准入门槛，做好出口转内销强制性产品认证。按照国家统一部署，将“同线同标同质”产品适用范围扩大到一般消费品和工业品领域。支持我县符合条件的出口转内销产品参与政府采购市场竞争，公平公开进行招标采购。指导符合条件的外贸企业入驻省政府采购网上商城。引导县内外贸企业发挥质量研发优势，应用大数据、工业互联网等技术，通过个性化定制、柔性化生产，研发创建适销对路的内销自有品牌。引导企业通过工业设计促进企业提升品牌档次，提高产品品质和附加值，增加市场竞争力。</w:t>
      </w:r>
      <w:r>
        <w:rPr>
          <w:rFonts w:hint="eastAsia" w:ascii="楷体_GB2312" w:hAnsi="楷体_GB2312" w:eastAsia="楷体_GB2312" w:cs="楷体_GB2312"/>
          <w:color w:val="000000"/>
          <w:sz w:val="21"/>
          <w:szCs w:val="21"/>
        </w:rPr>
        <w:t>（责任单位：县发展和改革局、县工业企业服务中心、县市场监督管理局、县财政局）</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20" w:firstLineChars="200"/>
        <w:textAlignment w:val="auto"/>
        <w:outlineLvl w:val="9"/>
        <w:rPr>
          <w:rFonts w:hint="eastAsia" w:ascii="楷体_GB2312" w:hAnsi="楷体_GB2312" w:eastAsia="楷体_GB2312" w:cs="楷体_GB2312"/>
          <w:color w:val="000000"/>
          <w:sz w:val="21"/>
          <w:szCs w:val="21"/>
        </w:rPr>
      </w:pPr>
      <w:r>
        <w:rPr>
          <w:rFonts w:hint="eastAsia" w:ascii="楷体_GB2312" w:hAnsi="楷体_GB2312" w:eastAsia="楷体_GB2312" w:cs="楷体_GB2312"/>
          <w:color w:val="000000"/>
          <w:kern w:val="0"/>
          <w:sz w:val="21"/>
          <w:szCs w:val="21"/>
        </w:rPr>
        <w:t>（二）为外贸企业提供内销平台。</w:t>
      </w:r>
      <w:r>
        <w:rPr>
          <w:rFonts w:hint="eastAsia" w:ascii="宋体" w:hAnsi="宋体" w:eastAsia="宋体" w:cs="宋体"/>
          <w:color w:val="000000"/>
          <w:sz w:val="21"/>
          <w:szCs w:val="21"/>
        </w:rPr>
        <w:t>支持我县有品牌、有实力的外贸企业在国内大型电商平台设立线上外贸产品销售专区，组织引导消费类产品出口企业对接电商平台，建立长期供应合作关系，推动内销规模化、品牌化。鼓励电商平台提供零佣金、保证金减免等优惠措施。支持转内销企业开展云展示对接、云洽谈签约活动，利用新媒体、新零售、直播带货、场景体验等新业态新模式开拓国内市场。支持拥有自主品牌、内销意愿强的外贸企业与商超建立长期直采供货关系。鼓励阳光集团等商超设立外贸出口产品专柜专区，集中销售出口产品。鼓励企业开展“出口产品下乡”活动，丰富农村商品供给。</w:t>
      </w:r>
      <w:r>
        <w:rPr>
          <w:rFonts w:hint="eastAsia" w:ascii="楷体_GB2312" w:hAnsi="楷体_GB2312" w:eastAsia="楷体_GB2312" w:cs="楷体_GB2312"/>
          <w:color w:val="000000"/>
          <w:sz w:val="21"/>
          <w:szCs w:val="21"/>
        </w:rPr>
        <w:t>（责任单位：县发展和改革局，各乡镇政府&lt;街道办&gt;）</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20" w:firstLineChars="200"/>
        <w:textAlignment w:val="auto"/>
        <w:outlineLvl w:val="9"/>
        <w:rPr>
          <w:rFonts w:hint="eastAsia" w:ascii="楷体_GB2312" w:hAnsi="楷体_GB2312" w:eastAsia="楷体_GB2312" w:cs="楷体_GB2312"/>
          <w:color w:val="000000"/>
          <w:sz w:val="21"/>
          <w:szCs w:val="21"/>
        </w:rPr>
      </w:pPr>
      <w:r>
        <w:rPr>
          <w:rFonts w:hint="eastAsia" w:ascii="楷体_GB2312" w:hAnsi="楷体_GB2312" w:eastAsia="楷体_GB2312" w:cs="楷体_GB2312"/>
          <w:color w:val="000000"/>
          <w:kern w:val="0"/>
          <w:sz w:val="21"/>
          <w:szCs w:val="21"/>
        </w:rPr>
        <w:t>（三）组织外贸企业参加内销展览展示活动。</w:t>
      </w:r>
      <w:r>
        <w:rPr>
          <w:rFonts w:hint="eastAsia" w:ascii="宋体" w:hAnsi="宋体" w:eastAsia="宋体" w:cs="宋体"/>
          <w:color w:val="000000"/>
          <w:sz w:val="21"/>
          <w:szCs w:val="21"/>
        </w:rPr>
        <w:t>利用第十二届中国加工贸易产品博览会、第十八届中国（北京）国际食品饮料展览会等大型展会，搭建内销展示交流平台，组织外贸企业与国内采购商加强对接、洽谈成交。做好参展企业专题培训，帮助企业拓展内销渠道。加大对参展企业支持力度，利用中央外经贸发展资金对企业参展展位费、线上展示费等予以扶持。在符合国内疫情防控要求前提下，精心举办出口产品转内销专题活动，通过</w:t>
      </w:r>
      <w:r>
        <w:rPr>
          <w:rFonts w:hint="eastAsia" w:ascii="宋体" w:hAnsi="宋体" w:eastAsia="宋体" w:cs="宋体"/>
          <w:color w:val="000000"/>
          <w:spacing w:val="-6"/>
          <w:sz w:val="21"/>
          <w:szCs w:val="21"/>
        </w:rPr>
        <w:t>消费促进活动平台，促进出口产品内销产需对接。（</w:t>
      </w:r>
      <w:r>
        <w:rPr>
          <w:rFonts w:hint="eastAsia" w:ascii="楷体_GB2312" w:hAnsi="楷体_GB2312" w:eastAsia="楷体_GB2312" w:cs="楷体_GB2312"/>
          <w:color w:val="000000"/>
          <w:spacing w:val="-6"/>
          <w:sz w:val="21"/>
          <w:szCs w:val="21"/>
        </w:rPr>
        <w:t>责任单位：县发展和改革局、县卫生健康局、县财政局，各乡镇政府&lt;街道办&gt;）</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20" w:firstLineChars="200"/>
        <w:textAlignment w:val="auto"/>
        <w:outlineLvl w:val="9"/>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八、强化工作保障</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20" w:firstLineChars="200"/>
        <w:textAlignment w:val="auto"/>
        <w:outlineLvl w:val="9"/>
        <w:rPr>
          <w:rFonts w:hint="eastAsia" w:ascii="楷体_GB2312" w:hAnsi="楷体_GB2312" w:eastAsia="楷体_GB2312" w:cs="楷体_GB2312"/>
          <w:color w:val="000000"/>
          <w:sz w:val="21"/>
          <w:szCs w:val="21"/>
        </w:rPr>
      </w:pPr>
      <w:r>
        <w:rPr>
          <w:rFonts w:hint="eastAsia" w:ascii="楷体_GB2312" w:hAnsi="楷体_GB2312" w:eastAsia="楷体_GB2312" w:cs="楷体_GB2312"/>
          <w:color w:val="000000"/>
          <w:kern w:val="0"/>
          <w:sz w:val="21"/>
          <w:szCs w:val="21"/>
        </w:rPr>
        <w:t>（一）健全工作推进机制。</w:t>
      </w:r>
      <w:r>
        <w:rPr>
          <w:rFonts w:hint="eastAsia" w:ascii="宋体" w:hAnsi="宋体" w:eastAsia="宋体" w:cs="宋体"/>
          <w:color w:val="000000"/>
          <w:sz w:val="21"/>
          <w:szCs w:val="21"/>
        </w:rPr>
        <w:t>切实加强组织领导，压实工作责任，进一步制定细化落实方案，将相关工作逐项明确到人。认真履行主体责任，确保各项任务有序推进、落到实处。及时了解掌握工作进展情况，强化跟踪评估问效，推动各项工作有序开展。对工作力度大、成效显著的，予以表扬奖励；对落实不力、贻误工作的，严肃追责问责。</w:t>
      </w:r>
      <w:r>
        <w:rPr>
          <w:rFonts w:hint="eastAsia" w:ascii="楷体_GB2312" w:hAnsi="楷体_GB2312" w:eastAsia="楷体_GB2312" w:cs="楷体_GB2312"/>
          <w:color w:val="000000"/>
          <w:sz w:val="21"/>
          <w:szCs w:val="21"/>
        </w:rPr>
        <w:t>（责任单位：县政府有关部门）</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楷体_GB2312" w:hAnsi="楷体_GB2312" w:eastAsia="楷体_GB2312" w:cs="楷体_GB2312"/>
          <w:color w:val="000000"/>
          <w:kern w:val="0"/>
          <w:sz w:val="21"/>
          <w:szCs w:val="21"/>
        </w:rPr>
        <w:t>（二）用足用好支持政策。</w:t>
      </w:r>
      <w:r>
        <w:rPr>
          <w:rFonts w:hint="eastAsia" w:ascii="宋体" w:hAnsi="宋体" w:eastAsia="宋体" w:cs="宋体"/>
          <w:color w:val="000000"/>
          <w:sz w:val="21"/>
          <w:szCs w:val="21"/>
        </w:rPr>
        <w:t>全面贯彻落实国家、省和市出台的完善流通设施、优化市场供给、加快电商发展、推动批发零售和餐饮住宿企业转型升级以及精简审批、减免税费、扩大融资、保障用地、出口转内销、援企稳岗等一系列促进消费、扩大内需政策，结合实际研究推出一批创新</w:t>
      </w:r>
    </w:p>
    <w:p>
      <w:pPr>
        <w:keepNext w:val="0"/>
        <w:keepLines w:val="0"/>
        <w:pageBreakBefore w:val="0"/>
        <w:widowControl w:val="0"/>
        <w:kinsoku/>
        <w:wordWrap/>
        <w:overflowPunct w:val="0"/>
        <w:topLinePunct w:val="0"/>
        <w:autoSpaceDE/>
        <w:autoSpaceDN/>
        <w:bidi w:val="0"/>
        <w:adjustRightInd/>
        <w:snapToGrid/>
        <w:spacing w:line="380" w:lineRule="exact"/>
        <w:ind w:right="0" w:rightChars="0"/>
        <w:jc w:val="both"/>
        <w:textAlignment w:val="auto"/>
        <w:outlineLvl w:val="9"/>
        <w:rPr>
          <w:rFonts w:hint="eastAsia" w:ascii="楷体_GB2312" w:hAnsi="楷体_GB2312" w:eastAsia="楷体_GB2312" w:cs="楷体_GB2312"/>
          <w:color w:val="000000"/>
          <w:sz w:val="21"/>
          <w:szCs w:val="21"/>
        </w:rPr>
      </w:pPr>
      <w:r>
        <w:rPr>
          <w:rFonts w:hint="eastAsia" w:ascii="宋体" w:hAnsi="宋体" w:eastAsia="宋体" w:cs="宋体"/>
          <w:color w:val="000000"/>
          <w:sz w:val="21"/>
          <w:szCs w:val="21"/>
        </w:rPr>
        <w:t>性措施。</w:t>
      </w:r>
      <w:r>
        <w:rPr>
          <w:rFonts w:hint="eastAsia" w:ascii="楷体_GB2312" w:hAnsi="楷体_GB2312" w:eastAsia="楷体_GB2312" w:cs="楷体_GB2312"/>
          <w:color w:val="000000"/>
          <w:sz w:val="21"/>
          <w:szCs w:val="21"/>
        </w:rPr>
        <w:t>（责任单位：县政府有关部门）</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楷体_GB2312" w:hAnsi="楷体_GB2312" w:eastAsia="楷体_GB2312" w:cs="楷体_GB2312"/>
          <w:color w:val="000000"/>
          <w:sz w:val="21"/>
          <w:szCs w:val="21"/>
        </w:rPr>
        <w:sectPr>
          <w:type w:val="continuous"/>
          <w:pgSz w:w="11906" w:h="16838"/>
          <w:pgMar w:top="2268" w:right="1417" w:bottom="1984" w:left="1417" w:header="851" w:footer="1474" w:gutter="0"/>
          <w:pgNumType w:fmt="numberInDash"/>
          <w:cols w:equalWidth="0" w:num="2">
            <w:col w:w="4323" w:space="425"/>
            <w:col w:w="4323"/>
          </w:cols>
          <w:rtlGutter w:val="0"/>
          <w:docGrid w:type="lines" w:linePitch="312" w:charSpace="0"/>
        </w:sectPr>
      </w:pPr>
      <w:r>
        <w:rPr>
          <w:rFonts w:hint="eastAsia" w:ascii="楷体_GB2312" w:hAnsi="楷体_GB2312" w:eastAsia="楷体_GB2312" w:cs="楷体_GB2312"/>
          <w:color w:val="000000"/>
          <w:kern w:val="0"/>
          <w:sz w:val="21"/>
          <w:szCs w:val="21"/>
        </w:rPr>
        <w:t>（三）营造安心消费环境。</w:t>
      </w:r>
      <w:r>
        <w:rPr>
          <w:rFonts w:hint="eastAsia" w:ascii="宋体" w:hAnsi="宋体" w:eastAsia="宋体" w:cs="宋体"/>
          <w:color w:val="000000"/>
          <w:sz w:val="21"/>
          <w:szCs w:val="21"/>
        </w:rPr>
        <w:t>深入推进商务诚信公共服务平台建设应用，认真落实商务信用联合奖惩措施，着力打造诚信经商环境。巩固提升商务综合执法成果，提高商务领域执法监管效能。扎实开展单用途商业预付卡风险排查整治，增强风险隐患防范化解的主动性、有效性，稳定消费信心。进一步加大消费者权益保护力度，畅通消费者投诉渠道，探索开展服务业服务质量监测及结果运用，促进服务业质量有效提升，共同维护良好市场秩序。</w:t>
      </w:r>
      <w:r>
        <w:rPr>
          <w:rFonts w:hint="eastAsia" w:ascii="楷体_GB2312" w:hAnsi="楷体_GB2312" w:eastAsia="楷体_GB2312" w:cs="楷体_GB2312"/>
          <w:color w:val="000000"/>
          <w:sz w:val="21"/>
          <w:szCs w:val="21"/>
        </w:rPr>
        <w:t>（责任单位：县发展和改革局、县市场监督管理局，各乡镇政府&lt;街道办&gt;）</w:t>
      </w:r>
    </w:p>
    <w:p>
      <w:pPr>
        <w:keepNext w:val="0"/>
        <w:keepLines w:val="0"/>
        <w:pageBreakBefore w:val="0"/>
        <w:widowControl w:val="0"/>
        <w:kinsoku/>
        <w:wordWrap/>
        <w:overflowPunct/>
        <w:topLinePunct w:val="0"/>
        <w:autoSpaceDE/>
        <w:autoSpaceDN/>
        <w:bidi w:val="0"/>
        <w:adjustRightInd/>
        <w:snapToGrid/>
        <w:spacing w:line="380" w:lineRule="exact"/>
        <w:ind w:right="0" w:rightChars="0"/>
        <w:jc w:val="both"/>
        <w:textAlignment w:val="auto"/>
        <w:outlineLvl w:val="9"/>
        <w:rPr>
          <w:rFonts w:hint="eastAsia" w:ascii="楷体_GB2312" w:hAnsi="楷体_GB2312" w:eastAsia="楷体_GB2312" w:cs="楷体_GB2312"/>
          <w:color w:val="000000"/>
          <w:sz w:val="21"/>
          <w:szCs w:val="21"/>
          <w:lang w:eastAsia="zh-CN"/>
        </w:rPr>
      </w:pPr>
    </w:p>
    <w:p>
      <w:pPr>
        <w:keepNext w:val="0"/>
        <w:keepLines w:val="0"/>
        <w:pageBreakBefore w:val="0"/>
        <w:widowControl w:val="0"/>
        <w:kinsoku/>
        <w:wordWrap/>
        <w:overflowPunct/>
        <w:topLinePunct w:val="0"/>
        <w:autoSpaceDE/>
        <w:autoSpaceDN/>
        <w:bidi w:val="0"/>
        <w:adjustRightInd/>
        <w:snapToGrid/>
        <w:spacing w:beforeLines="100" w:line="500" w:lineRule="exact"/>
        <w:ind w:left="0" w:leftChars="0" w:right="0" w:rightChars="0" w:firstLine="0" w:firstLineChars="0"/>
        <w:jc w:val="center"/>
        <w:textAlignment w:val="auto"/>
        <w:outlineLvl w:val="9"/>
        <w:rPr>
          <w:color w:val="000000"/>
          <w:sz w:val="36"/>
          <w:szCs w:val="36"/>
        </w:rPr>
      </w:pPr>
      <w:r>
        <w:rPr>
          <w:rFonts w:hint="eastAsia"/>
          <w:color w:val="000000"/>
          <w:sz w:val="36"/>
          <w:szCs w:val="36"/>
        </w:rPr>
        <w:t>魏县人民政府办公室</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color w:val="000000"/>
          <w:sz w:val="36"/>
          <w:szCs w:val="36"/>
        </w:rPr>
      </w:pPr>
      <w:r>
        <w:rPr>
          <w:rFonts w:hint="eastAsia"/>
          <w:color w:val="000000"/>
          <w:sz w:val="36"/>
          <w:szCs w:val="36"/>
        </w:rPr>
        <w:t>关于印发《魏县绿色建筑创建行动实施方案》的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color w:val="000000"/>
          <w:sz w:val="36"/>
          <w:szCs w:val="36"/>
        </w:rPr>
      </w:pPr>
      <w:r>
        <w:rPr>
          <w:rFonts w:hint="eastAsia"/>
          <w:color w:val="000000"/>
          <w:sz w:val="36"/>
          <w:szCs w:val="36"/>
        </w:rPr>
        <w:t>通</w:t>
      </w:r>
      <w:r>
        <w:rPr>
          <w:rFonts w:hint="eastAsia"/>
          <w:color w:val="000000"/>
          <w:sz w:val="36"/>
          <w:szCs w:val="36"/>
          <w:lang w:val="en-US" w:eastAsia="zh-CN"/>
        </w:rPr>
        <w:t xml:space="preserve">    </w:t>
      </w:r>
      <w:r>
        <w:rPr>
          <w:rFonts w:hint="eastAsia"/>
          <w:color w:val="000000"/>
          <w:sz w:val="36"/>
          <w:szCs w:val="36"/>
        </w:rPr>
        <w:t>知</w:t>
      </w:r>
    </w:p>
    <w:p>
      <w:pPr>
        <w:keepNext w:val="0"/>
        <w:keepLines w:val="0"/>
        <w:pageBreakBefore w:val="0"/>
        <w:widowControl w:val="0"/>
        <w:kinsoku/>
        <w:wordWrap/>
        <w:overflowPunct/>
        <w:topLinePunct w:val="0"/>
        <w:autoSpaceDE/>
        <w:autoSpaceDN/>
        <w:bidi w:val="0"/>
        <w:adjustRightInd/>
        <w:snapToGrid/>
        <w:spacing w:line="100" w:lineRule="exact"/>
        <w:ind w:left="0" w:leftChars="0" w:right="0" w:rightChars="0" w:firstLine="0" w:firstLineChars="0"/>
        <w:jc w:val="center"/>
        <w:textAlignment w:val="auto"/>
        <w:outlineLvl w:val="9"/>
        <w:rPr>
          <w:rFonts w:hint="default" w:ascii="Times New Roman" w:hAnsi="Times New Roman" w:eastAsia="宋体" w:cs="Times New Roman"/>
          <w:bCs/>
          <w:color w:val="000000"/>
          <w:sz w:val="21"/>
          <w:szCs w:val="21"/>
        </w:rPr>
      </w:pPr>
    </w:p>
    <w:p>
      <w:pPr>
        <w:spacing w:line="570" w:lineRule="exac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魏政办字〔</w:t>
      </w:r>
      <w:r>
        <w:rPr>
          <w:rFonts w:hint="default" w:ascii="Times New Roman" w:hAnsi="Times New Roman" w:eastAsia="宋体" w:cs="Times New Roman"/>
          <w:color w:val="000000"/>
          <w:sz w:val="21"/>
          <w:szCs w:val="21"/>
        </w:rPr>
        <w:t>2020</w:t>
      </w:r>
      <w:r>
        <w:rPr>
          <w:rFonts w:hint="default" w:ascii="Times New Roman" w:hAnsi="Times New Roman" w:eastAsia="宋体" w:cs="Times New Roman"/>
          <w:bCs/>
          <w:color w:val="000000"/>
          <w:sz w:val="21"/>
          <w:szCs w:val="21"/>
        </w:rPr>
        <w:t>〕</w:t>
      </w:r>
      <w:r>
        <w:rPr>
          <w:rFonts w:hint="default" w:ascii="Times New Roman" w:hAnsi="Times New Roman" w:eastAsia="宋体" w:cs="Times New Roman"/>
          <w:color w:val="000000"/>
          <w:sz w:val="21"/>
          <w:szCs w:val="21"/>
        </w:rPr>
        <w:t>35</w:t>
      </w:r>
      <w:r>
        <w:rPr>
          <w:rFonts w:hint="default" w:ascii="Times New Roman" w:hAnsi="Times New Roman" w:eastAsia="宋体" w:cs="Times New Roman"/>
          <w:bCs/>
          <w:color w:val="000000"/>
          <w:sz w:val="21"/>
          <w:szCs w:val="21"/>
        </w:rPr>
        <w:t>号</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ascii="仿宋_GB2312" w:hAnsi="仿宋"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各乡镇政府、街道办，县对口有关单位，县政府有关部门：</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《魏县绿色建筑创建行动实施方案》已经县政府同意，现印发给你们，请按照职责分工，认真抓好贯彻落实。</w:t>
      </w:r>
    </w:p>
    <w:p>
      <w:pPr>
        <w:keepNext w:val="0"/>
        <w:keepLines w:val="0"/>
        <w:pageBreakBefore w:val="0"/>
        <w:widowControl w:val="0"/>
        <w:kinsoku/>
        <w:wordWrap/>
        <w:overflowPunct/>
        <w:topLinePunct w:val="0"/>
        <w:autoSpaceDE/>
        <w:autoSpaceDN/>
        <w:bidi w:val="0"/>
        <w:adjustRightInd/>
        <w:snapToGrid/>
        <w:spacing w:line="380" w:lineRule="exact"/>
        <w:ind w:right="0" w:rightChars="0" w:firstLine="6090" w:firstLineChars="2900"/>
        <w:jc w:val="both"/>
        <w:textAlignment w:val="auto"/>
        <w:outlineLvl w:val="9"/>
        <w:rPr>
          <w:rFonts w:hint="eastAsia" w:ascii="宋体" w:hAnsi="宋体" w:eastAsia="宋体" w:cs="宋体"/>
          <w:color w:val="000000"/>
          <w:sz w:val="21"/>
          <w:szCs w:val="21"/>
        </w:rPr>
      </w:pPr>
    </w:p>
    <w:p>
      <w:pPr>
        <w:keepNext w:val="0"/>
        <w:keepLines w:val="0"/>
        <w:pageBreakBefore w:val="0"/>
        <w:widowControl w:val="0"/>
        <w:kinsoku/>
        <w:wordWrap/>
        <w:overflowPunct/>
        <w:topLinePunct w:val="0"/>
        <w:autoSpaceDE/>
        <w:autoSpaceDN/>
        <w:bidi w:val="0"/>
        <w:adjustRightInd/>
        <w:snapToGrid/>
        <w:spacing w:line="380" w:lineRule="exact"/>
        <w:ind w:right="0" w:rightChars="0" w:firstLine="6090" w:firstLineChars="29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魏县人民政府办公室</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6195" w:firstLineChars="295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2020年12月7日</w:t>
      </w:r>
    </w:p>
    <w:p>
      <w:pPr>
        <w:keepNext w:val="0"/>
        <w:keepLines w:val="0"/>
        <w:pageBreakBefore w:val="0"/>
        <w:widowControl w:val="0"/>
        <w:kinsoku/>
        <w:wordWrap/>
        <w:overflowPunct/>
        <w:topLinePunct w:val="0"/>
        <w:autoSpaceDE/>
        <w:autoSpaceDN/>
        <w:bidi w:val="0"/>
        <w:adjustRightInd/>
        <w:snapToGrid/>
        <w:spacing w:line="380" w:lineRule="exact"/>
        <w:ind w:right="0" w:rightChars="0"/>
        <w:jc w:val="both"/>
        <w:textAlignment w:val="auto"/>
        <w:outlineLvl w:val="9"/>
        <w:rPr>
          <w:rFonts w:hint="eastAsia" w:ascii="宋体" w:hAnsi="宋体" w:eastAsia="宋体" w:cs="宋体"/>
          <w:color w:val="000000"/>
          <w:sz w:val="21"/>
          <w:szCs w:val="21"/>
        </w:rPr>
      </w:pPr>
    </w:p>
    <w:p>
      <w:pPr>
        <w:spacing w:line="570" w:lineRule="exact"/>
        <w:jc w:val="center"/>
        <w:rPr>
          <w:rFonts w:ascii="宋体" w:cs="方正小标宋简体"/>
          <w:color w:val="000000"/>
          <w:sz w:val="36"/>
          <w:szCs w:val="36"/>
        </w:rPr>
      </w:pPr>
      <w:r>
        <w:rPr>
          <w:rFonts w:hint="eastAsia" w:ascii="宋体" w:hAnsi="宋体" w:cs="方正小标宋简体"/>
          <w:color w:val="000000"/>
          <w:sz w:val="36"/>
          <w:szCs w:val="36"/>
        </w:rPr>
        <w:t>魏县绿色建筑行动实施方案</w:t>
      </w:r>
    </w:p>
    <w:p>
      <w:pPr>
        <w:keepNext w:val="0"/>
        <w:keepLines w:val="0"/>
        <w:pageBreakBefore w:val="0"/>
        <w:widowControl w:val="0"/>
        <w:kinsoku/>
        <w:wordWrap/>
        <w:overflowPunct/>
        <w:topLinePunct w:val="0"/>
        <w:autoSpaceDE/>
        <w:autoSpaceDN/>
        <w:bidi w:val="0"/>
        <w:adjustRightInd/>
        <w:snapToGrid/>
        <w:spacing w:line="380" w:lineRule="exact"/>
        <w:ind w:right="0" w:rightChars="0" w:firstLine="420" w:firstLineChars="200"/>
        <w:textAlignment w:val="auto"/>
        <w:outlineLvl w:val="9"/>
        <w:rPr>
          <w:rFonts w:hint="default" w:ascii="Times New Roman" w:hAnsi="Times New Roman" w:eastAsia="宋体" w:cs="Times New Roman"/>
          <w:color w:val="000000"/>
          <w:sz w:val="21"/>
          <w:szCs w:val="21"/>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default" w:ascii="Times New Roman" w:hAnsi="Times New Roman" w:eastAsia="宋体" w:cs="Times New Roman"/>
          <w:color w:val="000000"/>
          <w:sz w:val="21"/>
          <w:szCs w:val="21"/>
        </w:rPr>
        <w:sectPr>
          <w:type w:val="continuous"/>
          <w:pgSz w:w="11906" w:h="16838"/>
          <w:pgMar w:top="2268" w:right="1417" w:bottom="1984" w:left="1417" w:header="851" w:footer="1474" w:gutter="0"/>
          <w:pgNumType w:fmt="numberInDash"/>
          <w:cols w:space="425"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为进一步推进绿色建筑发展，切实转变城乡建设模式，提高资源利用效率，根据《邯郸市绿</w:t>
      </w:r>
      <w:r>
        <w:rPr>
          <w:rFonts w:hint="default" w:ascii="Times New Roman" w:hAnsi="Times New Roman" w:eastAsia="宋体" w:cs="Times New Roman"/>
          <w:color w:val="000000"/>
          <w:spacing w:val="-6"/>
          <w:sz w:val="21"/>
          <w:szCs w:val="21"/>
        </w:rPr>
        <w:t>色建筑创建行动实施方案》，制定本行动实施方案。</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一、总体要求</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以习近平生态文明思想为指导，全面贯彻党的十九大和省委九届九次、十次会议精神，落实“创新、协调、绿色、开放、共享”的发展理念，紧紧抓住城镇化和新农村建设的重要战略机遇期，深入推进绿色建筑发展，从政策法规、体制机制、规划设计、标准规范、技术推广、建设运营和产业支撑等方面全面推进绿色建筑行动，全面开展绿色建筑创建行动，促进生态文明建设。</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二、工作目标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2022年，全县城镇新建建筑中绿色建筑面积占比达到92%，逐步提高城镇新建建筑中装配式建筑占比，推动绿色建筑在新建建筑中的应用，星级绿色建筑持续增加，既有建筑能效水平不断提高，住宅健康性能不断完善，人民群众积极参与绿色建筑创建活动，形成崇尚绿色生活的社会氛围。</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三、重点任务</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一）全力推进绿色建筑发展。继续深入贯彻落实《河北省促进绿色建筑发展条例》，将绿色建筑专项规划相关内容纳入控制性详细规划，在建设用地规划条件中明确绿色建筑等级要求和控制指标。严格执行绿色建筑标准，在县域总体规划确定的城镇建设用地范围内的新建民用建筑，全部按照绿色建筑标准进行建设。其中，政府投资或者以政府投资为主的建筑、建筑面积大于2万平方米的大型公共建筑、建筑面积大于10万平方米的住宅小区，按照高于最低等级的绿色建筑标准进行建设。</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二）大力发展被动式超低能耗建筑。落实省政府办公厅《关于支持被动式超低能耗建筑产业发展的若干政策》和《邯郸市人民政府关于推进超低能耗建筑发展的实施意见》加大被动式超低能耗建筑推广力度。以政府投资或以政府投资为主的办公、学校等公共建筑和集中建设的公租房、专家公寓、人才公寓等居住建筑，原则上按照被动式超低能耗建筑标准规划、建设和运行。突出绿色发展新理念，高起点、高标准、高质量建设绿色建筑和被动式超低能耗建筑，单宗出让、划拨居住建筑地块项目，在规划条件中应明确建设不低于10%的超低能耗建筑。</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三）整合资源提升建筑能效水平。加强协调，整合现有资源，统筹实施既有居住建筑节能改造。继续推动机关、事业单位办公建筑及大型公共建筑定期开展能耗统计、能源审计、能效公示。加强县级能耗监测采集点的建设及平台的管理。探索公共建筑能耗（电耗）限额管理，促进用能单位主动实施节能改造。新建和改造住宅小区，要满足海绵城市建设相关标准，达到国家规定的雨水径流控制率指标要求。</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四）提高住宅健康性能。探索健康住宅建设试点示范，在符合住宅基本性能要求的基础上，突出健康要素，以居住健康的可持续发展的理念，满足居住者生理、心理和社会多层次的需求，为居住者建造健康、安全、舒适、环保的高品质住宅。结合疫情防控和我县实际，提高住宅建筑室内空气、水质、隔声等健康性能指标，提升绿色建筑品质和可感知性。选择有意愿的建设项目开展住宅健康性能示范，强化住宅健康性能设计要求，严格竣工验收管理，推动绿色健康技术应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五）推进装配式建筑发展。大力发展装配式建筑，政府投资或主导的项目采用装配式建造方式，抓好政府政策要求，中心城区装配式建筑配建比例达到20%，引导装配式建筑构件企业加大科技研发力度，丰富构件品种，形成全链条式开发生产产业结构，向高精尖市场发展。</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六）推动绿色建材应用。建立绿色建材采信机制，利用智慧工地等网络平台，构建绿色建材产品目录。结合全县绿色建筑发展需要，以外墙保温材料，高性能节能门窗及密封材料、高性能混凝土、资源循环利用等建材产品为重点，指导建设单位在工程建设中优先选用目录建材。</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七）加强技术推广。支持研发和推广与绿色建筑相关的新技术、新工艺、新材料、新设备、新服务。加强新一代信息技术与建筑工业化技术的结合，在建造全过程加大建筑信息模型（BIM）、互联网、物联网、大数据、云计算、移动通信、人工智能、区块链等新技术的集成与创新应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八）探索绿色住宅使用者监督机制。严格落实住房城乡建设部关于绿色住宅购房人验房的相关要求，探索适合本地的向购房人提供房屋绿色性能和全装修质量验收的新方法，引导绿色住宅开发建设单位配合购房人做好验房工作。鼓励逐步将住宅绿色性能和全装修质量相关指标纳入商品房买卖合同、住宅质量保证书和住宅使用说明书，明确质量保修责任和纠纷处理方式。</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xml:space="preserve">（九）加强绿色建筑过程监督管理。细化绿色建筑管理内容，重点对规划阶段、设计审查阶段、施工与验收阶段以及被动式超低能耗建筑后评估、装配式建筑预制构件节点连接等关键环节的管理内容予以明确。严格按照“双随机、一公开” 监管工作要求开展监督检查，对存在违法违规行为的，依法依规对责任单位和责任人实施行政处罚。加强住房城乡建设行业信用体系建设，营造诚实守信的市场环境。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十）建立新建绿色建筑信息共享机制。理顺绿色建筑项目审批、项目监管，违法行为处罚的管理机制，实现绿色建筑项目从立项到竣工验收的全过程信息共享，提高绿色建筑、被动式超低能耗建筑和装配式建筑全过程的监管质量。加强绿色建筑数据分析和应用，挖掘建筑能耗数据应用价值，提升绿色建筑决策水平。</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四、组织实施</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（一）加强组织领导。县政府成立魏县绿色建筑创建行动工作领导小组，负责统筹规划、组织协调、整体推进魏县绿色建筑创建行动工作。</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各相关单位充分认识绿色建筑创建话动的重要意义，将绿色建筑创建活动作为重要任务列入工作计划，细化目标任务、落实支持政策，确保创建工作落实到位。</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二）加强资金支持。财政局按照《条例》要求落实资金，重点支持研发和推广与绿色建筑相关的新技术、新工艺、新材料、新设备、新服务，支持高星级绿色建筑、被动式超低能耗建筑、既有建筑绿色改造等示范项目建设，支持推广装配式建筑、商品房全装修等建设方式。</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三）强化绩效评价。住房和城乡建设局会同相关单位按照本方案，对魏县绿色建筑创建行动工作落实情况和取得的成效开展年度总结评估。住房和城乡建设局负责组织我县绿色建筑创建成效评价，及时总结当年进展情况和成效，形成年度报告，并按要求每年11月20日前报市建设行政主管部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四）加大宣传力度。广播电视等媒体机构要做好宣传工作，普及绿色建筑发展理念，科普绿色建筑相关知识。加强对绿色建筑和被动式超低能耗建筑技术、材料的宣传推广，让群众对绿色建筑有切身感受，形成全县支持绿色建筑发展的良好氛围。</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附件：魏县绿色建筑创建行动工作领导小组成员名单</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0" w:firstLineChars="200"/>
        <w:textAlignment w:val="auto"/>
        <w:outlineLvl w:val="9"/>
        <w:rPr>
          <w:rFonts w:hint="default" w:ascii="Times New Roman" w:hAnsi="Times New Roman" w:eastAsia="宋体" w:cs="Times New Roman"/>
          <w:color w:val="000000"/>
          <w:sz w:val="21"/>
          <w:szCs w:val="21"/>
        </w:rPr>
      </w:pPr>
    </w:p>
    <w:p>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附件</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0" w:firstLineChars="200"/>
        <w:textAlignment w:val="auto"/>
        <w:outlineLvl w:val="9"/>
        <w:rPr>
          <w:rFonts w:hint="default" w:ascii="Times New Roman" w:hAnsi="Times New Roman" w:eastAsia="宋体" w:cs="Times New Roman"/>
          <w:color w:val="000000"/>
          <w:sz w:val="21"/>
          <w:szCs w:val="21"/>
        </w:rPr>
      </w:pP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000000"/>
          <w:sz w:val="21"/>
          <w:szCs w:val="21"/>
        </w:rPr>
      </w:pPr>
      <w:r>
        <w:rPr>
          <w:rFonts w:hint="eastAsia" w:ascii="黑体" w:hAnsi="黑体" w:eastAsia="黑体" w:cs="黑体"/>
          <w:color w:val="000000"/>
          <w:sz w:val="21"/>
          <w:szCs w:val="21"/>
        </w:rPr>
        <w:t>魏县绿色建筑创建行动工作领导小组成员名单</w:t>
      </w:r>
    </w:p>
    <w:p>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outlineLvl w:val="9"/>
        <w:rPr>
          <w:rFonts w:hint="default" w:ascii="Times New Roman" w:hAnsi="Times New Roman" w:eastAsia="宋体" w:cs="Times New Roman"/>
          <w:color w:val="000000"/>
          <w:sz w:val="21"/>
          <w:szCs w:val="21"/>
        </w:rPr>
      </w:pPr>
    </w:p>
    <w:p>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组  长：高  巍  县政府县长</w:t>
      </w:r>
    </w:p>
    <w:p>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副组长：张海军  县政府常务副县长</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840" w:firstLineChars="400"/>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胡延峰  县政府副县长</w:t>
      </w:r>
    </w:p>
    <w:p>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成  员：乔新光  县住房和城乡建设局党组书记</w:t>
      </w:r>
    </w:p>
    <w:p>
      <w:pPr>
        <w:keepNext w:val="0"/>
        <w:keepLines w:val="0"/>
        <w:pageBreakBefore w:val="0"/>
        <w:widowControl w:val="0"/>
        <w:kinsoku/>
        <w:wordWrap/>
        <w:overflowPunct/>
        <w:topLinePunct w:val="0"/>
        <w:autoSpaceDE/>
        <w:autoSpaceDN/>
        <w:bidi w:val="0"/>
        <w:adjustRightInd/>
        <w:snapToGrid/>
        <w:spacing w:line="360" w:lineRule="exact"/>
        <w:ind w:left="630" w:leftChars="300" w:right="0" w:rightChars="0"/>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xml:space="preserve"> 贾晓春  县自然资源和规划局党组书记</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739" w:firstLineChars="352"/>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xml:space="preserve">陈海林  县发展和改革局党组书记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739" w:firstLineChars="352"/>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郭清莉  县行政审批局党组书记、局长</w:t>
      </w:r>
    </w:p>
    <w:p>
      <w:pPr>
        <w:keepNext w:val="0"/>
        <w:keepLines w:val="0"/>
        <w:pageBreakBefore w:val="0"/>
        <w:widowControl w:val="0"/>
        <w:kinsoku/>
        <w:wordWrap/>
        <w:overflowPunct/>
        <w:topLinePunct w:val="0"/>
        <w:autoSpaceDE/>
        <w:autoSpaceDN/>
        <w:bidi w:val="0"/>
        <w:adjustRightInd/>
        <w:snapToGrid/>
        <w:spacing w:line="360" w:lineRule="exact"/>
        <w:ind w:left="628" w:leftChars="299" w:right="0" w:rightChars="0" w:firstLine="112" w:firstLineChars="0"/>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王俊河  县财政局党组书记、局长</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9" w:firstLineChars="276"/>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周军有  县教育体育局党组书记、局长</w:t>
      </w:r>
    </w:p>
    <w:p>
      <w:pPr>
        <w:keepNext w:val="0"/>
        <w:keepLines w:val="0"/>
        <w:pageBreakBefore w:val="0"/>
        <w:widowControl w:val="0"/>
        <w:kinsoku/>
        <w:wordWrap/>
        <w:overflowPunct/>
        <w:topLinePunct w:val="0"/>
        <w:autoSpaceDE/>
        <w:autoSpaceDN/>
        <w:bidi w:val="0"/>
        <w:adjustRightInd/>
        <w:snapToGrid/>
        <w:spacing w:line="360" w:lineRule="exact"/>
        <w:ind w:left="629" w:leftChars="266" w:right="0" w:rightChars="0" w:hanging="70" w:firstLineChars="0"/>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吴晓民  县后勤服务中心主任</w:t>
      </w:r>
    </w:p>
    <w:p>
      <w:pPr>
        <w:keepNext w:val="0"/>
        <w:keepLines w:val="0"/>
        <w:pageBreakBefore w:val="0"/>
        <w:widowControl w:val="0"/>
        <w:kinsoku/>
        <w:wordWrap/>
        <w:overflowPunct/>
        <w:topLinePunct w:val="0"/>
        <w:autoSpaceDE/>
        <w:autoSpaceDN/>
        <w:bidi w:val="0"/>
        <w:adjustRightInd/>
        <w:snapToGrid/>
        <w:spacing w:line="360" w:lineRule="exact"/>
        <w:ind w:left="626" w:leftChars="266" w:right="0" w:rightChars="0" w:hanging="67" w:firstLineChars="0"/>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石书庆  县工业企业服务中心主任</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0" w:firstLineChars="200"/>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领导小组下设办公室,办公室设在县住房和城乡建设局，办公室主任由乔新光同志兼任。</w:t>
      </w:r>
    </w:p>
    <w:p>
      <w:pPr>
        <w:keepNext w:val="0"/>
        <w:keepLines w:val="0"/>
        <w:pageBreakBefore w:val="0"/>
        <w:widowControl w:val="0"/>
        <w:kinsoku/>
        <w:wordWrap/>
        <w:overflowPunct/>
        <w:topLinePunct w:val="0"/>
        <w:autoSpaceDE/>
        <w:autoSpaceDN/>
        <w:bidi w:val="0"/>
        <w:adjustRightInd/>
        <w:snapToGrid/>
        <w:spacing w:line="380" w:lineRule="exact"/>
        <w:ind w:right="0" w:rightChars="0" w:firstLine="420" w:firstLineChars="200"/>
        <w:textAlignment w:val="auto"/>
        <w:outlineLvl w:val="9"/>
        <w:rPr>
          <w:rFonts w:hint="default" w:ascii="Times New Roman" w:hAnsi="Times New Roman" w:eastAsia="宋体" w:cs="Times New Roman"/>
          <w:color w:val="000000"/>
          <w:sz w:val="21"/>
          <w:szCs w:val="21"/>
        </w:rPr>
        <w:sectPr>
          <w:type w:val="continuous"/>
          <w:pgSz w:w="11906" w:h="16838"/>
          <w:pgMar w:top="2268" w:right="1417" w:bottom="1984" w:left="1417" w:header="851" w:footer="1474" w:gutter="0"/>
          <w:pgNumType w:fmt="numberInDash"/>
          <w:cols w:equalWidth="0" w:num="2">
            <w:col w:w="4323" w:space="425"/>
            <w:col w:w="4323"/>
          </w:cols>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80" w:lineRule="exact"/>
        <w:ind w:right="0" w:rightChars="0"/>
        <w:jc w:val="both"/>
        <w:textAlignment w:val="auto"/>
        <w:outlineLvl w:val="9"/>
        <w:rPr>
          <w:rFonts w:hint="eastAsia" w:ascii="楷体_GB2312" w:hAnsi="楷体_GB2312" w:eastAsia="楷体_GB2312" w:cs="楷体_GB2312"/>
          <w:color w:val="000000"/>
          <w:sz w:val="21"/>
          <w:szCs w:val="21"/>
          <w:lang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center"/>
        <w:textAlignment w:val="auto"/>
        <w:outlineLvl w:val="9"/>
        <w:rPr>
          <w:rFonts w:hint="eastAsia" w:ascii="宋体" w:hAnsi="宋体" w:eastAsia="宋体" w:cs="宋体"/>
          <w:b/>
          <w:bCs/>
          <w:sz w:val="21"/>
          <w:szCs w:val="21"/>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b w:val="0"/>
          <w:bCs w:val="0"/>
          <w:sz w:val="36"/>
          <w:szCs w:val="36"/>
          <w:lang w:eastAsia="zh-CN"/>
        </w:rPr>
      </w:pPr>
      <w:r>
        <w:rPr>
          <w:rFonts w:hint="eastAsia" w:ascii="宋体" w:hAnsi="宋体" w:eastAsia="宋体" w:cs="宋体"/>
          <w:b w:val="0"/>
          <w:bCs w:val="0"/>
          <w:sz w:val="36"/>
          <w:szCs w:val="36"/>
          <w:lang w:eastAsia="zh-CN"/>
        </w:rPr>
        <w:t>魏县人民政府办公室</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b w:val="0"/>
          <w:bCs w:val="0"/>
          <w:sz w:val="36"/>
          <w:szCs w:val="36"/>
          <w:lang w:eastAsia="zh-CN"/>
        </w:rPr>
      </w:pPr>
      <w:r>
        <w:rPr>
          <w:rFonts w:hint="eastAsia" w:ascii="宋体" w:hAnsi="宋体" w:eastAsia="宋体" w:cs="宋体"/>
          <w:b w:val="0"/>
          <w:bCs w:val="0"/>
          <w:sz w:val="36"/>
          <w:szCs w:val="36"/>
          <w:lang w:eastAsia="zh-CN"/>
        </w:rPr>
        <w:t>关于印发魏县电梯等特种设备安全管理工作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b w:val="0"/>
          <w:bCs w:val="0"/>
          <w:sz w:val="36"/>
          <w:szCs w:val="36"/>
          <w:lang w:eastAsia="zh-CN"/>
        </w:rPr>
      </w:pPr>
      <w:r>
        <w:rPr>
          <w:rFonts w:hint="eastAsia" w:ascii="宋体" w:hAnsi="宋体" w:eastAsia="宋体" w:cs="宋体"/>
          <w:b w:val="0"/>
          <w:bCs w:val="0"/>
          <w:sz w:val="36"/>
          <w:szCs w:val="36"/>
          <w:lang w:eastAsia="zh-CN"/>
        </w:rPr>
        <w:t>联席会议制度的通知</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ascii="楷体_GB2312" w:hAnsi="楷体_GB2312" w:eastAsia="楷体_GB2312" w:cs="楷体_GB2312"/>
          <w:color w:val="000000"/>
          <w:sz w:val="21"/>
          <w:szCs w:val="21"/>
          <w:lang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center"/>
        <w:textAlignment w:val="auto"/>
        <w:outlineLvl w:val="9"/>
        <w:rPr>
          <w:rFonts w:hint="eastAsia" w:ascii="宋体" w:hAnsi="宋体" w:eastAsia="宋体" w:cs="宋体"/>
          <w:b w:val="0"/>
          <w:bCs w:val="0"/>
          <w:sz w:val="21"/>
          <w:szCs w:val="21"/>
          <w:lang w:val="en-US" w:eastAsia="zh-CN"/>
        </w:rPr>
      </w:pPr>
      <w:r>
        <w:rPr>
          <w:rFonts w:hint="eastAsia" w:ascii="Times New Roman" w:hAnsi="Times New Roman" w:eastAsia="仿宋_GB2312" w:cs="Times New Roman"/>
          <w:b w:val="0"/>
          <w:bCs w:val="0"/>
          <w:sz w:val="32"/>
          <w:szCs w:val="32"/>
          <w:lang w:val="en-US" w:eastAsia="zh-CN"/>
        </w:rPr>
        <w:t xml:space="preserve"> </w:t>
      </w:r>
      <w:r>
        <w:rPr>
          <w:rFonts w:hint="eastAsia" w:ascii="宋体" w:hAnsi="宋体" w:eastAsia="宋体" w:cs="宋体"/>
          <w:b w:val="0"/>
          <w:bCs w:val="0"/>
          <w:sz w:val="21"/>
          <w:szCs w:val="21"/>
          <w:lang w:eastAsia="zh-CN"/>
        </w:rPr>
        <w:t>魏政办文〔</w:t>
      </w:r>
      <w:r>
        <w:rPr>
          <w:rFonts w:hint="eastAsia" w:ascii="宋体" w:hAnsi="宋体" w:eastAsia="宋体" w:cs="宋体"/>
          <w:b w:val="0"/>
          <w:bCs w:val="0"/>
          <w:sz w:val="21"/>
          <w:szCs w:val="21"/>
          <w:lang w:val="en-US" w:eastAsia="zh-CN"/>
        </w:rPr>
        <w:t>2020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11号</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center"/>
        <w:textAlignment w:val="auto"/>
        <w:outlineLvl w:val="9"/>
        <w:rPr>
          <w:rFonts w:hint="eastAsia" w:ascii="宋体" w:hAnsi="宋体" w:eastAsia="宋体" w:cs="宋体"/>
          <w:b/>
          <w:bCs/>
          <w:sz w:val="21"/>
          <w:szCs w:val="21"/>
          <w:lang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各乡镇政府、街道办，县对口各单位，县政府各部门：</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left"/>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《魏县电梯等特种设备安全管理工作联席会议制度》已经县政府同意，现印发给你们，请认真贯彻执行。</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outlineLvl w:val="9"/>
        <w:rPr>
          <w:rFonts w:hint="eastAsia" w:ascii="宋体" w:hAnsi="宋体" w:eastAsia="宋体" w:cs="宋体"/>
          <w:b w:val="0"/>
          <w:bCs w:val="0"/>
          <w:sz w:val="21"/>
          <w:szCs w:val="21"/>
          <w:lang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6090" w:firstLineChars="2900"/>
        <w:jc w:val="left"/>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魏县人民政府办公室</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6195" w:firstLineChars="295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2020年12月18日</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left"/>
        <w:textAlignment w:val="auto"/>
        <w:outlineLvl w:val="9"/>
        <w:rPr>
          <w:rFonts w:hint="eastAsia" w:ascii="宋体" w:hAnsi="宋体" w:eastAsia="宋体" w:cs="宋体"/>
          <w:b w:val="0"/>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宋体" w:hAnsi="宋体" w:eastAsia="宋体" w:cs="宋体"/>
          <w:b w:val="0"/>
          <w:bCs w:val="0"/>
          <w:sz w:val="36"/>
          <w:szCs w:val="36"/>
          <w:lang w:val="en-US" w:eastAsia="zh-CN"/>
        </w:rPr>
      </w:pPr>
      <w:r>
        <w:rPr>
          <w:rFonts w:hint="eastAsia" w:ascii="宋体" w:hAnsi="宋体" w:eastAsia="宋体" w:cs="宋体"/>
          <w:b w:val="0"/>
          <w:bCs w:val="0"/>
          <w:sz w:val="36"/>
          <w:szCs w:val="36"/>
          <w:lang w:val="en-US" w:eastAsia="zh-CN"/>
        </w:rPr>
        <w:t>魏县电梯等特种设备安全管理工作联席会议制度</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2" w:firstLineChars="200"/>
        <w:jc w:val="left"/>
        <w:textAlignment w:val="auto"/>
        <w:outlineLvl w:val="9"/>
        <w:rPr>
          <w:rFonts w:hint="eastAsia" w:ascii="宋体" w:hAnsi="宋体" w:eastAsia="宋体" w:cs="宋体"/>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sectPr>
          <w:type w:val="continuous"/>
          <w:pgSz w:w="11906" w:h="16838"/>
          <w:pgMar w:top="2268" w:right="1417" w:bottom="1984" w:left="1417" w:header="851" w:footer="1474" w:gutter="0"/>
          <w:pgNumType w:fmt="numberInDash"/>
          <w:cols w:space="425"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一、联席会议的组成</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20" w:firstLineChars="2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联席会议由县政府分管副县长担任召集人，县政府办分管副主任、县市场监督管理局主要负责同志担任副召集人。县市场监督管理局、县应急管理局、县住房和城乡建设局、县教育体育局、县文化广电和旅游局、县交通运输局、县发展和改革局、县公安局、县卫生健康局、县自然资源和规划局、县工业企业服务中心、 县行政审批局、县财政局等有关部门为成员单位，各成员单位的分管负责同志为联席会议成员。</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联席会议下设办公室，办公室设在县市场监督管理局，办公室主任由县市场监督管理局主要负责同志兼任，分管负责同志任办公室副主任。</w:t>
      </w:r>
    </w:p>
    <w:p>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联席会议主要职责</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z w:val="21"/>
          <w:szCs w:val="21"/>
          <w:lang w:val="en-US" w:eastAsia="zh-CN"/>
        </w:rPr>
        <w:t>联席会议在县政府的领导下，贯彻执行电梯等特种设备安全管理工作相关法律法规，组织、</w:t>
      </w:r>
      <w:r>
        <w:rPr>
          <w:rFonts w:hint="eastAsia" w:ascii="宋体" w:hAnsi="宋体" w:eastAsia="宋体" w:cs="宋体"/>
          <w:b w:val="0"/>
          <w:bCs w:val="0"/>
          <w:spacing w:val="-6"/>
          <w:sz w:val="21"/>
          <w:szCs w:val="21"/>
          <w:lang w:val="en-US" w:eastAsia="zh-CN"/>
        </w:rPr>
        <w:t>协调、指导开展全县电梯等特种设备安全管理工作。</w:t>
      </w:r>
    </w:p>
    <w:p>
      <w:pPr>
        <w:keepNext w:val="0"/>
        <w:keepLines w:val="0"/>
        <w:pageBreakBefore w:val="0"/>
        <w:widowControl w:val="0"/>
        <w:numPr>
          <w:ilvl w:val="0"/>
          <w:numId w:val="7"/>
        </w:numPr>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贯彻落实国家和省、市电梯等特种设备安全管理工作相关法律法规、文件精神，分析全县电梯等特种设备安全管理工作形势，研究工作重点、难点问题，提出治理电梯等特种设备安全隐患的具体措施，统筹部署全县电梯等特种设备安全管理工作。</w:t>
      </w:r>
    </w:p>
    <w:p>
      <w:pPr>
        <w:keepNext w:val="0"/>
        <w:keepLines w:val="0"/>
        <w:pageBreakBefore w:val="0"/>
        <w:widowControl w:val="0"/>
        <w:numPr>
          <w:ilvl w:val="0"/>
          <w:numId w:val="7"/>
        </w:numPr>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督促指导各乡镇政府、街道办及有关职能部门做好电梯等特种设备安全管理工作，指导解决工作中的重大问题。</w:t>
      </w:r>
    </w:p>
    <w:p>
      <w:pPr>
        <w:keepNext w:val="0"/>
        <w:keepLines w:val="0"/>
        <w:pageBreakBefore w:val="0"/>
        <w:widowControl w:val="0"/>
        <w:numPr>
          <w:ilvl w:val="0"/>
          <w:numId w:val="7"/>
        </w:numPr>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加强部门协调配合、实现信息共享、组织开展综合治理，推进电梯等特种设备安全管理工作长效监管机制建设。</w:t>
      </w:r>
    </w:p>
    <w:p>
      <w:pPr>
        <w:keepNext w:val="0"/>
        <w:keepLines w:val="0"/>
        <w:pageBreakBefore w:val="0"/>
        <w:widowControl w:val="0"/>
        <w:numPr>
          <w:ilvl w:val="0"/>
          <w:numId w:val="7"/>
        </w:numPr>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综合协调电梯等特种设备事故、严重事故隐患应急处置等工作。</w:t>
      </w:r>
    </w:p>
    <w:p>
      <w:pPr>
        <w:keepNext w:val="0"/>
        <w:keepLines w:val="0"/>
        <w:pageBreakBefore w:val="0"/>
        <w:widowControl w:val="0"/>
        <w:numPr>
          <w:ilvl w:val="0"/>
          <w:numId w:val="7"/>
        </w:numPr>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完成上级交办的其它有关工作任务。</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三、联席会议办公室主要职责</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（一）负责联席会议日常工作。</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（二）定期通报全县电梯等特种设备安全管理工作形势和各成员单位工作开展情况，向联席会议提供解决电梯等特种设备安全管理问题的对策和建议。</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（三）加强与成员单位的信息交流，汇总联席会议议题，起草联席会议通知、会议纪要及工作报告，由联席会议办公室报联席会议召集人签批同意后，印发各成员单位。</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（四）督促联席会议议定事项的落实。</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（五）组织协调电梯等特种设备事故、严重事故隐患应急处置工作。</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（六）承办联席会议交办的其它工作。</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四、联席会议工作规则</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县电梯等特种设备安全管理工作联席会议由召集人（县政府分管领导）召集召开。根据具体情况，召集人也可委托副召集人（县政府办分管副主任或县市场监督管理局主要负责同志）召集召开。</w:t>
      </w:r>
    </w:p>
    <w:p>
      <w:pPr>
        <w:keepNext w:val="0"/>
        <w:keepLines w:val="0"/>
        <w:pageBreakBefore w:val="0"/>
        <w:widowControl w:val="0"/>
        <w:numPr>
          <w:ilvl w:val="0"/>
          <w:numId w:val="8"/>
        </w:numPr>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全体会议。县电梯等特种设备安全管理工作联席会议每年至少召开一次全体会议，总结通报我县电梯等特种设备安全管理工作形势，交流当年工作情况，研究部署下一阶段工作任务；审议有关电梯等特种设备安全管理工作重大事项；协调解决涉及全县电梯等特种设备安全管理工作的重大问题。</w:t>
      </w:r>
    </w:p>
    <w:p>
      <w:pPr>
        <w:keepNext w:val="0"/>
        <w:keepLines w:val="0"/>
        <w:pageBreakBefore w:val="0"/>
        <w:widowControl w:val="0"/>
        <w:numPr>
          <w:ilvl w:val="0"/>
          <w:numId w:val="8"/>
        </w:numPr>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有关单位会议。根据电梯等特种设备安全管理工作方面遇到的具体问题，召集有关单位参加，研究布置具体工作任务。</w:t>
      </w:r>
    </w:p>
    <w:p>
      <w:pPr>
        <w:keepNext w:val="0"/>
        <w:keepLines w:val="0"/>
        <w:pageBreakBefore w:val="0"/>
        <w:widowControl w:val="0"/>
        <w:numPr>
          <w:ilvl w:val="0"/>
          <w:numId w:val="8"/>
        </w:numPr>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县电梯等特种设备安全管理工作联席会议以会议纪要形式确认会议议定事项，由联席会议办公室报联席会议召集人签批同意后，印发各成员单位，抓好执行落实。</w:t>
      </w:r>
    </w:p>
    <w:p>
      <w:pPr>
        <w:keepNext w:val="0"/>
        <w:keepLines w:val="0"/>
        <w:pageBreakBefore w:val="0"/>
        <w:widowControl w:val="0"/>
        <w:numPr>
          <w:ilvl w:val="0"/>
          <w:numId w:val="8"/>
        </w:numPr>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经召集人同意，联席会议可以邀请成员单位以外的有关单位列席。</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五、工作要求</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各成员单位要按照职责分工，做好电梯等特种设备安全管理相关工作，主动研究提出电梯等特种设备安全管理工作有关问题及对策，按要求参加联席会议，认真落实联席会议确定的各项任务和议定事项，及时向联席会议办公室报送相关工作资料。</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（二）各成员单位要互通信息、相互配合、相互支持、形成合力，指导对口单位落实具体工作措施，充分发挥联席会议的作用，及时通报工作开展情况。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（三）各成员单位要指派1名相关职能科室负责人作为联络员，负责本单位与联席会议办公室的日常联络工作。若遇人事变动，联席会议成员及联络员由接任的同志自然接替，承担相应职责。</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附件：魏县电梯等特种设备安全管理工作联席会议成员名单</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jc w:val="left"/>
        <w:textAlignment w:val="auto"/>
        <w:outlineLvl w:val="9"/>
        <w:rPr>
          <w:rFonts w:hint="eastAsia" w:ascii="宋体" w:hAnsi="宋体" w:eastAsia="宋体" w:cs="宋体"/>
          <w:b w:val="0"/>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jc w:val="center"/>
        <w:textAlignment w:val="auto"/>
        <w:outlineLvl w:val="9"/>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魏县电梯等特种设备安全管理工作</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jc w:val="center"/>
        <w:textAlignment w:val="auto"/>
        <w:outlineLvl w:val="9"/>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联席会议成员名单</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641"/>
        <w:jc w:val="left"/>
        <w:textAlignment w:val="auto"/>
        <w:outlineLvl w:val="9"/>
        <w:rPr>
          <w:rFonts w:hint="eastAsia" w:ascii="宋体" w:hAnsi="宋体" w:eastAsia="宋体" w:cs="宋体"/>
          <w:b w:val="0"/>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召 集 人：胡延峰  县政府副县长</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副召集人：郭常明  县政府办副主任</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64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郭庆军  县市场监督管理局局长</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jc w:val="left"/>
        <w:textAlignment w:val="auto"/>
        <w:outlineLvl w:val="9"/>
        <w:rPr>
          <w:rFonts w:hint="eastAsia" w:ascii="宋体" w:hAnsi="宋体" w:eastAsia="宋体" w:cs="宋体"/>
          <w:b w:val="0"/>
          <w:bCs w:val="0"/>
          <w:w w:val="95"/>
          <w:sz w:val="21"/>
          <w:szCs w:val="21"/>
          <w:lang w:val="en-US" w:eastAsia="zh-CN"/>
        </w:rPr>
      </w:pPr>
      <w:r>
        <w:rPr>
          <w:rFonts w:hint="eastAsia" w:ascii="宋体" w:hAnsi="宋体" w:eastAsia="宋体" w:cs="宋体"/>
          <w:b w:val="0"/>
          <w:bCs w:val="0"/>
          <w:sz w:val="21"/>
          <w:szCs w:val="21"/>
          <w:lang w:val="en-US" w:eastAsia="zh-CN"/>
        </w:rPr>
        <w:t xml:space="preserve">成    员：燕志向  </w:t>
      </w:r>
      <w:r>
        <w:rPr>
          <w:rFonts w:hint="eastAsia" w:ascii="宋体" w:hAnsi="宋体" w:eastAsia="宋体" w:cs="宋体"/>
          <w:b w:val="0"/>
          <w:bCs w:val="0"/>
          <w:w w:val="95"/>
          <w:sz w:val="21"/>
          <w:szCs w:val="21"/>
          <w:lang w:val="en-US" w:eastAsia="zh-CN"/>
        </w:rPr>
        <w:t>县市场监督管理局主任科员</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1050" w:firstLineChars="5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蒋忠诚  县应急管理局副局长</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1894" w:leftChars="500" w:right="0" w:rightChars="0" w:hanging="844" w:hangingChars="402"/>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岳付亮  县住房和城乡建设局三级主任科员</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1050" w:firstLineChars="5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刘战平  县教育体育局副局长</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1050" w:firstLineChars="500"/>
        <w:jc w:val="left"/>
        <w:textAlignment w:val="auto"/>
        <w:outlineLvl w:val="9"/>
        <w:rPr>
          <w:rFonts w:hint="eastAsia" w:ascii="宋体" w:hAnsi="宋体" w:eastAsia="宋体" w:cs="宋体"/>
          <w:b w:val="0"/>
          <w:bCs w:val="0"/>
          <w:spacing w:val="-6"/>
          <w:w w:val="95"/>
          <w:sz w:val="21"/>
          <w:szCs w:val="21"/>
          <w:lang w:val="en-US" w:eastAsia="zh-CN"/>
        </w:rPr>
      </w:pPr>
      <w:r>
        <w:rPr>
          <w:rFonts w:hint="eastAsia" w:ascii="宋体" w:hAnsi="宋体" w:eastAsia="宋体" w:cs="宋体"/>
          <w:b w:val="0"/>
          <w:bCs w:val="0"/>
          <w:sz w:val="21"/>
          <w:szCs w:val="21"/>
          <w:lang w:val="en-US" w:eastAsia="zh-CN"/>
        </w:rPr>
        <w:t xml:space="preserve">霍俊河  </w:t>
      </w:r>
      <w:r>
        <w:rPr>
          <w:rFonts w:hint="eastAsia" w:ascii="宋体" w:hAnsi="宋体" w:eastAsia="宋体" w:cs="宋体"/>
          <w:b w:val="0"/>
          <w:bCs w:val="0"/>
          <w:spacing w:val="-6"/>
          <w:w w:val="95"/>
          <w:sz w:val="21"/>
          <w:szCs w:val="21"/>
          <w:lang w:val="en-US" w:eastAsia="zh-CN"/>
        </w:rPr>
        <w:t>县文化广电和旅游局执法队长</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1050" w:firstLineChars="500"/>
        <w:jc w:val="left"/>
        <w:textAlignment w:val="auto"/>
        <w:outlineLvl w:val="9"/>
        <w:rPr>
          <w:rFonts w:hint="eastAsia" w:ascii="宋体" w:hAnsi="宋体" w:eastAsia="宋体" w:cs="宋体"/>
          <w:b w:val="0"/>
          <w:bCs w:val="0"/>
          <w:spacing w:val="-6"/>
          <w:w w:val="95"/>
          <w:sz w:val="21"/>
          <w:szCs w:val="21"/>
          <w:lang w:val="en-US" w:eastAsia="zh-CN"/>
        </w:rPr>
      </w:pPr>
      <w:r>
        <w:rPr>
          <w:rFonts w:hint="eastAsia" w:ascii="宋体" w:hAnsi="宋体" w:eastAsia="宋体" w:cs="宋体"/>
          <w:b w:val="0"/>
          <w:bCs w:val="0"/>
          <w:sz w:val="21"/>
          <w:szCs w:val="21"/>
          <w:lang w:val="en-US" w:eastAsia="zh-CN"/>
        </w:rPr>
        <w:t xml:space="preserve">封文明  </w:t>
      </w:r>
      <w:r>
        <w:rPr>
          <w:rFonts w:hint="eastAsia" w:ascii="宋体" w:hAnsi="宋体" w:eastAsia="宋体" w:cs="宋体"/>
          <w:b w:val="0"/>
          <w:bCs w:val="0"/>
          <w:spacing w:val="-6"/>
          <w:w w:val="95"/>
          <w:sz w:val="21"/>
          <w:szCs w:val="21"/>
          <w:lang w:val="en-US" w:eastAsia="zh-CN"/>
        </w:rPr>
        <w:t>县交通运输局交通战备办主任</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1050" w:firstLineChars="500"/>
        <w:jc w:val="left"/>
        <w:textAlignment w:val="auto"/>
        <w:outlineLvl w:val="9"/>
        <w:rPr>
          <w:rFonts w:hint="eastAsia" w:ascii="宋体" w:hAnsi="宋体" w:eastAsia="宋体" w:cs="宋体"/>
          <w:b w:val="0"/>
          <w:bCs w:val="0"/>
          <w:spacing w:val="-6"/>
          <w:w w:val="95"/>
          <w:sz w:val="21"/>
          <w:szCs w:val="21"/>
          <w:lang w:val="en-US" w:eastAsia="zh-CN"/>
        </w:rPr>
      </w:pPr>
      <w:r>
        <w:rPr>
          <w:rFonts w:hint="eastAsia" w:ascii="宋体" w:hAnsi="宋体" w:eastAsia="宋体" w:cs="宋体"/>
          <w:b w:val="0"/>
          <w:bCs w:val="0"/>
          <w:sz w:val="21"/>
          <w:szCs w:val="21"/>
          <w:lang w:val="en-US" w:eastAsia="zh-CN"/>
        </w:rPr>
        <w:t xml:space="preserve">刘海峰  </w:t>
      </w:r>
      <w:r>
        <w:rPr>
          <w:rFonts w:hint="eastAsia" w:ascii="宋体" w:hAnsi="宋体" w:eastAsia="宋体" w:cs="宋体"/>
          <w:b w:val="0"/>
          <w:bCs w:val="0"/>
          <w:spacing w:val="-6"/>
          <w:w w:val="95"/>
          <w:sz w:val="21"/>
          <w:szCs w:val="21"/>
          <w:lang w:val="en-US" w:eastAsia="zh-CN"/>
        </w:rPr>
        <w:t>县发展和改革局办公室主任</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1050" w:firstLineChars="5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王  华  县公安局副局长</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1050" w:firstLineChars="5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刘东泉  县卫生健康局副局长</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1050" w:firstLineChars="500"/>
        <w:jc w:val="left"/>
        <w:textAlignment w:val="auto"/>
        <w:outlineLvl w:val="9"/>
        <w:rPr>
          <w:rFonts w:hint="eastAsia" w:ascii="宋体" w:hAnsi="宋体" w:eastAsia="宋体" w:cs="宋体"/>
          <w:b w:val="0"/>
          <w:bCs w:val="0"/>
          <w:spacing w:val="-11"/>
          <w:w w:val="90"/>
          <w:sz w:val="21"/>
          <w:szCs w:val="21"/>
          <w:lang w:val="en-US" w:eastAsia="zh-CN"/>
        </w:rPr>
      </w:pPr>
      <w:r>
        <w:rPr>
          <w:rFonts w:hint="eastAsia" w:ascii="宋体" w:hAnsi="宋体" w:eastAsia="宋体" w:cs="宋体"/>
          <w:b w:val="0"/>
          <w:bCs w:val="0"/>
          <w:sz w:val="21"/>
          <w:szCs w:val="21"/>
          <w:lang w:val="en-US" w:eastAsia="zh-CN"/>
        </w:rPr>
        <w:t xml:space="preserve">李卫杰  </w:t>
      </w:r>
      <w:r>
        <w:rPr>
          <w:rFonts w:hint="eastAsia" w:ascii="宋体" w:hAnsi="宋体" w:eastAsia="宋体" w:cs="宋体"/>
          <w:b w:val="0"/>
          <w:bCs w:val="0"/>
          <w:spacing w:val="-11"/>
          <w:w w:val="90"/>
          <w:sz w:val="21"/>
          <w:szCs w:val="21"/>
          <w:lang w:val="en-US" w:eastAsia="zh-CN"/>
        </w:rPr>
        <w:t>县自然资源和规划局副主任科员</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1050" w:firstLineChars="500"/>
        <w:jc w:val="left"/>
        <w:textAlignment w:val="auto"/>
        <w:outlineLvl w:val="9"/>
        <w:rPr>
          <w:rFonts w:hint="eastAsia" w:ascii="宋体" w:hAnsi="宋体" w:eastAsia="宋体" w:cs="宋体"/>
          <w:b w:val="0"/>
          <w:bCs w:val="0"/>
          <w:spacing w:val="-6"/>
          <w:w w:val="95"/>
          <w:sz w:val="21"/>
          <w:szCs w:val="21"/>
          <w:lang w:val="en-US" w:eastAsia="zh-CN"/>
        </w:rPr>
      </w:pPr>
      <w:r>
        <w:rPr>
          <w:rFonts w:hint="eastAsia" w:ascii="宋体" w:hAnsi="宋体" w:eastAsia="宋体" w:cs="宋体"/>
          <w:b w:val="0"/>
          <w:bCs w:val="0"/>
          <w:sz w:val="21"/>
          <w:szCs w:val="21"/>
          <w:lang w:val="en-US" w:eastAsia="zh-CN"/>
        </w:rPr>
        <w:t xml:space="preserve">张俊勇  </w:t>
      </w:r>
      <w:r>
        <w:rPr>
          <w:rFonts w:hint="eastAsia" w:ascii="宋体" w:hAnsi="宋体" w:eastAsia="宋体" w:cs="宋体"/>
          <w:b w:val="0"/>
          <w:bCs w:val="0"/>
          <w:spacing w:val="-6"/>
          <w:w w:val="95"/>
          <w:sz w:val="21"/>
          <w:szCs w:val="21"/>
          <w:lang w:val="en-US" w:eastAsia="zh-CN"/>
        </w:rPr>
        <w:t>县工业企业服务中心副主任</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1050" w:firstLineChars="5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申清良  县行政审批局副局长</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1050" w:firstLineChars="5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杨子明  县财政局支付中心主任</w:t>
      </w:r>
    </w:p>
    <w:p>
      <w:pPr>
        <w:keepNext w:val="0"/>
        <w:keepLines w:val="0"/>
        <w:pageBreakBefore w:val="0"/>
        <w:widowControl w:val="0"/>
        <w:kinsoku/>
        <w:wordWrap/>
        <w:overflowPunct/>
        <w:topLinePunct w:val="0"/>
        <w:autoSpaceDE/>
        <w:autoSpaceDN/>
        <w:bidi w:val="0"/>
        <w:adjustRightInd/>
        <w:snapToGrid/>
        <w:spacing w:line="380" w:lineRule="exact"/>
        <w:ind w:right="0" w:rightChars="0"/>
        <w:jc w:val="both"/>
        <w:textAlignment w:val="auto"/>
        <w:outlineLvl w:val="9"/>
        <w:rPr>
          <w:rFonts w:hint="eastAsia" w:ascii="楷体_GB2312" w:hAnsi="楷体_GB2312" w:eastAsia="楷体_GB2312" w:cs="楷体_GB2312"/>
          <w:color w:val="000000"/>
          <w:sz w:val="21"/>
          <w:szCs w:val="21"/>
          <w:lang w:eastAsia="zh-CN"/>
        </w:rPr>
        <w:sectPr>
          <w:type w:val="continuous"/>
          <w:pgSz w:w="11906" w:h="16838"/>
          <w:pgMar w:top="2268" w:right="1417" w:bottom="1984" w:left="1417" w:header="851" w:footer="1474" w:gutter="0"/>
          <w:pgNumType w:fmt="numberInDash"/>
          <w:cols w:equalWidth="0" w:num="2">
            <w:col w:w="4323" w:space="425"/>
            <w:col w:w="4323"/>
          </w:cols>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80" w:lineRule="exact"/>
        <w:ind w:right="0" w:rightChars="0"/>
        <w:jc w:val="both"/>
        <w:textAlignment w:val="auto"/>
        <w:outlineLvl w:val="9"/>
        <w:rPr>
          <w:rFonts w:hint="eastAsia" w:ascii="楷体_GB2312" w:hAnsi="楷体_GB2312" w:eastAsia="楷体_GB2312" w:cs="楷体_GB2312"/>
          <w:color w:val="000000"/>
          <w:sz w:val="21"/>
          <w:szCs w:val="21"/>
          <w:lang w:eastAsia="zh-CN"/>
        </w:rPr>
      </w:pPr>
    </w:p>
    <w:sectPr>
      <w:type w:val="continuous"/>
      <w:pgSz w:w="11906" w:h="16838"/>
      <w:pgMar w:top="2268" w:right="1417" w:bottom="1984" w:left="1417" w:header="851" w:footer="1474" w:gutter="0"/>
      <w:pgNumType w:fmt="numberInDash"/>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微软雅黑">
    <w:altName w:val="黑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5203190</wp:posOffset>
              </wp:positionH>
              <wp:positionV relativeFrom="paragraph">
                <wp:posOffset>-142875</wp:posOffset>
              </wp:positionV>
              <wp:extent cx="583565" cy="2838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3565" cy="2838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9.7pt;margin-top:-11.25pt;height:22.35pt;width:45.95pt;mso-position-horizontal-relative:margin;z-index:251658240;mso-width-relative:page;mso-height-relative:page;" filled="f" stroked="f" coordsize="21600,21600" o:gfxdata="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QO4MtkAAAAK&#10;AQAADwAAAAAAAAABACAAAAAiAAAAZHJzL2Rvd25yZXYueG1sUEsBAhQAFAAAAAgAh07iQIroKPQb&#10;AgAAEwQAAA4AAAAAAAAAAQAgAAAAKAEAAGRycy9lMm9Eb2MueG1sUEsFBgAAAAAGAAYAWQEAALUF&#10;AAAAAA==&#10;">
              <v:fill on="f" focussize="0,0"/>
              <v:stroke on="f" weight="0.5pt"/>
              <v:imagedata o:title=""/>
              <o:lock v:ext="edit" aspectratio="f"/>
              <v:textbox inset="0mm,0mm,0mm,0mm">
                <w:txbxContent>
                  <w:p>
                    <w:pPr>
                      <w:pStyle w:val="2"/>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16510</wp:posOffset>
              </wp:positionH>
              <wp:positionV relativeFrom="paragraph">
                <wp:posOffset>-95250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- 2 -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3pt;margin-top:-7.5pt;height:144pt;width:144pt;mso-position-horizontal-relative:margin;mso-wrap-style:none;z-index:251659264;mso-width-relative:page;mso-height-relative:page;" filled="f" stroked="f" coordsize="21600,21600" o:gfxdata="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FTmU7WAAAACQEAAA8AAAAAAAAA&#10;AQAgAAAAIgAAAGRycy9kb3ducmV2LnhtbFBLAQIUABQAAAAIAIdO4kAF3HKwEwIAABMEAAAOAAAA&#10;AAAAAAEAIAAAACUBAABkcnMvZTJvRG9jLnhtbFBLBQYAAAAABgAGAFkBAACq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- 2 -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155638"/>
    <w:multiLevelType w:val="singleLevel"/>
    <w:tmpl w:val="8B155638"/>
    <w:lvl w:ilvl="0" w:tentative="0">
      <w:start w:val="1"/>
      <w:numFmt w:val="decimal"/>
      <w:lvlText w:val="%1."/>
      <w:lvlJc w:val="left"/>
      <w:pPr>
        <w:tabs>
          <w:tab w:val="left" w:pos="312"/>
        </w:tabs>
      </w:pPr>
    </w:lvl>
  </w:abstractNum>
  <w:abstractNum w:abstractNumId="1">
    <w:nsid w:val="994E1A37"/>
    <w:multiLevelType w:val="singleLevel"/>
    <w:tmpl w:val="994E1A37"/>
    <w:lvl w:ilvl="0" w:tentative="0">
      <w:start w:val="1"/>
      <w:numFmt w:val="chineseCounting"/>
      <w:suff w:val="nothing"/>
      <w:lvlText w:val="（%1）"/>
      <w:lvlJc w:val="left"/>
      <w:rPr>
        <w:rFonts w:hint="eastAsia"/>
      </w:rPr>
    </w:lvl>
  </w:abstractNum>
  <w:abstractNum w:abstractNumId="2">
    <w:nsid w:val="E3D6970B"/>
    <w:multiLevelType w:val="singleLevel"/>
    <w:tmpl w:val="E3D6970B"/>
    <w:lvl w:ilvl="0" w:tentative="0">
      <w:start w:val="1"/>
      <w:numFmt w:val="decimal"/>
      <w:lvlText w:val="%1."/>
      <w:lvlJc w:val="left"/>
      <w:pPr>
        <w:tabs>
          <w:tab w:val="left" w:pos="312"/>
        </w:tabs>
      </w:pPr>
    </w:lvl>
  </w:abstractNum>
  <w:abstractNum w:abstractNumId="3">
    <w:nsid w:val="41FE9C31"/>
    <w:multiLevelType w:val="singleLevel"/>
    <w:tmpl w:val="41FE9C31"/>
    <w:lvl w:ilvl="0" w:tentative="0">
      <w:start w:val="1"/>
      <w:numFmt w:val="chineseCounting"/>
      <w:suff w:val="nothing"/>
      <w:lvlText w:val="（%1）"/>
      <w:lvlJc w:val="left"/>
      <w:rPr>
        <w:rFonts w:hint="eastAsia"/>
      </w:rPr>
    </w:lvl>
  </w:abstractNum>
  <w:abstractNum w:abstractNumId="4">
    <w:nsid w:val="4E38C25D"/>
    <w:multiLevelType w:val="singleLevel"/>
    <w:tmpl w:val="4E38C25D"/>
    <w:lvl w:ilvl="0" w:tentative="0">
      <w:start w:val="1"/>
      <w:numFmt w:val="decimal"/>
      <w:lvlText w:val="%1."/>
      <w:lvlJc w:val="left"/>
      <w:pPr>
        <w:tabs>
          <w:tab w:val="left" w:pos="312"/>
        </w:tabs>
      </w:pPr>
    </w:lvl>
  </w:abstractNum>
  <w:abstractNum w:abstractNumId="5">
    <w:nsid w:val="54300878"/>
    <w:multiLevelType w:val="singleLevel"/>
    <w:tmpl w:val="54300878"/>
    <w:lvl w:ilvl="0" w:tentative="0">
      <w:start w:val="2"/>
      <w:numFmt w:val="chineseCounting"/>
      <w:suff w:val="nothing"/>
      <w:lvlText w:val="%1、"/>
      <w:lvlJc w:val="left"/>
      <w:rPr>
        <w:rFonts w:hint="eastAsia"/>
      </w:rPr>
    </w:lvl>
  </w:abstractNum>
  <w:abstractNum w:abstractNumId="6">
    <w:nsid w:val="5E98DD7B"/>
    <w:multiLevelType w:val="singleLevel"/>
    <w:tmpl w:val="5E98DD7B"/>
    <w:lvl w:ilvl="0" w:tentative="0">
      <w:start w:val="1"/>
      <w:numFmt w:val="chineseCounting"/>
      <w:suff w:val="nothing"/>
      <w:lvlText w:val="%1、"/>
      <w:lvlJc w:val="left"/>
      <w:rPr>
        <w:rFonts w:hint="eastAsia"/>
      </w:rPr>
    </w:lvl>
  </w:abstractNum>
  <w:abstractNum w:abstractNumId="7">
    <w:nsid w:val="7DC85D8C"/>
    <w:multiLevelType w:val="singleLevel"/>
    <w:tmpl w:val="7DC85D8C"/>
    <w:lvl w:ilvl="0" w:tentative="0">
      <w:start w:val="1"/>
      <w:numFmt w:val="decimal"/>
      <w:suff w:val="nothing"/>
      <w:lvlText w:val="（%1）"/>
      <w:lvlJc w:val="left"/>
    </w:lvl>
  </w:abstractNum>
  <w:num w:numId="1">
    <w:abstractNumId w:val="6"/>
  </w:num>
  <w:num w:numId="2">
    <w:abstractNumId w:val="7"/>
  </w:num>
  <w:num w:numId="3">
    <w:abstractNumId w:val="0"/>
  </w:num>
  <w:num w:numId="4">
    <w:abstractNumId w:val="2"/>
  </w:num>
  <w:num w:numId="5">
    <w:abstractNumId w:val="4"/>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0123D"/>
    <w:rsid w:val="031731F4"/>
    <w:rsid w:val="0720123D"/>
    <w:rsid w:val="07FC77B9"/>
    <w:rsid w:val="0D291219"/>
    <w:rsid w:val="12280986"/>
    <w:rsid w:val="144D69E2"/>
    <w:rsid w:val="1DDD3DEA"/>
    <w:rsid w:val="1E5807E8"/>
    <w:rsid w:val="24E951D7"/>
    <w:rsid w:val="2C4F26B7"/>
    <w:rsid w:val="3C5960A1"/>
    <w:rsid w:val="443A7B25"/>
    <w:rsid w:val="4591518A"/>
    <w:rsid w:val="4B2D4C6C"/>
    <w:rsid w:val="4C643B73"/>
    <w:rsid w:val="5085130A"/>
    <w:rsid w:val="5D530B6A"/>
    <w:rsid w:val="61C55527"/>
    <w:rsid w:val="69A1188E"/>
    <w:rsid w:val="7E7B1212"/>
    <w:rsid w:val="7E860DE5"/>
    <w:rsid w:val="7FE67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2020-12-29T01:03:00Z</dcterms:created>
  <dc:creator>Administrator</dc:creator>
  <cp:lastModifiedBy>Administrator</cp:lastModifiedBy>
  <cp:lastPrinted>2020-12-30T00:48:00Z</cp:lastPrinted>
  <dcterms:modified xsi:type="dcterms:W3CDTF">2021-01-04T06:28:28Z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