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50</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bidi w:val="0"/>
        <w:spacing w:line="640" w:lineRule="exact"/>
        <w:ind w:left="0" w:firstLine="0"/>
        <w:textAlignment w:val="auto"/>
      </w:pPr>
    </w:p>
    <w:p>
      <w:pPr>
        <w:pStyle w:val="6"/>
        <w:keepNext w:val="0"/>
        <w:keepLines w:val="0"/>
        <w:pageBreakBefore w:val="0"/>
        <w:widowControl w:val="0"/>
        <w:kinsoku/>
        <w:wordWrap/>
        <w:overflowPunct/>
        <w:topLinePunct w:val="0"/>
        <w:bidi w:val="0"/>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spacing w:line="640" w:lineRule="exact"/>
        <w:ind w:firstLine="811" w:firstLineChars="200"/>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河北中科实验设备科技有限公司化工评价装置实验设备与精密阀门阀件研发制造项目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snapToGrid w:val="0"/>
        <w:spacing w:line="6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bidi w:val="0"/>
        <w:snapToGrid w:val="0"/>
        <w:spacing w:line="6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河北中科实验设备科技有限公司</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eastAsia="zh-CN"/>
        </w:rPr>
        <w:t>河北中科实验设备科技有限公司化工评价装置实验设备与精密阀门阀件研发制造项目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》收悉。经研究，批复如下：</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一、该项目位于邯郸市河北魏县</w:t>
      </w:r>
      <w:r>
        <w:rPr>
          <w:rFonts w:hint="eastAsia" w:ascii="仿宋" w:hAnsi="仿宋" w:eastAsia="仿宋" w:cs="仿宋"/>
          <w:sz w:val="32"/>
          <w:szCs w:val="32"/>
          <w:lang w:val="en-US" w:eastAsia="zh-CN"/>
        </w:rPr>
        <w:t>经济开发区科技孵化基地</w:t>
      </w:r>
      <w:r>
        <w:rPr>
          <w:rFonts w:hint="eastAsia" w:ascii="仿宋" w:hAnsi="仿宋" w:eastAsia="仿宋" w:cs="仿宋"/>
          <w:sz w:val="32"/>
          <w:szCs w:val="32"/>
        </w:rPr>
        <w:t>，项目中心地理坐标为北纬36°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50</w:t>
      </w:r>
      <w:r>
        <w:rPr>
          <w:rFonts w:hint="eastAsia" w:ascii="仿宋" w:hAnsi="仿宋" w:eastAsia="仿宋" w:cs="仿宋"/>
          <w:sz w:val="32"/>
          <w:szCs w:val="32"/>
        </w:rPr>
        <w:t>.</w:t>
      </w:r>
      <w:r>
        <w:rPr>
          <w:rFonts w:hint="eastAsia" w:ascii="仿宋" w:hAnsi="仿宋" w:eastAsia="仿宋" w:cs="仿宋"/>
          <w:sz w:val="32"/>
          <w:szCs w:val="32"/>
          <w:lang w:val="en-US" w:eastAsia="zh-CN"/>
        </w:rPr>
        <w:t>85</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东经114°59'3</w:t>
      </w:r>
      <w:r>
        <w:rPr>
          <w:rFonts w:hint="eastAsia" w:ascii="仿宋" w:hAnsi="仿宋" w:eastAsia="仿宋" w:cs="仿宋"/>
          <w:sz w:val="32"/>
          <w:szCs w:val="32"/>
          <w:lang w:val="en-US" w:eastAsia="zh-CN"/>
        </w:rPr>
        <w:t>4</w:t>
      </w:r>
      <w:r>
        <w:rPr>
          <w:rFonts w:hint="eastAsia" w:ascii="仿宋" w:hAnsi="仿宋" w:eastAsia="仿宋" w:cs="仿宋"/>
          <w:sz w:val="32"/>
          <w:szCs w:val="32"/>
        </w:rPr>
        <w:t>.3</w:t>
      </w:r>
      <w:r>
        <w:rPr>
          <w:rFonts w:hint="eastAsia" w:ascii="仿宋" w:hAnsi="仿宋" w:eastAsia="仿宋" w:cs="仿宋"/>
          <w:sz w:val="32"/>
          <w:szCs w:val="32"/>
          <w:lang w:val="en-US" w:eastAsia="zh-CN"/>
        </w:rPr>
        <w:t>0</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kern w:val="2"/>
          <w:sz w:val="32"/>
          <w:szCs w:val="32"/>
        </w:rPr>
        <w:t>占地面</w:t>
      </w:r>
      <w:r>
        <w:rPr>
          <w:rFonts w:hint="eastAsia" w:ascii="仿宋" w:hAnsi="仿宋" w:eastAsia="仿宋" w:cs="仿宋"/>
          <w:color w:val="auto"/>
          <w:kern w:val="2"/>
          <w:sz w:val="32"/>
          <w:szCs w:val="32"/>
        </w:rPr>
        <w:t>积</w:t>
      </w:r>
      <w:r>
        <w:rPr>
          <w:rFonts w:hint="eastAsia" w:ascii="仿宋" w:hAnsi="仿宋" w:eastAsia="仿宋" w:cs="仿宋"/>
          <w:color w:val="auto"/>
          <w:sz w:val="32"/>
          <w:szCs w:val="32"/>
          <w:lang w:val="en-US" w:eastAsia="zh-CN"/>
        </w:rPr>
        <w:t>5600</w:t>
      </w:r>
      <w:r>
        <w:rPr>
          <w:rFonts w:hint="eastAsia" w:ascii="仿宋" w:hAnsi="仿宋" w:eastAsia="仿宋" w:cs="仿宋"/>
          <w:color w:val="auto"/>
          <w:sz w:val="32"/>
          <w:szCs w:val="32"/>
        </w:rPr>
        <w:t>㎡</w:t>
      </w:r>
      <w:r>
        <w:rPr>
          <w:rFonts w:hint="eastAsia" w:ascii="仿宋" w:hAnsi="仿宋" w:eastAsia="仿宋" w:cs="仿宋"/>
          <w:sz w:val="32"/>
          <w:szCs w:val="32"/>
          <w:lang w:eastAsia="zh-CN"/>
        </w:rPr>
        <w:t>，建设</w:t>
      </w:r>
      <w:r>
        <w:rPr>
          <w:rFonts w:hint="eastAsia" w:ascii="仿宋" w:hAnsi="仿宋" w:eastAsia="仿宋" w:cs="仿宋"/>
          <w:spacing w:val="1"/>
          <w:kern w:val="0"/>
          <w:sz w:val="32"/>
          <w:szCs w:val="32"/>
          <w:lang w:val="en-US" w:eastAsia="zh-CN"/>
        </w:rPr>
        <w:t>数控车间</w:t>
      </w:r>
      <w:r>
        <w:rPr>
          <w:rFonts w:hint="eastAsia" w:ascii="仿宋" w:hAnsi="仿宋" w:eastAsia="仿宋" w:cs="仿宋"/>
          <w:sz w:val="32"/>
          <w:szCs w:val="32"/>
        </w:rPr>
        <w:t>、办公室</w:t>
      </w:r>
      <w:r>
        <w:rPr>
          <w:rFonts w:hint="eastAsia" w:ascii="仿宋" w:hAnsi="仿宋" w:eastAsia="仿宋" w:cs="仿宋"/>
          <w:sz w:val="32"/>
          <w:szCs w:val="32"/>
          <w:lang w:eastAsia="zh-CN"/>
        </w:rPr>
        <w:t>、</w:t>
      </w:r>
      <w:r>
        <w:rPr>
          <w:rFonts w:hint="eastAsia" w:ascii="仿宋" w:hAnsi="仿宋" w:eastAsia="仿宋" w:cs="仿宋"/>
          <w:spacing w:val="1"/>
          <w:kern w:val="0"/>
          <w:sz w:val="32"/>
          <w:szCs w:val="32"/>
          <w:lang w:val="en-US" w:eastAsia="zh-CN"/>
        </w:rPr>
        <w:t>库房</w:t>
      </w:r>
      <w:r>
        <w:rPr>
          <w:rFonts w:hint="eastAsia" w:ascii="仿宋" w:hAnsi="仿宋" w:eastAsia="仿宋" w:cs="仿宋"/>
          <w:sz w:val="32"/>
          <w:szCs w:val="32"/>
        </w:rPr>
        <w:t>和</w:t>
      </w:r>
      <w:r>
        <w:rPr>
          <w:rFonts w:hint="eastAsia" w:ascii="仿宋" w:hAnsi="仿宋" w:eastAsia="仿宋" w:cs="仿宋"/>
          <w:spacing w:val="1"/>
          <w:kern w:val="0"/>
          <w:sz w:val="32"/>
          <w:szCs w:val="32"/>
          <w:lang w:val="en-US" w:eastAsia="zh-CN"/>
        </w:rPr>
        <w:t>展厅</w:t>
      </w:r>
      <w:r>
        <w:rPr>
          <w:rFonts w:hint="eastAsia" w:ascii="仿宋" w:hAnsi="仿宋" w:eastAsia="仿宋" w:cs="仿宋"/>
          <w:sz w:val="32"/>
          <w:szCs w:val="32"/>
          <w:lang w:eastAsia="zh-CN"/>
        </w:rPr>
        <w:t>等</w:t>
      </w:r>
      <w:r>
        <w:rPr>
          <w:rFonts w:hint="eastAsia" w:ascii="仿宋" w:hAnsi="仿宋" w:eastAsia="仿宋" w:cs="仿宋"/>
          <w:sz w:val="32"/>
          <w:szCs w:val="32"/>
        </w:rPr>
        <w:t>，建筑面积</w:t>
      </w:r>
      <w:r>
        <w:rPr>
          <w:rFonts w:hint="eastAsia" w:ascii="仿宋" w:hAnsi="仿宋" w:eastAsia="仿宋" w:cs="仿宋"/>
          <w:sz w:val="32"/>
          <w:szCs w:val="32"/>
          <w:lang w:val="en-US" w:eastAsia="zh-CN"/>
        </w:rPr>
        <w:t>5600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购置</w:t>
      </w:r>
      <w:r>
        <w:rPr>
          <w:rFonts w:hint="eastAsia" w:ascii="仿宋" w:hAnsi="仿宋" w:eastAsia="仿宋" w:cs="仿宋"/>
          <w:i w:val="0"/>
          <w:color w:val="000000"/>
          <w:kern w:val="0"/>
          <w:sz w:val="32"/>
          <w:szCs w:val="32"/>
          <w:u w:val="none"/>
          <w:lang w:val="en-US" w:eastAsia="zh-CN" w:bidi="ar"/>
        </w:rPr>
        <w:t>超声清洗机</w:t>
      </w:r>
      <w:r>
        <w:rPr>
          <w:rFonts w:hint="eastAsia" w:ascii="仿宋" w:hAnsi="仿宋" w:eastAsia="仿宋" w:cs="仿宋"/>
          <w:sz w:val="32"/>
          <w:szCs w:val="32"/>
          <w:lang w:eastAsia="zh-CN"/>
        </w:rPr>
        <w:t>、</w:t>
      </w:r>
      <w:r>
        <w:rPr>
          <w:rFonts w:hint="eastAsia" w:ascii="仿宋" w:hAnsi="仿宋" w:eastAsia="仿宋" w:cs="仿宋"/>
          <w:i w:val="0"/>
          <w:color w:val="000000"/>
          <w:kern w:val="0"/>
          <w:sz w:val="32"/>
          <w:szCs w:val="32"/>
          <w:u w:val="none"/>
          <w:lang w:val="en-US" w:eastAsia="zh-CN" w:bidi="ar"/>
        </w:rPr>
        <w:t>气压测试机</w:t>
      </w:r>
      <w:r>
        <w:rPr>
          <w:rFonts w:hint="eastAsia" w:ascii="仿宋" w:hAnsi="仿宋" w:eastAsia="仿宋" w:cs="仿宋"/>
          <w:sz w:val="32"/>
          <w:szCs w:val="32"/>
          <w:lang w:eastAsia="zh-CN"/>
        </w:rPr>
        <w:t>、</w:t>
      </w:r>
      <w:r>
        <w:rPr>
          <w:rFonts w:hint="eastAsia" w:ascii="仿宋" w:hAnsi="仿宋" w:eastAsia="仿宋" w:cs="仿宋"/>
          <w:i w:val="0"/>
          <w:color w:val="000000"/>
          <w:kern w:val="0"/>
          <w:sz w:val="32"/>
          <w:szCs w:val="32"/>
          <w:u w:val="none"/>
          <w:lang w:val="en-US" w:eastAsia="zh-CN" w:bidi="ar"/>
        </w:rPr>
        <w:t>液压测试机</w:t>
      </w:r>
      <w:r>
        <w:rPr>
          <w:rFonts w:hint="eastAsia" w:ascii="仿宋" w:hAnsi="仿宋" w:eastAsia="仿宋" w:cs="仿宋"/>
          <w:sz w:val="32"/>
          <w:szCs w:val="32"/>
          <w:lang w:eastAsia="zh-CN"/>
        </w:rPr>
        <w:t>、</w:t>
      </w:r>
      <w:r>
        <w:rPr>
          <w:rFonts w:hint="eastAsia" w:ascii="仿宋" w:hAnsi="仿宋" w:eastAsia="仿宋" w:cs="仿宋"/>
          <w:i w:val="0"/>
          <w:color w:val="000000"/>
          <w:sz w:val="32"/>
          <w:szCs w:val="32"/>
          <w:u w:val="none"/>
          <w:lang w:val="en-US" w:eastAsia="zh-CN"/>
        </w:rPr>
        <w:t>气体管路控制设备</w:t>
      </w:r>
      <w:r>
        <w:rPr>
          <w:rFonts w:hint="eastAsia" w:ascii="仿宋" w:hAnsi="仿宋" w:eastAsia="仿宋" w:cs="仿宋"/>
          <w:sz w:val="32"/>
          <w:szCs w:val="32"/>
          <w:lang w:eastAsia="zh-CN"/>
        </w:rPr>
        <w:t>、</w:t>
      </w:r>
      <w:r>
        <w:rPr>
          <w:rFonts w:hint="eastAsia" w:ascii="仿宋" w:hAnsi="仿宋" w:eastAsia="仿宋" w:cs="仿宋"/>
          <w:i w:val="0"/>
          <w:color w:val="000000"/>
          <w:sz w:val="32"/>
          <w:szCs w:val="32"/>
          <w:u w:val="none"/>
          <w:lang w:val="en-US" w:eastAsia="zh-CN"/>
        </w:rPr>
        <w:t>维氏硬度计</w:t>
      </w:r>
      <w:r>
        <w:rPr>
          <w:rFonts w:hint="eastAsia" w:ascii="仿宋" w:hAnsi="仿宋" w:eastAsia="仿宋" w:cs="仿宋"/>
          <w:sz w:val="32"/>
          <w:szCs w:val="32"/>
        </w:rPr>
        <w:t>等设备；总投资</w:t>
      </w:r>
      <w:r>
        <w:rPr>
          <w:rFonts w:hint="eastAsia" w:ascii="仿宋" w:hAnsi="仿宋" w:eastAsia="仿宋" w:cs="仿宋"/>
          <w:sz w:val="32"/>
          <w:szCs w:val="32"/>
          <w:lang w:val="en-US" w:eastAsia="zh-CN"/>
        </w:rPr>
        <w:t>15000</w:t>
      </w:r>
      <w:r>
        <w:rPr>
          <w:rFonts w:hint="eastAsia" w:ascii="仿宋" w:hAnsi="仿宋" w:eastAsia="仿宋" w:cs="仿宋"/>
          <w:sz w:val="32"/>
          <w:szCs w:val="32"/>
        </w:rPr>
        <w:t>万元，其中环保投</w:t>
      </w:r>
      <w:r>
        <w:rPr>
          <w:rFonts w:hint="eastAsia" w:ascii="仿宋" w:hAnsi="仿宋" w:eastAsia="仿宋" w:cs="仿宋"/>
          <w:color w:val="000000"/>
          <w:sz w:val="32"/>
          <w:szCs w:val="32"/>
        </w:rPr>
        <w:t>资</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万元，占总投资的</w:t>
      </w:r>
      <w:r>
        <w:rPr>
          <w:rFonts w:hint="eastAsia" w:ascii="仿宋" w:hAnsi="仿宋" w:eastAsia="仿宋" w:cs="仿宋"/>
          <w:color w:val="000000"/>
          <w:sz w:val="32"/>
          <w:szCs w:val="32"/>
          <w:lang w:val="en-US" w:eastAsia="zh-CN"/>
        </w:rPr>
        <w:t>0.067</w:t>
      </w:r>
      <w:r>
        <w:rPr>
          <w:rFonts w:hint="eastAsia" w:ascii="仿宋" w:hAnsi="仿宋" w:eastAsia="仿宋" w:cs="仿宋"/>
          <w:color w:val="000000"/>
          <w:sz w:val="32"/>
          <w:szCs w:val="32"/>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bidi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二、根据你公司委托山东程乐环保科技有限责任公司编制的《</w:t>
      </w:r>
      <w:r>
        <w:rPr>
          <w:rFonts w:hint="eastAsia" w:ascii="仿宋" w:hAnsi="仿宋" w:eastAsia="仿宋" w:cs="仿宋"/>
          <w:sz w:val="32"/>
          <w:szCs w:val="32"/>
          <w:lang w:val="en-US" w:eastAsia="zh-CN"/>
        </w:rPr>
        <w:t>河北中科实验设备科技有限公司化工评价装置实验设备与精密阀门阀件研发制造项目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营运期：⑴废气：该项目废气主要</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焊接烟尘,通过焊接烟尘净化器处理;焊接烟尘无组织排放浓度符合《大气污染物综合排放标准》（GB16297-1996）表2中无组织排放监控浓度限值。</w:t>
      </w:r>
    </w:p>
    <w:p>
      <w:pPr>
        <w:pStyle w:val="25"/>
        <w:spacing w:line="360" w:lineRule="auto"/>
        <w:ind w:firstLine="640" w:firstLineChars="200"/>
        <w:rPr>
          <w:rFonts w:hint="eastAsia" w:ascii="仿宋" w:hAnsi="仿宋" w:eastAsia="仿宋" w:cs="仿宋"/>
          <w:b w:val="0"/>
          <w:bCs w:val="0"/>
          <w:sz w:val="32"/>
          <w:szCs w:val="32"/>
          <w:vertAlign w:val="baseline"/>
          <w:lang w:val="en-US" w:eastAsia="zh-CN"/>
        </w:rPr>
      </w:pPr>
      <w:r>
        <w:rPr>
          <w:rFonts w:hint="eastAsia" w:ascii="仿宋" w:hAnsi="仿宋" w:eastAsia="仿宋" w:cs="仿宋"/>
          <w:sz w:val="32"/>
          <w:szCs w:val="32"/>
        </w:rPr>
        <w:t>（2）废水：本次项目</w:t>
      </w:r>
      <w:r>
        <w:rPr>
          <w:rFonts w:hint="eastAsia" w:ascii="仿宋" w:hAnsi="仿宋" w:eastAsia="仿宋" w:cs="仿宋"/>
          <w:sz w:val="32"/>
          <w:szCs w:val="32"/>
          <w:lang w:eastAsia="zh-CN"/>
        </w:rPr>
        <w:t>不设食堂，</w:t>
      </w:r>
      <w:r>
        <w:rPr>
          <w:rFonts w:hint="eastAsia" w:ascii="仿宋" w:hAnsi="仿宋" w:eastAsia="仿宋" w:cs="仿宋"/>
          <w:sz w:val="32"/>
          <w:szCs w:val="32"/>
        </w:rPr>
        <w:t>废</w:t>
      </w:r>
      <w:r>
        <w:rPr>
          <w:rFonts w:hint="eastAsia" w:ascii="仿宋" w:hAnsi="仿宋" w:eastAsia="仿宋" w:cs="仿宋"/>
          <w:sz w:val="32"/>
          <w:szCs w:val="32"/>
          <w:lang w:eastAsia="zh-CN"/>
        </w:rPr>
        <w:t>水</w:t>
      </w:r>
      <w:r>
        <w:rPr>
          <w:rFonts w:hint="eastAsia" w:ascii="仿宋" w:hAnsi="仿宋" w:eastAsia="仿宋" w:cs="仿宋"/>
          <w:sz w:val="32"/>
          <w:szCs w:val="32"/>
        </w:rPr>
        <w:t>主要为</w:t>
      </w:r>
      <w:r>
        <w:rPr>
          <w:rFonts w:hint="eastAsia" w:ascii="仿宋" w:hAnsi="仿宋" w:eastAsia="仿宋" w:cs="仿宋"/>
          <w:sz w:val="32"/>
          <w:szCs w:val="32"/>
          <w:lang w:val="en-US" w:eastAsia="zh-CN"/>
        </w:rPr>
        <w:t>职工盥洗废水</w:t>
      </w:r>
      <w:r>
        <w:rPr>
          <w:rFonts w:hint="eastAsia" w:ascii="仿宋" w:hAnsi="仿宋" w:eastAsia="仿宋" w:cs="仿宋"/>
          <w:color w:val="auto"/>
          <w:kern w:val="2"/>
          <w:sz w:val="32"/>
          <w:szCs w:val="32"/>
          <w:lang w:val="en-US" w:eastAsia="zh-CN" w:bidi="ar-SA"/>
        </w:rPr>
        <w:t>产生的生活废水部分用于厂区绿化，部分用于厂区抑尘，不外排废水。</w:t>
      </w:r>
    </w:p>
    <w:p>
      <w:pPr>
        <w:keepNext w:val="0"/>
        <w:keepLines w:val="0"/>
        <w:pageBreakBefore w:val="0"/>
        <w:widowControl w:val="0"/>
        <w:kinsoku/>
        <w:wordWrap/>
        <w:overflowPunct/>
        <w:topLinePunct w:val="0"/>
        <w:bidi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（3）噪声：本项目运营期噪声主要为</w:t>
      </w:r>
      <w:r>
        <w:rPr>
          <w:rFonts w:hint="eastAsia" w:ascii="仿宋" w:hAnsi="仿宋" w:eastAsia="仿宋" w:cs="仿宋"/>
          <w:bCs/>
          <w:snapToGrid w:val="0"/>
          <w:sz w:val="32"/>
          <w:szCs w:val="32"/>
        </w:rPr>
        <w:t>生产设备运行产生的噪声</w:t>
      </w:r>
      <w:r>
        <w:rPr>
          <w:rFonts w:hint="eastAsia" w:ascii="仿宋" w:hAnsi="仿宋" w:eastAsia="仿宋" w:cs="仿宋"/>
          <w:bCs/>
          <w:snapToGrid w:val="0"/>
          <w:sz w:val="32"/>
          <w:szCs w:val="32"/>
          <w:lang w:eastAsia="zh-CN"/>
        </w:rPr>
        <w:t>。</w:t>
      </w:r>
      <w:r>
        <w:rPr>
          <w:rFonts w:hint="eastAsia" w:ascii="仿宋" w:hAnsi="仿宋" w:eastAsia="仿宋" w:cs="仿宋"/>
          <w:bCs/>
          <w:snapToGrid w:val="0"/>
          <w:sz w:val="32"/>
          <w:szCs w:val="32"/>
        </w:rPr>
        <w:t xml:space="preserve"> 采用隔音屏蔽、厂房隔声、距离衰减等措施降噪，厂界噪声能够满足《工业企业厂界环境噪声标准》GB12348-2008中的3类要求</w:t>
      </w:r>
      <w:r>
        <w:rPr>
          <w:rFonts w:hint="eastAsia" w:ascii="仿宋" w:hAnsi="仿宋" w:eastAsia="仿宋" w:cs="仿宋"/>
          <w:bCs/>
          <w:snapToGrid w:val="0"/>
          <w:sz w:val="32"/>
          <w:szCs w:val="32"/>
          <w:lang w:val="en-US" w:eastAsia="zh-CN"/>
        </w:rPr>
        <w:t>。</w:t>
      </w:r>
    </w:p>
    <w:p>
      <w:pPr>
        <w:pStyle w:val="2"/>
        <w:keepNext w:val="0"/>
        <w:keepLines w:val="0"/>
        <w:pageBreakBefore w:val="0"/>
        <w:widowControl w:val="0"/>
        <w:kinsoku/>
        <w:wordWrap/>
        <w:overflowPunct/>
        <w:topLinePunct w:val="0"/>
        <w:bidi w:val="0"/>
        <w:spacing w:line="640" w:lineRule="exact"/>
        <w:textAlignment w:val="auto"/>
        <w:rPr>
          <w:rFonts w:hint="eastAsia" w:ascii="仿宋" w:hAnsi="仿宋" w:eastAsia="仿宋" w:cs="仿宋"/>
          <w:bCs/>
          <w:sz w:val="32"/>
          <w:szCs w:val="32"/>
          <w:lang w:eastAsia="zh-CN"/>
        </w:rPr>
      </w:pPr>
      <w:r>
        <w:rPr>
          <w:rFonts w:hint="eastAsia" w:ascii="仿宋" w:hAnsi="仿宋" w:eastAsia="仿宋" w:cs="仿宋"/>
          <w:sz w:val="32"/>
          <w:szCs w:val="32"/>
        </w:rPr>
        <w:t>（4）固体废物：本项目产生的固废主要为</w:t>
      </w:r>
      <w:r>
        <w:rPr>
          <w:rFonts w:hint="eastAsia" w:ascii="仿宋" w:hAnsi="仿宋" w:eastAsia="仿宋" w:cs="仿宋"/>
          <w:sz w:val="32"/>
          <w:szCs w:val="32"/>
          <w:lang w:val="en-US" w:eastAsia="zh-CN"/>
        </w:rPr>
        <w:t>一般固废；职工生活垃圾、</w:t>
      </w:r>
      <w:r>
        <w:rPr>
          <w:rFonts w:hint="eastAsia" w:ascii="仿宋" w:hAnsi="仿宋" w:eastAsia="仿宋" w:cs="仿宋"/>
          <w:sz w:val="32"/>
          <w:szCs w:val="32"/>
        </w:rPr>
        <w:t>生产过程中产生的</w:t>
      </w:r>
      <w:r>
        <w:rPr>
          <w:rFonts w:hint="eastAsia" w:ascii="仿宋" w:hAnsi="仿宋" w:eastAsia="仿宋" w:cs="仿宋"/>
          <w:sz w:val="32"/>
          <w:szCs w:val="32"/>
          <w:lang w:val="en-US" w:eastAsia="zh-CN"/>
        </w:rPr>
        <w:t>金属边角料</w:t>
      </w:r>
      <w:r>
        <w:rPr>
          <w:rFonts w:hint="eastAsia" w:ascii="仿宋" w:hAnsi="仿宋" w:eastAsia="仿宋" w:cs="仿宋"/>
          <w:sz w:val="32"/>
          <w:szCs w:val="32"/>
        </w:rPr>
        <w:t>、</w:t>
      </w:r>
      <w:r>
        <w:rPr>
          <w:rFonts w:hint="eastAsia" w:ascii="仿宋" w:hAnsi="仿宋" w:eastAsia="仿宋" w:cs="仿宋"/>
          <w:sz w:val="32"/>
          <w:szCs w:val="32"/>
          <w:lang w:val="en-US" w:eastAsia="zh-CN"/>
        </w:rPr>
        <w:t>废包装、清洗过程中产生的沉淀废渣、不合格产品；危险固废：废切削液、废切削液桶</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生产过程中产生的</w:t>
      </w:r>
      <w:r>
        <w:rPr>
          <w:rFonts w:hint="eastAsia" w:ascii="仿宋" w:hAnsi="仿宋" w:eastAsia="仿宋" w:cs="仿宋"/>
          <w:sz w:val="32"/>
          <w:szCs w:val="32"/>
          <w:lang w:val="en-US" w:eastAsia="zh-CN"/>
        </w:rPr>
        <w:t>一般固废金属边角料</w:t>
      </w:r>
      <w:r>
        <w:rPr>
          <w:rFonts w:hint="eastAsia" w:ascii="仿宋" w:hAnsi="仿宋" w:eastAsia="仿宋" w:cs="仿宋"/>
          <w:sz w:val="32"/>
          <w:szCs w:val="32"/>
        </w:rPr>
        <w:t>，</w:t>
      </w:r>
      <w:r>
        <w:rPr>
          <w:rFonts w:hint="eastAsia" w:ascii="仿宋" w:hAnsi="仿宋" w:eastAsia="仿宋" w:cs="仿宋"/>
          <w:sz w:val="32"/>
          <w:szCs w:val="32"/>
          <w:lang w:val="en-US" w:eastAsia="zh-CN"/>
        </w:rPr>
        <w:t>统一收集后外售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超声清洗机清洗过程中产生沉淀金属渣以及污泥，由环卫部门统一清运；生产过程中产生的废包装、不合格产品量统一收集后外售；危险固废为废切削液、废切削液桶，危险固废均暂存危险废物暂存间，定期由资质单位处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本项目职工人生活垃圾由环卫部门统一清运，无害化处理。</w:t>
      </w:r>
    </w:p>
    <w:p>
      <w:pPr>
        <w:keepNext w:val="0"/>
        <w:keepLines w:val="0"/>
        <w:pageBreakBefore w:val="0"/>
        <w:widowControl w:val="0"/>
        <w:kinsoku/>
        <w:wordWrap/>
        <w:overflowPunct/>
        <w:topLinePunct w:val="0"/>
        <w:autoSpaceDE w:val="0"/>
        <w:autoSpaceDN w:val="0"/>
        <w:bidi w:val="0"/>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snapToGrid w:val="0"/>
        <w:spacing w:line="640" w:lineRule="exact"/>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6"/>
        <w:keepNext w:val="0"/>
        <w:keepLines w:val="0"/>
        <w:pageBreakBefore w:val="0"/>
        <w:widowControl w:val="0"/>
        <w:kinsoku/>
        <w:wordWrap/>
        <w:overflowPunct/>
        <w:topLinePunct w:val="0"/>
        <w:bidi w:val="0"/>
        <w:spacing w:line="640" w:lineRule="exact"/>
        <w:ind w:lef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val="0"/>
        <w:spacing w:line="64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val="0"/>
        <w:spacing w:line="64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val="0"/>
        <w:spacing w:line="64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val="0"/>
        <w:spacing w:line="64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bidi w:val="0"/>
        <w:snapToGrid w:val="0"/>
        <w:spacing w:line="64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十二</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二十三</w:t>
      </w:r>
      <w:r>
        <w:rPr>
          <w:rFonts w:hint="eastAsia" w:ascii="仿宋" w:hAnsi="仿宋" w:eastAsia="仿宋" w:cs="仿宋"/>
          <w:color w:val="000000" w:themeColor="text1"/>
          <w:sz w:val="32"/>
          <w:szCs w:val="32"/>
        </w:rPr>
        <w:t>日</w:t>
      </w:r>
    </w:p>
    <w:p>
      <w:pPr>
        <w:keepNext w:val="0"/>
        <w:keepLines w:val="0"/>
        <w:pageBreakBefore w:val="0"/>
        <w:widowControl w:val="0"/>
        <w:kinsoku/>
        <w:wordWrap/>
        <w:overflowPunct/>
        <w:topLinePunct w:val="0"/>
        <w:bidi w:val="0"/>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bidi w:val="0"/>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bidi w:val="0"/>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bidi w:val="0"/>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bidi w:val="0"/>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bidi w:val="0"/>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bidi w:val="0"/>
        <w:spacing w:line="6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bidi w:val="0"/>
        <w:spacing w:line="6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bidi w:val="0"/>
        <w:spacing w:line="64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093BDE"/>
    <w:rsid w:val="001A743A"/>
    <w:rsid w:val="001C4062"/>
    <w:rsid w:val="002030EC"/>
    <w:rsid w:val="00211894"/>
    <w:rsid w:val="002620A0"/>
    <w:rsid w:val="00315DDD"/>
    <w:rsid w:val="003B5223"/>
    <w:rsid w:val="00472528"/>
    <w:rsid w:val="009B6EF7"/>
    <w:rsid w:val="009E3169"/>
    <w:rsid w:val="009F00E7"/>
    <w:rsid w:val="00A42BF5"/>
    <w:rsid w:val="00A55082"/>
    <w:rsid w:val="00C813DA"/>
    <w:rsid w:val="00CC37A4"/>
    <w:rsid w:val="00CC516A"/>
    <w:rsid w:val="00D203B1"/>
    <w:rsid w:val="00DB7F25"/>
    <w:rsid w:val="00E41DD5"/>
    <w:rsid w:val="00E81A70"/>
    <w:rsid w:val="00F26C4E"/>
    <w:rsid w:val="00F94154"/>
    <w:rsid w:val="03A73B31"/>
    <w:rsid w:val="07490707"/>
    <w:rsid w:val="082E31FF"/>
    <w:rsid w:val="096C3AA2"/>
    <w:rsid w:val="0A9D106A"/>
    <w:rsid w:val="0C68597E"/>
    <w:rsid w:val="0F1C2311"/>
    <w:rsid w:val="14491426"/>
    <w:rsid w:val="157E222F"/>
    <w:rsid w:val="17510115"/>
    <w:rsid w:val="25645A32"/>
    <w:rsid w:val="271D64A4"/>
    <w:rsid w:val="2E2D6C30"/>
    <w:rsid w:val="2E434E08"/>
    <w:rsid w:val="2EF56638"/>
    <w:rsid w:val="35B62865"/>
    <w:rsid w:val="3E7120FF"/>
    <w:rsid w:val="41127513"/>
    <w:rsid w:val="4311484D"/>
    <w:rsid w:val="43942C39"/>
    <w:rsid w:val="47746782"/>
    <w:rsid w:val="47BF2A01"/>
    <w:rsid w:val="4AB132DC"/>
    <w:rsid w:val="4C473D74"/>
    <w:rsid w:val="4EF77B4F"/>
    <w:rsid w:val="53F72BDF"/>
    <w:rsid w:val="55A76F3C"/>
    <w:rsid w:val="57636D42"/>
    <w:rsid w:val="58102F39"/>
    <w:rsid w:val="5D041EC4"/>
    <w:rsid w:val="63655EDA"/>
    <w:rsid w:val="63722DC1"/>
    <w:rsid w:val="65222343"/>
    <w:rsid w:val="66A7176F"/>
    <w:rsid w:val="66E4190D"/>
    <w:rsid w:val="718928E9"/>
    <w:rsid w:val="73234838"/>
    <w:rsid w:val="73AA07C9"/>
    <w:rsid w:val="7564742A"/>
    <w:rsid w:val="756E6CAD"/>
    <w:rsid w:val="77387F1B"/>
    <w:rsid w:val="77B4161A"/>
    <w:rsid w:val="77FC325F"/>
    <w:rsid w:val="7A1F0CE2"/>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next w:val="1"/>
    <w:qFormat/>
    <w:uiPriority w:val="1"/>
    <w:pPr>
      <w:spacing w:line="440" w:lineRule="exact"/>
      <w:ind w:firstLine="420"/>
    </w:pPr>
    <w:rPr>
      <w:szCs w:val="20"/>
    </w:r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5"/>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link w:val="24"/>
    <w:qFormat/>
    <w:uiPriority w:val="0"/>
    <w:pPr>
      <w:adjustRightInd w:val="0"/>
      <w:snapToGrid w:val="0"/>
      <w:spacing w:line="480" w:lineRule="exact"/>
      <w:ind w:firstLine="200"/>
    </w:pPr>
    <w:rPr>
      <w:szCs w:val="20"/>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character" w:customStyle="1" w:styleId="24">
    <w:name w:val="正文1 Char"/>
    <w:link w:val="20"/>
    <w:qFormat/>
    <w:uiPriority w:val="0"/>
    <w:rPr>
      <w:rFonts w:asciiTheme="minorHAnsi" w:hAnsiTheme="minorHAnsi" w:eastAsiaTheme="minorEastAsia" w:cstheme="minorBidi"/>
      <w:kern w:val="2"/>
      <w:sz w:val="21"/>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1152</Characters>
  <Lines>9</Lines>
  <Paragraphs>2</Paragraphs>
  <TotalTime>11</TotalTime>
  <ScaleCrop>false</ScaleCrop>
  <LinksUpToDate>false</LinksUpToDate>
  <CharactersWithSpaces>1351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刘小懒。</cp:lastModifiedBy>
  <cp:lastPrinted>2020-12-23T06:46:42Z</cp:lastPrinted>
  <dcterms:modified xsi:type="dcterms:W3CDTF">2020-12-23T06:48:02Z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