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pacing w:line="640" w:lineRule="exact"/>
        <w:jc w:val="center"/>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keepNext w:val="0"/>
        <w:keepLines w:val="0"/>
        <w:pageBreakBefore w:val="0"/>
        <w:widowControl w:val="0"/>
        <w:kinsoku/>
        <w:wordWrap/>
        <w:overflowPunct/>
        <w:topLinePunct w:val="0"/>
        <w:bidi w:val="0"/>
        <w:adjustRightInd/>
        <w:spacing w:line="640" w:lineRule="exact"/>
        <w:jc w:val="center"/>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2020</w:t>
      </w:r>
      <w:r>
        <w:rPr>
          <w:rFonts w:ascii="Times New Roman" w:hAnsi="Times New Roman" w:eastAsia="仿宋" w:cs="Times New Roman"/>
          <w:b/>
          <w:sz w:val="32"/>
          <w:szCs w:val="32"/>
        </w:rPr>
        <w:t>〕</w:t>
      </w:r>
      <w:r>
        <w:rPr>
          <w:rFonts w:hint="eastAsia" w:ascii="Times New Roman" w:hAnsi="Times New Roman" w:eastAsia="仿宋" w:cs="Times New Roman"/>
          <w:b/>
          <w:color w:val="auto"/>
          <w:sz w:val="32"/>
          <w:szCs w:val="32"/>
          <w:lang w:val="en-US" w:eastAsia="zh-CN"/>
        </w:rPr>
        <w:t>49</w:t>
      </w:r>
      <w:r>
        <w:rPr>
          <w:rFonts w:ascii="Times New Roman" w:hAnsi="Times New Roman" w:eastAsia="仿宋" w:cs="Times New Roman"/>
          <w:b/>
          <w:sz w:val="32"/>
          <w:szCs w:val="32"/>
        </w:rPr>
        <w:t>号</w:t>
      </w:r>
    </w:p>
    <w:p>
      <w:pPr>
        <w:pStyle w:val="6"/>
        <w:keepNext w:val="0"/>
        <w:keepLines w:val="0"/>
        <w:pageBreakBefore w:val="0"/>
        <w:widowControl w:val="0"/>
        <w:kinsoku/>
        <w:wordWrap/>
        <w:overflowPunct/>
        <w:topLinePunct w:val="0"/>
        <w:bidi w:val="0"/>
        <w:adjustRightInd/>
        <w:spacing w:line="640" w:lineRule="exact"/>
        <w:ind w:left="0" w:firstLine="0"/>
        <w:textAlignment w:val="auto"/>
      </w:pPr>
    </w:p>
    <w:p>
      <w:pPr>
        <w:pStyle w:val="6"/>
        <w:keepNext w:val="0"/>
        <w:keepLines w:val="0"/>
        <w:pageBreakBefore w:val="0"/>
        <w:widowControl w:val="0"/>
        <w:kinsoku/>
        <w:wordWrap/>
        <w:overflowPunct/>
        <w:topLinePunct w:val="0"/>
        <w:bidi w:val="0"/>
        <w:adjustRightInd/>
        <w:spacing w:line="640" w:lineRule="exact"/>
        <w:textAlignment w:val="auto"/>
        <w:rPr>
          <w:rFonts w:ascii="Times New Roman" w:hAnsi="Times New Roman" w:cs="Times New Roman"/>
        </w:rPr>
      </w:pPr>
    </w:p>
    <w:p>
      <w:pPr>
        <w:keepNext w:val="0"/>
        <w:keepLines w:val="0"/>
        <w:pageBreakBefore w:val="0"/>
        <w:widowControl w:val="0"/>
        <w:kinsoku/>
        <w:wordWrap/>
        <w:overflowPunct/>
        <w:topLinePunct w:val="0"/>
        <w:bidi w:val="0"/>
        <w:adjustRightInd/>
        <w:spacing w:line="640" w:lineRule="exact"/>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pPr>
        <w:keepNext w:val="0"/>
        <w:keepLines w:val="0"/>
        <w:pageBreakBefore w:val="0"/>
        <w:widowControl w:val="0"/>
        <w:kinsoku/>
        <w:wordWrap/>
        <w:overflowPunct/>
        <w:topLinePunct w:val="0"/>
        <w:bidi w:val="0"/>
        <w:adjustRightInd/>
        <w:spacing w:line="640" w:lineRule="exact"/>
        <w:jc w:val="center"/>
        <w:textAlignment w:val="auto"/>
        <w:rPr>
          <w:rFonts w:ascii="仿宋" w:hAnsi="仿宋" w:eastAsia="仿宋" w:cs="Times New Roman"/>
          <w:b/>
          <w:sz w:val="32"/>
          <w:szCs w:val="32"/>
        </w:rPr>
      </w:pPr>
      <w:r>
        <w:rPr>
          <w:rFonts w:ascii="Times New Roman" w:hAnsi="Times New Roman" w:eastAsia="宋体" w:cs="Times New Roman"/>
          <w:b/>
          <w:w w:val="92"/>
          <w:sz w:val="44"/>
          <w:szCs w:val="44"/>
        </w:rPr>
        <w:t>关于</w:t>
      </w:r>
      <w:r>
        <w:rPr>
          <w:rFonts w:hint="eastAsia" w:ascii="Times New Roman" w:hAnsi="Times New Roman" w:eastAsia="宋体" w:cs="Times New Roman"/>
          <w:b/>
          <w:w w:val="92"/>
          <w:sz w:val="44"/>
          <w:szCs w:val="44"/>
        </w:rPr>
        <w:t>魏县慧豪建筑材料有限公司年处理78万吨建筑垃圾项目</w:t>
      </w:r>
      <w:r>
        <w:rPr>
          <w:rFonts w:ascii="Times New Roman" w:hAnsi="Times New Roman" w:eastAsia="宋体" w:cs="Times New Roman"/>
          <w:b/>
          <w:w w:val="92"/>
          <w:sz w:val="44"/>
          <w:szCs w:val="44"/>
        </w:rPr>
        <w:t>环境影响报告表的批复</w:t>
      </w:r>
    </w:p>
    <w:p>
      <w:pPr>
        <w:keepNext w:val="0"/>
        <w:keepLines w:val="0"/>
        <w:pageBreakBefore w:val="0"/>
        <w:widowControl w:val="0"/>
        <w:kinsoku/>
        <w:wordWrap/>
        <w:overflowPunct/>
        <w:topLinePunct w:val="0"/>
        <w:bidi w:val="0"/>
        <w:adjustRightInd/>
        <w:snapToGrid w:val="0"/>
        <w:spacing w:line="640" w:lineRule="exact"/>
        <w:textAlignment w:val="auto"/>
        <w:rPr>
          <w:rFonts w:hint="eastAsia" w:ascii="仿宋" w:hAnsi="仿宋" w:eastAsia="仿宋"/>
          <w:sz w:val="32"/>
          <w:szCs w:val="32"/>
        </w:rPr>
      </w:pPr>
    </w:p>
    <w:p>
      <w:pPr>
        <w:keepNext w:val="0"/>
        <w:keepLines w:val="0"/>
        <w:pageBreakBefore w:val="0"/>
        <w:widowControl w:val="0"/>
        <w:kinsoku/>
        <w:wordWrap/>
        <w:overflowPunct/>
        <w:topLinePunct w:val="0"/>
        <w:bidi w:val="0"/>
        <w:adjustRightInd/>
        <w:snapToGrid w:val="0"/>
        <w:spacing w:line="640" w:lineRule="exact"/>
        <w:textAlignment w:val="auto"/>
        <w:rPr>
          <w:rFonts w:hint="eastAsia" w:ascii="仿宋" w:hAnsi="仿宋" w:eastAsia="仿宋"/>
          <w:sz w:val="32"/>
          <w:szCs w:val="32"/>
        </w:rPr>
      </w:pPr>
      <w:r>
        <w:rPr>
          <w:rFonts w:hint="eastAsia" w:ascii="仿宋" w:hAnsi="仿宋" w:eastAsia="仿宋"/>
          <w:sz w:val="32"/>
          <w:szCs w:val="32"/>
        </w:rPr>
        <w:t>魏县慧豪建筑材料有限公司：</w:t>
      </w:r>
    </w:p>
    <w:p>
      <w:pPr>
        <w:keepNext w:val="0"/>
        <w:keepLines w:val="0"/>
        <w:pageBreakBefore w:val="0"/>
        <w:widowControl w:val="0"/>
        <w:numPr>
          <w:ilvl w:val="0"/>
          <w:numId w:val="0"/>
        </w:numPr>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sz w:val="32"/>
          <w:szCs w:val="32"/>
        </w:rPr>
        <w:t>你公司所报《魏县慧豪建筑材料有限公司年处理78万吨建筑垃圾项目</w:t>
      </w:r>
      <w:r>
        <w:rPr>
          <w:rFonts w:hint="eastAsia" w:ascii="仿宋" w:hAnsi="仿宋" w:eastAsia="仿宋"/>
          <w:sz w:val="32"/>
          <w:szCs w:val="32"/>
          <w:lang w:eastAsia="zh-CN"/>
        </w:rPr>
        <w:t>环境影响报</w:t>
      </w:r>
      <w:r>
        <w:rPr>
          <w:rFonts w:hint="eastAsia" w:ascii="仿宋" w:hAnsi="仿宋" w:eastAsia="仿宋" w:cs="仿宋"/>
          <w:sz w:val="32"/>
          <w:szCs w:val="32"/>
          <w:lang w:eastAsia="zh-CN"/>
        </w:rPr>
        <w:t>告表</w:t>
      </w:r>
      <w:r>
        <w:rPr>
          <w:rFonts w:hint="eastAsia" w:ascii="仿宋" w:hAnsi="仿宋" w:eastAsia="仿宋" w:cs="仿宋"/>
          <w:sz w:val="32"/>
          <w:szCs w:val="32"/>
        </w:rPr>
        <w:t>》收悉。经研究，批复如下：</w:t>
      </w:r>
    </w:p>
    <w:p>
      <w:pPr>
        <w:keepNext w:val="0"/>
        <w:keepLines w:val="0"/>
        <w:pageBreakBefore w:val="0"/>
        <w:widowControl w:val="0"/>
        <w:numPr>
          <w:ilvl w:val="0"/>
          <w:numId w:val="2"/>
        </w:numPr>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该</w:t>
      </w:r>
      <w:r>
        <w:rPr>
          <w:rFonts w:hint="eastAsia" w:ascii="仿宋" w:hAnsi="仿宋" w:eastAsia="仿宋" w:cs="仿宋"/>
          <w:sz w:val="32"/>
          <w:szCs w:val="32"/>
        </w:rPr>
        <w:t>项目位于河北省邯郸市魏县回隆镇南栗庄村村南，厂址中心地理坐标为北纬36°</w:t>
      </w:r>
      <w:r>
        <w:rPr>
          <w:rFonts w:hint="eastAsia" w:ascii="仿宋" w:hAnsi="仿宋" w:eastAsia="仿宋" w:cs="仿宋"/>
          <w:sz w:val="32"/>
          <w:szCs w:val="32"/>
          <w:lang w:val="en-US" w:eastAsia="zh-CN"/>
        </w:rPr>
        <w:t>12</w:t>
      </w:r>
      <w:r>
        <w:rPr>
          <w:rFonts w:hint="eastAsia" w:ascii="仿宋" w:hAnsi="仿宋" w:eastAsia="仿宋" w:cs="仿宋"/>
          <w:sz w:val="32"/>
          <w:szCs w:val="32"/>
        </w:rPr>
        <w:t>'</w:t>
      </w:r>
      <w:r>
        <w:rPr>
          <w:rFonts w:hint="eastAsia" w:ascii="仿宋" w:hAnsi="仿宋" w:eastAsia="仿宋" w:cs="仿宋"/>
          <w:sz w:val="32"/>
          <w:szCs w:val="32"/>
          <w:lang w:val="en-US" w:eastAsia="zh-CN"/>
        </w:rPr>
        <w:t>94</w:t>
      </w:r>
      <w:r>
        <w:rPr>
          <w:rFonts w:hint="eastAsia" w:ascii="仿宋" w:hAnsi="仿宋" w:eastAsia="仿宋" w:cs="仿宋"/>
          <w:sz w:val="32"/>
          <w:szCs w:val="32"/>
        </w:rPr>
        <w:t>.</w:t>
      </w:r>
      <w:r>
        <w:rPr>
          <w:rFonts w:hint="eastAsia" w:ascii="仿宋" w:hAnsi="仿宋" w:eastAsia="仿宋" w:cs="仿宋"/>
          <w:sz w:val="32"/>
          <w:szCs w:val="32"/>
          <w:lang w:val="en-US" w:eastAsia="zh-CN"/>
        </w:rPr>
        <w:t>25</w:t>
      </w:r>
      <w:r>
        <w:rPr>
          <w:rFonts w:hint="eastAsia" w:ascii="仿宋" w:hAnsi="仿宋" w:eastAsia="仿宋" w:cs="仿宋"/>
          <w:sz w:val="32"/>
          <w:szCs w:val="32"/>
        </w:rPr>
        <w:t>"，东经114°</w:t>
      </w:r>
      <w:r>
        <w:rPr>
          <w:rFonts w:hint="eastAsia" w:ascii="仿宋" w:hAnsi="仿宋" w:eastAsia="仿宋" w:cs="仿宋"/>
          <w:sz w:val="32"/>
          <w:szCs w:val="32"/>
          <w:lang w:val="en-US" w:eastAsia="zh-CN"/>
        </w:rPr>
        <w:t>76</w:t>
      </w:r>
      <w:r>
        <w:rPr>
          <w:rFonts w:hint="eastAsia" w:ascii="仿宋" w:hAnsi="仿宋" w:eastAsia="仿宋" w:cs="仿宋"/>
          <w:sz w:val="32"/>
          <w:szCs w:val="32"/>
        </w:rPr>
        <w:t>'</w:t>
      </w:r>
      <w:r>
        <w:rPr>
          <w:rFonts w:hint="eastAsia" w:ascii="仿宋" w:hAnsi="仿宋" w:eastAsia="仿宋" w:cs="仿宋"/>
          <w:sz w:val="32"/>
          <w:szCs w:val="32"/>
          <w:lang w:val="en-US" w:eastAsia="zh-CN"/>
        </w:rPr>
        <w:t>90</w:t>
      </w:r>
      <w:r>
        <w:rPr>
          <w:rFonts w:hint="eastAsia" w:ascii="仿宋" w:hAnsi="仿宋" w:eastAsia="仿宋" w:cs="仿宋"/>
          <w:sz w:val="32"/>
          <w:szCs w:val="32"/>
        </w:rPr>
        <w:t>.</w:t>
      </w:r>
      <w:r>
        <w:rPr>
          <w:rFonts w:hint="eastAsia" w:ascii="仿宋" w:hAnsi="仿宋" w:eastAsia="仿宋" w:cs="仿宋"/>
          <w:sz w:val="32"/>
          <w:szCs w:val="32"/>
          <w:lang w:val="en-US" w:eastAsia="zh-CN"/>
        </w:rPr>
        <w:t>53</w:t>
      </w:r>
      <w:r>
        <w:rPr>
          <w:rFonts w:hint="eastAsia" w:ascii="仿宋" w:hAnsi="仿宋" w:eastAsia="仿宋" w:cs="仿宋"/>
          <w:sz w:val="32"/>
          <w:szCs w:val="32"/>
        </w:rPr>
        <w:t>"。建设内容及建设规模：</w:t>
      </w:r>
      <w:r>
        <w:rPr>
          <w:rFonts w:hint="eastAsia" w:ascii="仿宋" w:hAnsi="仿宋" w:eastAsia="仿宋" w:cs="仿宋"/>
          <w:sz w:val="32"/>
          <w:szCs w:val="32"/>
          <w:lang w:eastAsia="zh-CN"/>
        </w:rPr>
        <w:t>该项目</w:t>
      </w:r>
      <w:r>
        <w:rPr>
          <w:rFonts w:hint="eastAsia" w:ascii="仿宋" w:hAnsi="仿宋" w:eastAsia="仿宋" w:cs="仿宋"/>
          <w:sz w:val="32"/>
          <w:szCs w:val="32"/>
        </w:rPr>
        <w:t>占地面积4113.34㎡</w:t>
      </w:r>
      <w:r>
        <w:rPr>
          <w:rFonts w:hint="eastAsia" w:ascii="仿宋" w:hAnsi="仿宋" w:eastAsia="仿宋" w:cs="仿宋"/>
          <w:sz w:val="32"/>
          <w:szCs w:val="32"/>
          <w:lang w:eastAsia="zh-CN"/>
        </w:rPr>
        <w:t>，建设</w:t>
      </w:r>
      <w:r>
        <w:rPr>
          <w:rFonts w:hint="eastAsia" w:ascii="仿宋" w:hAnsi="仿宋" w:eastAsia="仿宋" w:cs="仿宋"/>
          <w:sz w:val="32"/>
          <w:szCs w:val="32"/>
        </w:rPr>
        <w:t>生产车间、办公室</w:t>
      </w:r>
      <w:r>
        <w:rPr>
          <w:rFonts w:hint="eastAsia" w:ascii="仿宋" w:hAnsi="仿宋" w:eastAsia="仿宋" w:cs="仿宋"/>
          <w:sz w:val="32"/>
          <w:szCs w:val="32"/>
          <w:lang w:eastAsia="zh-CN"/>
        </w:rPr>
        <w:t>、</w:t>
      </w:r>
      <w:r>
        <w:rPr>
          <w:rFonts w:hint="eastAsia" w:ascii="仿宋" w:hAnsi="仿宋" w:eastAsia="仿宋" w:cs="仿宋"/>
          <w:sz w:val="32"/>
          <w:szCs w:val="32"/>
        </w:rPr>
        <w:t>原料库和成品库</w:t>
      </w:r>
      <w:r>
        <w:rPr>
          <w:rFonts w:hint="eastAsia" w:ascii="仿宋" w:hAnsi="仿宋" w:eastAsia="仿宋" w:cs="仿宋"/>
          <w:sz w:val="32"/>
          <w:szCs w:val="32"/>
          <w:lang w:eastAsia="zh-CN"/>
        </w:rPr>
        <w:t>等；</w:t>
      </w:r>
      <w:r>
        <w:rPr>
          <w:rFonts w:hint="eastAsia" w:ascii="仿宋" w:hAnsi="仿宋" w:eastAsia="仿宋" w:cs="仿宋"/>
          <w:sz w:val="32"/>
          <w:szCs w:val="32"/>
        </w:rPr>
        <w:t>购置振动给料机</w:t>
      </w:r>
      <w:r>
        <w:rPr>
          <w:rFonts w:hint="eastAsia" w:ascii="仿宋" w:hAnsi="仿宋" w:eastAsia="仿宋" w:cs="仿宋"/>
          <w:sz w:val="32"/>
          <w:szCs w:val="32"/>
          <w:lang w:eastAsia="zh-CN"/>
        </w:rPr>
        <w:t>、</w:t>
      </w:r>
      <w:r>
        <w:rPr>
          <w:rFonts w:hint="eastAsia" w:ascii="仿宋" w:hAnsi="仿宋" w:eastAsia="仿宋" w:cs="仿宋"/>
          <w:sz w:val="32"/>
          <w:szCs w:val="32"/>
        </w:rPr>
        <w:t>颚式破碎机</w:t>
      </w:r>
      <w:r>
        <w:rPr>
          <w:rFonts w:hint="eastAsia" w:ascii="仿宋" w:hAnsi="仿宋" w:eastAsia="仿宋" w:cs="仿宋"/>
          <w:sz w:val="32"/>
          <w:szCs w:val="32"/>
          <w:lang w:eastAsia="zh-CN"/>
        </w:rPr>
        <w:t>、</w:t>
      </w:r>
      <w:r>
        <w:rPr>
          <w:rFonts w:hint="eastAsia" w:ascii="仿宋" w:hAnsi="仿宋" w:eastAsia="仿宋" w:cs="仿宋"/>
          <w:sz w:val="32"/>
          <w:szCs w:val="32"/>
        </w:rPr>
        <w:t>圆锥破碎机</w:t>
      </w:r>
      <w:r>
        <w:rPr>
          <w:rFonts w:hint="eastAsia" w:ascii="仿宋" w:hAnsi="仿宋" w:eastAsia="仿宋" w:cs="仿宋"/>
          <w:sz w:val="32"/>
          <w:szCs w:val="32"/>
          <w:lang w:eastAsia="zh-CN"/>
        </w:rPr>
        <w:t>、</w:t>
      </w:r>
      <w:r>
        <w:rPr>
          <w:rFonts w:hint="eastAsia" w:ascii="仿宋" w:hAnsi="仿宋" w:eastAsia="仿宋" w:cs="仿宋"/>
          <w:sz w:val="32"/>
          <w:szCs w:val="32"/>
        </w:rPr>
        <w:t>振动筛</w:t>
      </w:r>
      <w:r>
        <w:rPr>
          <w:rFonts w:hint="eastAsia" w:ascii="仿宋" w:hAnsi="仿宋" w:eastAsia="仿宋" w:cs="仿宋"/>
          <w:sz w:val="32"/>
          <w:szCs w:val="32"/>
          <w:lang w:eastAsia="zh-CN"/>
        </w:rPr>
        <w:t>、</w:t>
      </w:r>
      <w:r>
        <w:rPr>
          <w:rFonts w:hint="eastAsia" w:ascii="仿宋" w:hAnsi="仿宋" w:eastAsia="仿宋" w:cs="仿宋"/>
          <w:sz w:val="32"/>
          <w:szCs w:val="32"/>
        </w:rPr>
        <w:t>皮带输送机等设备；总投资865.16万元，其中环保投资122万元，占总投资的14.10%。</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二、根据你公司委</w:t>
      </w:r>
      <w:r>
        <w:rPr>
          <w:rFonts w:hint="eastAsia" w:ascii="仿宋" w:hAnsi="仿宋" w:eastAsia="仿宋" w:cs="仿宋"/>
          <w:color w:val="auto"/>
          <w:sz w:val="32"/>
          <w:szCs w:val="32"/>
        </w:rPr>
        <w:t>托</w:t>
      </w:r>
      <w:r>
        <w:rPr>
          <w:rFonts w:hint="eastAsia" w:ascii="仿宋" w:hAnsi="仿宋" w:eastAsia="仿宋" w:cs="仿宋"/>
          <w:color w:val="auto"/>
          <w:sz w:val="32"/>
          <w:szCs w:val="32"/>
          <w:lang w:eastAsia="zh-CN"/>
        </w:rPr>
        <w:t>河北可天环保科技有限公司（</w:t>
      </w:r>
      <w:r>
        <w:rPr>
          <w:rFonts w:hint="eastAsia" w:ascii="仿宋" w:hAnsi="仿宋" w:eastAsia="仿宋" w:cs="仿宋"/>
          <w:sz w:val="32"/>
          <w:szCs w:val="32"/>
        </w:rPr>
        <w:t>编制的《</w:t>
      </w:r>
      <w:r>
        <w:rPr>
          <w:rFonts w:hint="eastAsia" w:ascii="仿宋" w:hAnsi="仿宋" w:eastAsia="仿宋"/>
          <w:sz w:val="32"/>
          <w:szCs w:val="32"/>
        </w:rPr>
        <w:t>魏县慧豪建筑材料有限公司年处理78万吨建筑垃圾项目</w:t>
      </w:r>
      <w:r>
        <w:rPr>
          <w:rFonts w:hint="eastAsia" w:ascii="仿宋" w:hAnsi="仿宋" w:eastAsia="仿宋"/>
          <w:sz w:val="32"/>
          <w:szCs w:val="32"/>
          <w:lang w:eastAsia="zh-CN"/>
        </w:rPr>
        <w:t>环境影响报</w:t>
      </w:r>
      <w:r>
        <w:rPr>
          <w:rFonts w:hint="eastAsia" w:ascii="仿宋" w:hAnsi="仿宋" w:eastAsia="仿宋" w:cs="仿宋"/>
          <w:sz w:val="32"/>
          <w:szCs w:val="32"/>
          <w:lang w:eastAsia="zh-CN"/>
        </w:rPr>
        <w:t>告表</w:t>
      </w:r>
      <w:r>
        <w:rPr>
          <w:rFonts w:hint="eastAsia" w:ascii="仿宋" w:hAnsi="仿宋" w:eastAsia="仿宋" w:cs="仿宋"/>
          <w:sz w:val="32"/>
          <w:szCs w:val="32"/>
        </w:rPr>
        <w:t>》，在项目符合产业政策与产业发展规划、选址符合区域土地利用规划等前提下，原则同意《报告表》结论。你公司须严格按照环评报告表所列建设项目的性质、规模、地点、环保对策措施及要求实施项目建设。</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三、项目须严格按照《报告表》规定进行建设，采用先进的技术和设备，提高自动化控制水平。各项环保设施设计应当由具有环保设施工程设计资质的单位承担，并重点做好以下工作：</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营运期：⑴废气：该项目废气主要为生产线原料上料、破碎</w:t>
      </w:r>
      <w:r>
        <w:rPr>
          <w:rFonts w:hint="eastAsia" w:ascii="仿宋" w:hAnsi="仿宋" w:eastAsia="仿宋" w:cs="仿宋"/>
          <w:sz w:val="32"/>
          <w:szCs w:val="32"/>
          <w:lang w:eastAsia="zh-CN"/>
        </w:rPr>
        <w:t>、</w:t>
      </w:r>
      <w:r>
        <w:rPr>
          <w:rFonts w:hint="eastAsia" w:ascii="仿宋" w:hAnsi="仿宋" w:eastAsia="仿宋" w:cs="仿宋"/>
          <w:sz w:val="32"/>
          <w:szCs w:val="32"/>
        </w:rPr>
        <w:t>筛分含尘废气</w:t>
      </w:r>
      <w:r>
        <w:rPr>
          <w:rFonts w:hint="eastAsia" w:ascii="仿宋" w:hAnsi="仿宋" w:eastAsia="仿宋" w:cs="仿宋"/>
          <w:sz w:val="32"/>
          <w:szCs w:val="32"/>
          <w:lang w:eastAsia="zh-CN"/>
        </w:rPr>
        <w:t>，</w:t>
      </w:r>
      <w:r>
        <w:rPr>
          <w:rFonts w:hint="eastAsia" w:ascii="仿宋" w:hAnsi="仿宋" w:eastAsia="仿宋" w:cs="仿宋"/>
          <w:sz w:val="32"/>
          <w:szCs w:val="32"/>
        </w:rPr>
        <w:t>原料库、生产车间和成品库无组织废气以及运输车辆扬尘</w:t>
      </w:r>
      <w:r>
        <w:rPr>
          <w:rFonts w:hint="eastAsia" w:ascii="仿宋" w:hAnsi="仿宋" w:eastAsia="仿宋" w:cs="仿宋"/>
          <w:sz w:val="32"/>
          <w:szCs w:val="32"/>
          <w:lang w:eastAsia="zh-CN"/>
        </w:rPr>
        <w:t>。</w:t>
      </w:r>
      <w:r>
        <w:rPr>
          <w:rFonts w:hint="eastAsia" w:ascii="仿宋" w:hAnsi="仿宋" w:eastAsia="仿宋" w:cs="仿宋"/>
          <w:sz w:val="32"/>
          <w:szCs w:val="32"/>
        </w:rPr>
        <w:t>生产线原料上料、破碎和筛分含尘废气产生</w:t>
      </w:r>
      <w:r>
        <w:rPr>
          <w:rFonts w:hint="eastAsia" w:ascii="仿宋" w:hAnsi="仿宋" w:eastAsia="仿宋" w:cs="仿宋"/>
          <w:sz w:val="32"/>
          <w:szCs w:val="32"/>
          <w:lang w:eastAsia="zh-CN"/>
        </w:rPr>
        <w:t>的</w:t>
      </w:r>
      <w:r>
        <w:rPr>
          <w:rFonts w:hint="eastAsia" w:ascii="仿宋" w:hAnsi="仿宋" w:eastAsia="仿宋" w:cs="仿宋"/>
          <w:sz w:val="32"/>
          <w:szCs w:val="32"/>
        </w:rPr>
        <w:t>粉尘，</w:t>
      </w:r>
      <w:r>
        <w:rPr>
          <w:rFonts w:hint="eastAsia" w:ascii="仿宋" w:hAnsi="仿宋" w:eastAsia="仿宋" w:cs="仿宋"/>
          <w:sz w:val="32"/>
          <w:szCs w:val="32"/>
          <w:lang w:eastAsia="zh-CN"/>
        </w:rPr>
        <w:t>通过</w:t>
      </w:r>
      <w:r>
        <w:rPr>
          <w:rFonts w:hint="eastAsia" w:ascii="仿宋" w:hAnsi="仿宋" w:eastAsia="仿宋" w:cs="仿宋"/>
          <w:sz w:val="32"/>
          <w:szCs w:val="32"/>
        </w:rPr>
        <w:t>集气罩收集后</w:t>
      </w:r>
      <w:r>
        <w:rPr>
          <w:rFonts w:hint="eastAsia" w:ascii="仿宋" w:hAnsi="仿宋" w:eastAsia="仿宋" w:cs="仿宋"/>
          <w:sz w:val="32"/>
          <w:szCs w:val="32"/>
          <w:lang w:eastAsia="zh-CN"/>
        </w:rPr>
        <w:t>用</w:t>
      </w:r>
      <w:r>
        <w:rPr>
          <w:rFonts w:hint="eastAsia" w:ascii="仿宋" w:hAnsi="仿宋" w:eastAsia="仿宋" w:cs="仿宋"/>
          <w:sz w:val="32"/>
          <w:szCs w:val="32"/>
        </w:rPr>
        <w:t>1套脉冲袋式除尘器处理，最终由1根15m高排气筒排放</w:t>
      </w:r>
      <w:r>
        <w:rPr>
          <w:rFonts w:hint="eastAsia" w:ascii="仿宋" w:hAnsi="仿宋" w:eastAsia="仿宋" w:cs="仿宋"/>
          <w:sz w:val="32"/>
          <w:szCs w:val="32"/>
          <w:lang w:eastAsia="zh-CN"/>
        </w:rPr>
        <w:t>，</w:t>
      </w:r>
      <w:r>
        <w:rPr>
          <w:rFonts w:hint="eastAsia" w:ascii="仿宋" w:hAnsi="仿宋" w:eastAsia="仿宋" w:cs="仿宋"/>
          <w:sz w:val="32"/>
          <w:szCs w:val="32"/>
        </w:rPr>
        <w:t>满足《大气污染物综合排放标准》（GB16297-1996）表2中</w:t>
      </w:r>
      <w:r>
        <w:rPr>
          <w:rFonts w:hint="eastAsia" w:ascii="仿宋" w:hAnsi="仿宋" w:eastAsia="仿宋" w:cs="仿宋"/>
          <w:sz w:val="32"/>
          <w:szCs w:val="32"/>
          <w:lang w:eastAsia="zh-CN"/>
        </w:rPr>
        <w:t>标准；</w:t>
      </w:r>
      <w:r>
        <w:rPr>
          <w:rFonts w:hint="eastAsia" w:ascii="仿宋" w:hAnsi="仿宋" w:eastAsia="仿宋" w:cs="仿宋"/>
          <w:sz w:val="32"/>
          <w:szCs w:val="32"/>
        </w:rPr>
        <w:t>原料库无组织废气</w:t>
      </w:r>
      <w:r>
        <w:rPr>
          <w:rFonts w:hint="eastAsia" w:ascii="仿宋" w:hAnsi="仿宋" w:eastAsia="仿宋" w:cs="仿宋"/>
          <w:sz w:val="32"/>
          <w:szCs w:val="32"/>
          <w:lang w:eastAsia="zh-CN"/>
        </w:rPr>
        <w:t>，通过</w:t>
      </w:r>
      <w:r>
        <w:rPr>
          <w:rFonts w:hint="eastAsia" w:ascii="仿宋" w:hAnsi="仿宋" w:eastAsia="仿宋" w:cs="仿宋"/>
          <w:sz w:val="32"/>
          <w:szCs w:val="32"/>
        </w:rPr>
        <w:t>采取车间密闭，并设置喷淋设施和雾炮抑尘</w:t>
      </w:r>
      <w:r>
        <w:rPr>
          <w:rFonts w:hint="eastAsia" w:ascii="仿宋" w:hAnsi="仿宋" w:eastAsia="仿宋" w:cs="仿宋"/>
          <w:sz w:val="32"/>
          <w:szCs w:val="32"/>
          <w:lang w:eastAsia="zh-CN"/>
        </w:rPr>
        <w:t>；运输</w:t>
      </w:r>
      <w:r>
        <w:rPr>
          <w:rFonts w:hint="eastAsia" w:ascii="仿宋" w:hAnsi="仿宋" w:eastAsia="仿宋" w:cs="仿宋"/>
          <w:sz w:val="32"/>
          <w:szCs w:val="32"/>
        </w:rPr>
        <w:t>过程中会产生少量的粉尘，通过采取运输车辆利用苫布苫盖，厂区和车间地面硬化并洒水抑尘，厂区出入口设置洗车平台对运输车辆进行冲洗，</w:t>
      </w:r>
      <w:r>
        <w:rPr>
          <w:rFonts w:hint="eastAsia" w:ascii="仿宋" w:hAnsi="仿宋" w:eastAsia="仿宋" w:cs="仿宋"/>
          <w:sz w:val="32"/>
          <w:szCs w:val="32"/>
          <w:lang w:eastAsia="zh-CN"/>
        </w:rPr>
        <w:t>均</w:t>
      </w:r>
      <w:r>
        <w:rPr>
          <w:rFonts w:hint="eastAsia" w:ascii="仿宋" w:hAnsi="仿宋" w:eastAsia="仿宋" w:cs="仿宋"/>
          <w:sz w:val="32"/>
          <w:szCs w:val="32"/>
        </w:rPr>
        <w:t>满足《大气污染物综合排放标准》（GB16297-1996）表2中无组织排放</w:t>
      </w:r>
      <w:r>
        <w:rPr>
          <w:rFonts w:hint="eastAsia" w:ascii="仿宋" w:hAnsi="仿宋" w:eastAsia="仿宋" w:cs="仿宋"/>
          <w:sz w:val="32"/>
          <w:szCs w:val="32"/>
          <w:lang w:eastAsia="zh-CN"/>
        </w:rPr>
        <w:t>标准</w:t>
      </w:r>
      <w:r>
        <w:rPr>
          <w:rFonts w:hint="eastAsia" w:ascii="仿宋" w:hAnsi="仿宋" w:eastAsia="仿宋" w:cs="仿宋"/>
          <w:sz w:val="32"/>
          <w:szCs w:val="32"/>
        </w:rPr>
        <w:t>。</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废水：</w:t>
      </w:r>
      <w:r>
        <w:rPr>
          <w:rFonts w:hint="eastAsia" w:ascii="仿宋" w:hAnsi="仿宋" w:eastAsia="仿宋" w:cs="仿宋"/>
          <w:sz w:val="32"/>
          <w:szCs w:val="32"/>
          <w:lang w:eastAsia="zh-CN"/>
        </w:rPr>
        <w:t>该</w:t>
      </w:r>
      <w:r>
        <w:rPr>
          <w:rFonts w:hint="eastAsia" w:ascii="仿宋" w:hAnsi="仿宋" w:eastAsia="仿宋" w:cs="仿宋"/>
          <w:sz w:val="32"/>
          <w:szCs w:val="32"/>
        </w:rPr>
        <w:t>项目废水主要为运输车辆冲洗废水和职工生活污水。运输车辆冲洗废水经洗车平台沉淀池沉淀处理后回用于车辆冲洗，</w:t>
      </w:r>
      <w:r>
        <w:rPr>
          <w:rFonts w:hint="eastAsia" w:ascii="仿宋" w:hAnsi="仿宋" w:eastAsia="仿宋" w:cs="仿宋"/>
          <w:sz w:val="32"/>
          <w:szCs w:val="32"/>
          <w:lang w:val="en-GB"/>
        </w:rPr>
        <w:t>不外排</w:t>
      </w:r>
      <w:r>
        <w:rPr>
          <w:rFonts w:hint="eastAsia" w:ascii="仿宋" w:hAnsi="仿宋" w:eastAsia="仿宋" w:cs="仿宋"/>
          <w:sz w:val="32"/>
          <w:szCs w:val="32"/>
        </w:rPr>
        <w:t>；生活污水</w:t>
      </w:r>
      <w:r>
        <w:rPr>
          <w:rFonts w:hint="eastAsia" w:ascii="仿宋" w:hAnsi="仿宋" w:eastAsia="仿宋" w:cs="仿宋"/>
          <w:sz w:val="32"/>
          <w:szCs w:val="32"/>
          <w:lang w:val="en-GB"/>
        </w:rPr>
        <w:t>用于厂区泼洒抑尘，并设防渗旱厕，由当地农民定期清掏用作农肥，不外排</w:t>
      </w:r>
      <w:r>
        <w:rPr>
          <w:rFonts w:hint="eastAsia" w:ascii="仿宋" w:hAnsi="仿宋" w:eastAsia="仿宋" w:cs="仿宋"/>
          <w:sz w:val="32"/>
          <w:szCs w:val="32"/>
        </w:rPr>
        <w:t>。</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（3）噪声：</w:t>
      </w:r>
      <w:r>
        <w:rPr>
          <w:rFonts w:hint="eastAsia" w:ascii="仿宋" w:hAnsi="仿宋" w:eastAsia="仿宋" w:cs="仿宋"/>
          <w:sz w:val="32"/>
          <w:szCs w:val="32"/>
          <w:lang w:eastAsia="zh-CN"/>
        </w:rPr>
        <w:t>该</w:t>
      </w:r>
      <w:r>
        <w:rPr>
          <w:rFonts w:hint="eastAsia" w:ascii="仿宋" w:hAnsi="仿宋" w:eastAsia="仿宋" w:cs="仿宋"/>
          <w:sz w:val="32"/>
          <w:szCs w:val="32"/>
        </w:rPr>
        <w:t>项目噪声主要为振动给料机、鄂式破碎机、锤式破碎机、振动筛和风机等设备运行时产生的噪声，项目通过采取选用低噪声设备、基础减振、厂房隔声、风机消声等措施，经距离衰减后</w:t>
      </w:r>
      <w:r>
        <w:rPr>
          <w:rFonts w:hint="eastAsia" w:ascii="仿宋" w:hAnsi="仿宋" w:eastAsia="仿宋" w:cs="仿宋"/>
          <w:sz w:val="32"/>
          <w:szCs w:val="32"/>
          <w:lang w:eastAsia="zh-CN"/>
        </w:rPr>
        <w:t>，厂界噪声满足《工业企业厂界环境噪声排放标准》（GB12348－2008）2类标准。</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4）固体废物：该项目为人工挑选和除铁器收集的金属废料、脉冲袋式除尘器收集的除尘灰，沉淀池产生的污泥以及职工生活垃圾。金属废料暂存至成品库废料区，定期外售综合利用；除尘灰和污泥定期外售综合利用；职工生活垃圾由环卫部门统一处置。</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四、项目建设必须严格执行配套建设的环境保护设施与</w:t>
      </w:r>
      <w:r>
        <w:rPr>
          <w:rFonts w:hint="eastAsia" w:ascii="仿宋" w:hAnsi="仿宋" w:eastAsia="仿宋" w:cs="仿宋"/>
          <w:sz w:val="32"/>
          <w:szCs w:val="32"/>
        </w:rPr>
        <w:t>主体工程同时设计、同时施工、同时投产使用的环境保护“三同时”制度。</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pPr>
        <w:keepNext w:val="0"/>
        <w:keepLines w:val="0"/>
        <w:pageBreakBefore w:val="0"/>
        <w:widowControl w:val="0"/>
        <w:kinsoku/>
        <w:wordWrap/>
        <w:overflowPunct/>
        <w:topLinePunct w:val="0"/>
        <w:bidi w:val="0"/>
        <w:adjustRightInd/>
        <w:snapToGrid w:val="0"/>
        <w:spacing w:line="640" w:lineRule="exact"/>
        <w:textAlignment w:val="auto"/>
        <w:rPr>
          <w:rFonts w:hint="eastAsia" w:ascii="仿宋" w:hAnsi="仿宋" w:eastAsia="仿宋" w:cs="仿宋"/>
          <w:color w:val="auto"/>
          <w:sz w:val="32"/>
          <w:szCs w:val="32"/>
        </w:rPr>
      </w:pPr>
    </w:p>
    <w:p>
      <w:pPr>
        <w:pStyle w:val="2"/>
        <w:ind w:left="0" w:leftChars="0" w:firstLine="0" w:firstLineChars="0"/>
        <w:rPr>
          <w:rFonts w:hint="eastAsia" w:ascii="仿宋" w:hAnsi="仿宋" w:eastAsia="仿宋" w:cs="仿宋"/>
          <w:color w:val="auto"/>
          <w:sz w:val="32"/>
          <w:szCs w:val="32"/>
        </w:rPr>
      </w:pPr>
    </w:p>
    <w:p>
      <w:pPr>
        <w:keepNext w:val="0"/>
        <w:keepLines w:val="0"/>
        <w:pageBreakBefore w:val="0"/>
        <w:widowControl w:val="0"/>
        <w:kinsoku/>
        <w:wordWrap/>
        <w:overflowPunct/>
        <w:topLinePunct w:val="0"/>
        <w:bidi w:val="0"/>
        <w:adjustRightInd/>
        <w:snapToGrid w:val="0"/>
        <w:spacing w:line="640" w:lineRule="exact"/>
        <w:ind w:firstLine="5760" w:firstLineChars="1800"/>
        <w:textAlignment w:val="auto"/>
        <w:rPr>
          <w:rFonts w:ascii="仿宋" w:hAnsi="仿宋" w:eastAsia="仿宋" w:cs="仿宋"/>
          <w:color w:val="auto"/>
          <w:sz w:val="32"/>
          <w:szCs w:val="32"/>
        </w:rPr>
      </w:pPr>
      <w:r>
        <w:rPr>
          <w:rFonts w:hint="eastAsia" w:ascii="仿宋" w:hAnsi="仿宋" w:eastAsia="仿宋" w:cs="仿宋"/>
          <w:color w:val="auto"/>
          <w:sz w:val="32"/>
          <w:szCs w:val="32"/>
        </w:rPr>
        <w:t>魏县行政审批局</w:t>
      </w:r>
    </w:p>
    <w:p>
      <w:pPr>
        <w:keepNext w:val="0"/>
        <w:keepLines w:val="0"/>
        <w:pageBreakBefore w:val="0"/>
        <w:widowControl w:val="0"/>
        <w:kinsoku/>
        <w:wordWrap/>
        <w:overflowPunct/>
        <w:topLinePunct w:val="0"/>
        <w:bidi w:val="0"/>
        <w:adjustRightInd/>
        <w:snapToGrid w:val="0"/>
        <w:spacing w:line="640" w:lineRule="exact"/>
        <w:ind w:firstLine="5120" w:firstLineChars="1600"/>
        <w:textAlignment w:val="auto"/>
        <w:rPr>
          <w:rFonts w:ascii="仿宋" w:hAnsi="仿宋" w:eastAsia="仿宋" w:cs="仿宋"/>
          <w:color w:val="auto"/>
          <w:sz w:val="32"/>
          <w:szCs w:val="32"/>
        </w:rPr>
      </w:pPr>
      <w:r>
        <w:rPr>
          <w:rFonts w:hint="eastAsia" w:ascii="仿宋" w:hAnsi="仿宋" w:eastAsia="仿宋" w:cs="仿宋"/>
          <w:color w:val="auto"/>
          <w:sz w:val="32"/>
          <w:szCs w:val="32"/>
        </w:rPr>
        <w:t>二〇二〇年</w:t>
      </w:r>
      <w:r>
        <w:rPr>
          <w:rFonts w:hint="eastAsia" w:ascii="仿宋" w:hAnsi="仿宋" w:eastAsia="仿宋" w:cs="仿宋"/>
          <w:color w:val="auto"/>
          <w:sz w:val="32"/>
          <w:szCs w:val="32"/>
          <w:lang w:eastAsia="zh-CN"/>
        </w:rPr>
        <w:t>十二</w:t>
      </w:r>
      <w:r>
        <w:rPr>
          <w:rFonts w:hint="eastAsia" w:ascii="仿宋" w:hAnsi="仿宋" w:eastAsia="仿宋" w:cs="仿宋"/>
          <w:color w:val="auto"/>
          <w:sz w:val="32"/>
          <w:szCs w:val="32"/>
        </w:rPr>
        <w:t>月</w:t>
      </w:r>
      <w:r>
        <w:rPr>
          <w:rFonts w:hint="eastAsia" w:ascii="仿宋" w:hAnsi="仿宋" w:eastAsia="仿宋" w:cs="仿宋"/>
          <w:color w:val="auto"/>
          <w:sz w:val="32"/>
          <w:szCs w:val="32"/>
          <w:lang w:eastAsia="zh-CN"/>
        </w:rPr>
        <w:t>二十三</w:t>
      </w:r>
      <w:r>
        <w:rPr>
          <w:rFonts w:hint="eastAsia" w:ascii="仿宋" w:hAnsi="仿宋" w:eastAsia="仿宋" w:cs="仿宋"/>
          <w:color w:val="auto"/>
          <w:sz w:val="32"/>
          <w:szCs w:val="32"/>
        </w:rPr>
        <w:t>日</w:t>
      </w: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p>
    <w:p>
      <w:pPr>
        <w:pStyle w:val="2"/>
        <w:rPr>
          <w:rFonts w:ascii="Times New Roman" w:hAnsi="Times New Roman" w:eastAsia="仿宋_GB2312" w:cs="Times New Roman"/>
          <w:color w:val="auto"/>
          <w:sz w:val="28"/>
          <w:szCs w:val="28"/>
        </w:rPr>
      </w:pPr>
    </w:p>
    <w:p>
      <w:pPr>
        <w:pStyle w:val="2"/>
        <w:rPr>
          <w:rFonts w:ascii="Times New Roman" w:hAnsi="Times New Roman" w:eastAsia="仿宋_GB2312" w:cs="Times New Roman"/>
          <w:color w:val="auto"/>
          <w:sz w:val="28"/>
          <w:szCs w:val="28"/>
        </w:rPr>
      </w:pPr>
      <w:bookmarkStart w:id="0" w:name="_GoBack"/>
      <w:bookmarkEnd w:id="0"/>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抄送：县大气办、邯郸市生态环境局魏县分局</w:t>
      </w: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pict>
          <v:line id="_x0000_s1028" o:spid="_x0000_s1028" o:spt="20" style="position:absolute;left:0pt;margin-left:1.25pt;margin-top:3pt;height:0pt;width:441pt;z-index:251658240;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魏县行政审批局</w:t>
      </w:r>
      <w:r>
        <w:rPr>
          <w:rFonts w:hint="eastAsia" w:ascii="Times New Roman" w:hAnsi="Times New Roman" w:eastAsia="仿宋_GB2312" w:cs="Times New Roman"/>
          <w:color w:val="auto"/>
          <w:sz w:val="28"/>
          <w:szCs w:val="28"/>
        </w:rPr>
        <w:t>2020</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12</w:t>
      </w:r>
      <w:r>
        <w:rPr>
          <w:rFonts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23</w:t>
      </w:r>
      <w:r>
        <w:rPr>
          <w:rFonts w:ascii="Times New Roman" w:hAnsi="Times New Roman" w:eastAsia="仿宋_GB2312" w:cs="Times New Roman"/>
          <w:color w:val="auto"/>
          <w:sz w:val="28"/>
          <w:szCs w:val="28"/>
        </w:rPr>
        <w:t>日</w:t>
      </w:r>
    </w:p>
    <w:p>
      <w:pPr>
        <w:keepNext w:val="0"/>
        <w:keepLines w:val="0"/>
        <w:pageBreakBefore w:val="0"/>
        <w:widowControl w:val="0"/>
        <w:kinsoku/>
        <w:wordWrap/>
        <w:overflowPunct/>
        <w:topLinePunct w:val="0"/>
        <w:bidi w:val="0"/>
        <w:adjustRightInd/>
        <w:spacing w:line="640" w:lineRule="exact"/>
        <w:ind w:firstLine="7000" w:firstLineChars="2500"/>
        <w:textAlignment w:val="auto"/>
        <w:rPr>
          <w:rFonts w:ascii="Times New Roman" w:hAnsi="Times New Roman" w:cs="Times New Roman"/>
          <w:color w:val="auto"/>
          <w:sz w:val="28"/>
          <w:szCs w:val="28"/>
        </w:rPr>
      </w:pPr>
      <w:r>
        <w:rPr>
          <w:rFonts w:ascii="Times New Roman" w:hAnsi="Times New Roman" w:eastAsia="仿宋_GB2312" w:cs="Times New Roman"/>
          <w:color w:val="auto"/>
          <w:sz w:val="28"/>
          <w:szCs w:val="28"/>
        </w:rPr>
        <w:pict>
          <v:line id="_x0000_s1029" o:spid="_x0000_s1029" o:spt="20" style="position:absolute;left:0pt;margin-left:1.55pt;margin-top:3.35pt;height:0pt;width:441pt;z-index:251659264;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（共印</w:t>
      </w:r>
      <w:r>
        <w:rPr>
          <w:rFonts w:hint="eastAsia" w:ascii="Times New Roman" w:hAnsi="Times New Roman" w:eastAsia="仿宋_GB2312" w:cs="Times New Roman"/>
          <w:color w:val="auto"/>
          <w:sz w:val="28"/>
          <w:szCs w:val="28"/>
          <w:lang w:val="en-US" w:eastAsia="zh-CN"/>
        </w:rPr>
        <w:t>6</w:t>
      </w:r>
      <w:r>
        <w:rPr>
          <w:rFonts w:ascii="Times New Roman" w:hAnsi="Times New Roman" w:eastAsia="仿宋_GB2312" w:cs="Times New Roman"/>
          <w:color w:val="auto"/>
          <w:sz w:val="28"/>
          <w:szCs w:val="28"/>
        </w:rPr>
        <w:t>份）</w:t>
      </w:r>
    </w:p>
    <w:sectPr>
      <w:footerReference r:id="rId3" w:type="default"/>
      <w:pgSz w:w="11906" w:h="16838"/>
      <w:pgMar w:top="1588" w:right="1304" w:bottom="1247"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507"/>
        <w:tab w:val="clear" w:pos="4153"/>
      </w:tabs>
    </w:pPr>
    <w:r>
      <w:pict>
        <v:shape id="_x0000_s4097" o:spid="_x0000_s4097" o:spt="202" type="#_x0000_t202" style="position:absolute;left:0pt;margin-top:0pt;height:144pt;width:24.85pt;mso-position-horizontal:center;mso-position-horizontal-relative:margin;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9"/>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F1AFEC"/>
    <w:multiLevelType w:val="singleLevel"/>
    <w:tmpl w:val="DCF1AFEC"/>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4"/>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2528"/>
    <w:rsid w:val="00004A67"/>
    <w:rsid w:val="001A743A"/>
    <w:rsid w:val="001B658C"/>
    <w:rsid w:val="001C4062"/>
    <w:rsid w:val="002030EC"/>
    <w:rsid w:val="00211894"/>
    <w:rsid w:val="002620A0"/>
    <w:rsid w:val="00315DDD"/>
    <w:rsid w:val="00472528"/>
    <w:rsid w:val="007B2F9E"/>
    <w:rsid w:val="009B6EF7"/>
    <w:rsid w:val="009E3169"/>
    <w:rsid w:val="00A42BF5"/>
    <w:rsid w:val="00A55082"/>
    <w:rsid w:val="00C813DA"/>
    <w:rsid w:val="00CC516A"/>
    <w:rsid w:val="00CD1AAF"/>
    <w:rsid w:val="00DB7F25"/>
    <w:rsid w:val="00E41DD5"/>
    <w:rsid w:val="00E81A70"/>
    <w:rsid w:val="00F26C4E"/>
    <w:rsid w:val="00F46DFA"/>
    <w:rsid w:val="00F94154"/>
    <w:rsid w:val="03A73B31"/>
    <w:rsid w:val="07490707"/>
    <w:rsid w:val="082E31FF"/>
    <w:rsid w:val="0A9D106A"/>
    <w:rsid w:val="0C68597E"/>
    <w:rsid w:val="0F1C2311"/>
    <w:rsid w:val="12AB7149"/>
    <w:rsid w:val="14491426"/>
    <w:rsid w:val="157E222F"/>
    <w:rsid w:val="17510115"/>
    <w:rsid w:val="19895A0E"/>
    <w:rsid w:val="20E03FCA"/>
    <w:rsid w:val="20F90A4D"/>
    <w:rsid w:val="21AF7885"/>
    <w:rsid w:val="25645A32"/>
    <w:rsid w:val="271D64A4"/>
    <w:rsid w:val="2E2D6C30"/>
    <w:rsid w:val="2E434E08"/>
    <w:rsid w:val="2EF56638"/>
    <w:rsid w:val="35B62865"/>
    <w:rsid w:val="37BE2E9D"/>
    <w:rsid w:val="38B24769"/>
    <w:rsid w:val="3B6E30B9"/>
    <w:rsid w:val="3E7120FF"/>
    <w:rsid w:val="3E973002"/>
    <w:rsid w:val="3F6E320C"/>
    <w:rsid w:val="41127513"/>
    <w:rsid w:val="4311484D"/>
    <w:rsid w:val="43942C39"/>
    <w:rsid w:val="47746782"/>
    <w:rsid w:val="47BF2A01"/>
    <w:rsid w:val="4AB132DC"/>
    <w:rsid w:val="4C473D74"/>
    <w:rsid w:val="4E610056"/>
    <w:rsid w:val="4EF77B4F"/>
    <w:rsid w:val="53E73FF6"/>
    <w:rsid w:val="53F72BDF"/>
    <w:rsid w:val="57636D42"/>
    <w:rsid w:val="58102F39"/>
    <w:rsid w:val="5A3015A2"/>
    <w:rsid w:val="5D041EC4"/>
    <w:rsid w:val="6202431C"/>
    <w:rsid w:val="63655EDA"/>
    <w:rsid w:val="63CA359B"/>
    <w:rsid w:val="65222343"/>
    <w:rsid w:val="66A7176F"/>
    <w:rsid w:val="66E4190D"/>
    <w:rsid w:val="718928E9"/>
    <w:rsid w:val="73234838"/>
    <w:rsid w:val="77387F1B"/>
    <w:rsid w:val="79531210"/>
    <w:rsid w:val="7A295A6E"/>
    <w:rsid w:val="7AE665D2"/>
    <w:rsid w:val="7C273A6C"/>
    <w:rsid w:val="7F0A587D"/>
    <w:rsid w:val="7F9922F7"/>
    <w:rsid w:val="7FBC4E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line="240" w:lineRule="auto"/>
      <w:ind w:left="420" w:leftChars="200" w:firstLine="420" w:firstLineChars="200"/>
    </w:pPr>
    <w:rPr>
      <w:sz w:val="21"/>
    </w:rPr>
  </w:style>
  <w:style w:type="paragraph" w:styleId="3">
    <w:name w:val="Body Text Indent"/>
    <w:basedOn w:val="1"/>
    <w:qFormat/>
    <w:uiPriority w:val="0"/>
    <w:pPr>
      <w:spacing w:line="340" w:lineRule="exact"/>
      <w:ind w:firstLine="522"/>
    </w:pPr>
    <w:rPr>
      <w:color w:val="000000"/>
      <w:sz w:val="28"/>
    </w:rPr>
  </w:style>
  <w:style w:type="paragraph" w:styleId="5">
    <w:name w:val="Normal Indent"/>
    <w:basedOn w:val="1"/>
    <w:next w:val="4"/>
    <w:qFormat/>
    <w:uiPriority w:val="0"/>
    <w:pPr>
      <w:adjustRightInd w:val="0"/>
      <w:spacing w:line="360" w:lineRule="atLeast"/>
      <w:ind w:firstLine="420"/>
      <w:jc w:val="left"/>
      <w:textAlignment w:val="baseline"/>
    </w:pPr>
    <w:rPr>
      <w:kern w:val="0"/>
      <w:sz w:val="24"/>
    </w:rPr>
  </w:style>
  <w:style w:type="paragraph" w:styleId="6">
    <w:name w:val="Block Text"/>
    <w:basedOn w:val="1"/>
    <w:qFormat/>
    <w:uiPriority w:val="0"/>
    <w:pPr>
      <w:ind w:left="113" w:right="113" w:firstLine="595"/>
      <w:jc w:val="left"/>
    </w:pPr>
    <w:rPr>
      <w:sz w:val="28"/>
    </w:rPr>
  </w:style>
  <w:style w:type="paragraph" w:styleId="7">
    <w:name w:val="Plain Text"/>
    <w:basedOn w:val="1"/>
    <w:qFormat/>
    <w:uiPriority w:val="0"/>
    <w:rPr>
      <w:rFonts w:ascii="宋体" w:hAnsi="Courier New" w:eastAsia="宋体" w:cs="宋体"/>
      <w:sz w:val="24"/>
    </w:rPr>
  </w:style>
  <w:style w:type="paragraph" w:styleId="8">
    <w:name w:val="Balloon Text"/>
    <w:basedOn w:val="1"/>
    <w:link w:val="20"/>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2"/>
    <w:basedOn w:val="1"/>
    <w:next w:val="1"/>
    <w:qFormat/>
    <w:uiPriority w:val="0"/>
    <w:pPr>
      <w:ind w:left="420" w:leftChars="200"/>
    </w:pPr>
  </w:style>
  <w:style w:type="table" w:styleId="13">
    <w:name w:val="Table Grid"/>
    <w:basedOn w:val="12"/>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paragraph" w:customStyle="1" w:styleId="16">
    <w:name w:val="样式 样式 样式 四号 左侧:  1.53 厘米 + 首行缩进:  2 字符 + 居中 左侧:  2 字符 首行缩进:  2..."/>
    <w:basedOn w:val="17"/>
    <w:qFormat/>
    <w:uiPriority w:val="0"/>
    <w:pPr>
      <w:jc w:val="center"/>
    </w:pPr>
  </w:style>
  <w:style w:type="paragraph" w:customStyle="1" w:styleId="17">
    <w:name w:val="样式 样式 四号 左侧:  1.53 厘米 + 首行缩进:  2 字符"/>
    <w:basedOn w:val="18"/>
    <w:qFormat/>
    <w:uiPriority w:val="0"/>
    <w:pPr>
      <w:ind w:left="200" w:leftChars="200"/>
    </w:pPr>
    <w:rPr>
      <w:szCs w:val="20"/>
    </w:rPr>
  </w:style>
  <w:style w:type="paragraph" w:customStyle="1" w:styleId="18">
    <w:name w:val="样式 四号 左侧:  1.53 厘米"/>
    <w:basedOn w:val="1"/>
    <w:qFormat/>
    <w:uiPriority w:val="0"/>
    <w:pPr>
      <w:adjustRightInd w:val="0"/>
    </w:pPr>
    <w:rPr>
      <w:w w:val="90"/>
      <w:sz w:val="28"/>
      <w:szCs w:val="28"/>
    </w:rPr>
  </w:style>
  <w:style w:type="paragraph" w:customStyle="1" w:styleId="19">
    <w:name w:val="正文1"/>
    <w:basedOn w:val="1"/>
    <w:qFormat/>
    <w:uiPriority w:val="0"/>
    <w:pPr>
      <w:adjustRightInd w:val="0"/>
      <w:snapToGrid w:val="0"/>
      <w:spacing w:line="480" w:lineRule="exact"/>
      <w:ind w:firstLine="200"/>
    </w:pPr>
    <w:rPr>
      <w:szCs w:val="20"/>
    </w:rPr>
  </w:style>
  <w:style w:type="character" w:customStyle="1" w:styleId="20">
    <w:name w:val="批注框文本 Char"/>
    <w:basedOn w:val="14"/>
    <w:link w:val="8"/>
    <w:qFormat/>
    <w:uiPriority w:val="0"/>
    <w:rPr>
      <w:rFonts w:asciiTheme="minorHAnsi" w:hAnsiTheme="minorHAnsi" w:eastAsiaTheme="minorEastAsia" w:cstheme="minorBidi"/>
      <w:kern w:val="2"/>
      <w:sz w:val="18"/>
      <w:szCs w:val="18"/>
    </w:rPr>
  </w:style>
  <w:style w:type="paragraph" w:customStyle="1" w:styleId="21">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2">
    <w:name w:val="List Paragraph"/>
    <w:basedOn w:val="1"/>
    <w:unhideWhenUsed/>
    <w:qFormat/>
    <w:uiPriority w:val="99"/>
    <w:pPr>
      <w:ind w:firstLine="420" w:firstLineChars="200"/>
    </w:pPr>
  </w:style>
  <w:style w:type="paragraph" w:customStyle="1" w:styleId="23">
    <w:name w:val="表"/>
    <w:qFormat/>
    <w:uiPriority w:val="0"/>
    <w:pPr>
      <w:spacing w:line="440" w:lineRule="exact"/>
      <w:ind w:firstLine="200" w:firstLineChars="200"/>
      <w:jc w:val="both"/>
    </w:pPr>
    <w:rPr>
      <w:rFonts w:ascii="Calibri" w:hAnsi="Calibri" w:eastAsia="宋体" w:cs="Times New Roman"/>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208</Words>
  <Characters>1189</Characters>
  <Lines>9</Lines>
  <Paragraphs>2</Paragraphs>
  <TotalTime>3</TotalTime>
  <ScaleCrop>false</ScaleCrop>
  <LinksUpToDate>false</LinksUpToDate>
  <CharactersWithSpaces>1395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刘小懒。</cp:lastModifiedBy>
  <cp:lastPrinted>2020-10-19T01:39:00Z</cp:lastPrinted>
  <dcterms:modified xsi:type="dcterms:W3CDTF">2020-12-23T03:18:05Z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