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044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邯郸市魏县财政支出项目</w:t>
      </w:r>
    </w:p>
    <w:p>
      <w:pPr>
        <w:pStyle w:val="2"/>
        <w:ind w:firstLine="640"/>
      </w:pPr>
    </w:p>
    <w:p>
      <w:pPr>
        <w:ind w:firstLine="1044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绩效自评报告</w:t>
      </w: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2"/>
        <w:ind w:firstLine="640"/>
        <w:rPr>
          <w:highlight w:val="yellow"/>
        </w:rPr>
      </w:pPr>
    </w:p>
    <w:p>
      <w:pPr>
        <w:pStyle w:val="2"/>
        <w:ind w:firstLine="640"/>
      </w:pPr>
    </w:p>
    <w:p>
      <w:pPr>
        <w:pStyle w:val="2"/>
        <w:ind w:firstLine="64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主管部门</w:t>
      </w:r>
      <w:r>
        <w:rPr>
          <w:rFonts w:hint="eastAsia" w:asciiTheme="minorEastAsia" w:hAnsiTheme="minorEastAsia" w:eastAsia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u w:val="single"/>
          <w:lang w:eastAsia="zh-CN"/>
        </w:rPr>
        <w:t>魏县扶贫和农业开发办公室</w:t>
      </w:r>
      <w:r>
        <w:rPr>
          <w:rFonts w:hint="eastAsia" w:asciiTheme="minorEastAsia" w:hAnsiTheme="minorEastAsia" w:eastAsiaTheme="minorEastAsia"/>
          <w:u w:val="single"/>
        </w:rPr>
        <w:t xml:space="preserve">         </w:t>
      </w:r>
    </w:p>
    <w:p>
      <w:pPr>
        <w:pStyle w:val="2"/>
        <w:ind w:firstLine="64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项目单位</w:t>
      </w:r>
      <w:r>
        <w:rPr>
          <w:rFonts w:hint="eastAsia" w:asciiTheme="minorEastAsia" w:hAnsiTheme="minorEastAsia" w:eastAsia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u w:val="single"/>
          <w:lang w:eastAsia="zh-CN"/>
        </w:rPr>
        <w:t>魏县扶贫和农业开发办公室</w:t>
      </w:r>
      <w:r>
        <w:rPr>
          <w:rFonts w:hint="eastAsia" w:asciiTheme="minorEastAsia" w:hAnsiTheme="minorEastAsia" w:eastAsiaTheme="minorEastAsia"/>
          <w:u w:val="single"/>
        </w:rPr>
        <w:t xml:space="preserve">         </w:t>
      </w:r>
    </w:p>
    <w:p>
      <w:pPr>
        <w:rPr>
          <w:rFonts w:asciiTheme="minorEastAsia" w:hAnsiTheme="minorEastAsia" w:eastAsiaTheme="minorEastAsia"/>
          <w:highlight w:val="yellow"/>
        </w:rPr>
      </w:pPr>
      <w:r>
        <w:rPr>
          <w:rFonts w:hint="eastAsia" w:asciiTheme="minorEastAsia" w:hAnsiTheme="minorEastAsia" w:eastAsiaTheme="minorEastAsia"/>
        </w:rPr>
        <w:t>项目名称</w:t>
      </w:r>
      <w:r>
        <w:rPr>
          <w:rFonts w:hint="eastAsia" w:asciiTheme="minorEastAsia" w:hAnsiTheme="minorEastAsia" w:eastAsiaTheme="minorEastAsia"/>
          <w:u w:val="single"/>
        </w:rPr>
        <w:t xml:space="preserve">      2020年整合资金小额贷款贴息项目        </w:t>
      </w:r>
    </w:p>
    <w:p>
      <w:pPr>
        <w:rPr>
          <w:highlight w:val="yellow"/>
        </w:rPr>
      </w:pPr>
    </w:p>
    <w:p>
      <w:pPr>
        <w:pStyle w:val="2"/>
        <w:ind w:firstLine="640"/>
        <w:rPr>
          <w:highlight w:val="yellow"/>
        </w:rPr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ind w:firstLine="7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邯郸市</w:t>
      </w:r>
      <w:r>
        <w:rPr>
          <w:rFonts w:hint="eastAsia" w:ascii="黑体" w:hAnsi="黑体" w:eastAsia="黑体"/>
          <w:sz w:val="36"/>
          <w:szCs w:val="36"/>
          <w:lang w:eastAsia="zh-CN"/>
        </w:rPr>
        <w:t>魏县扶贫和农业开发办公室</w:t>
      </w:r>
      <w:r>
        <w:rPr>
          <w:rFonts w:ascii="黑体" w:hAnsi="黑体" w:eastAsia="黑体"/>
          <w:sz w:val="36"/>
          <w:szCs w:val="36"/>
        </w:rPr>
        <w:br w:type="page"/>
      </w:r>
    </w:p>
    <w:sdt>
      <w:sdtPr>
        <w:rPr>
          <w:rFonts w:ascii="仿宋" w:hAnsi="仿宋" w:eastAsia="仿宋" w:cstheme="minorBidi"/>
          <w:color w:val="auto"/>
          <w:kern w:val="2"/>
          <w:lang w:val="zh-CN"/>
        </w:rPr>
        <w:id w:val="-840237934"/>
        <w:docPartObj>
          <w:docPartGallery w:val="Table of Contents"/>
          <w:docPartUnique/>
        </w:docPartObj>
      </w:sdtPr>
      <w:sdtEndPr>
        <w:rPr>
          <w:rFonts w:ascii="仿宋" w:hAnsi="仿宋" w:eastAsia="仿宋" w:cstheme="minorBidi"/>
          <w:b/>
          <w:bCs/>
          <w:color w:val="auto"/>
          <w:kern w:val="2"/>
          <w:lang w:val="zh-CN"/>
        </w:rPr>
      </w:sdtEndPr>
      <w:sdtContent>
        <w:p>
          <w:pPr>
            <w:pStyle w:val="20"/>
            <w:jc w:val="center"/>
            <w:rPr>
              <w:b/>
              <w:color w:val="auto"/>
              <w:sz w:val="44"/>
              <w:szCs w:val="44"/>
            </w:rPr>
          </w:pPr>
          <w:r>
            <w:rPr>
              <w:b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"_Toc55137528"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一、 项目分解下达情况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_Toc55137528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"_Toc55137529"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财政专项扶贫资金下达预算及项目情况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_Toc55137529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"_Toc55137530"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财政专项扶贫资金项目绩效目标设定情况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"_Toc55137531"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二、 绩效自评工作开展情况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"_Toc55137532"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自评工作开展范围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"_Toc55137533"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自评工作对象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"_Toc55137534"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3.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自评方式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"_Toc55137535"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三、 绩效目标自评完成情况分析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"_Toc55137536"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（一）资金投入情况分析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"_Toc55137537"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项目资金到位情况分析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"_Toc55137538"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项目资金执行情况分析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"_Toc55137539"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3.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项目资金管理情况分析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_Toc55137539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"_Toc55137540"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（二）绩效目标完成情况分析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_Toc55137540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"_Toc55137541"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产出指标完成情况分析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"_Toc55137542"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效益指标完成情况分析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_Toc55137542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"_Toc55137543"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3.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4"/>
              <w:sz w:val="32"/>
              <w:szCs w:val="32"/>
            </w:rPr>
            <w:t>满意度指标完成情况分析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_Toc55137543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"_Toc55137544"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四、 偏离绩效目标的原因和下一步改进措施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_Toc55137544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"_Toc55137545" </w:instrText>
          </w:r>
          <w:r>
            <w:fldChar w:fldCharType="separate"/>
          </w:r>
          <w:r>
            <w:rPr>
              <w:rStyle w:val="14"/>
              <w:sz w:val="32"/>
              <w:szCs w:val="32"/>
            </w:rPr>
            <w:t>五、 绩效自评结果拟应用和公开情况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_Toc55137545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39" w:firstLineChars="199"/>
            <w:textAlignment w:val="auto"/>
            <w:sectPr>
              <w:headerReference r:id="rId5" w:type="first"/>
              <w:footerReference r:id="rId8" w:type="first"/>
              <w:headerReference r:id="rId3" w:type="default"/>
              <w:footerReference r:id="rId6" w:type="default"/>
              <w:headerReference r:id="rId4" w:type="even"/>
              <w:footerReference r:id="rId7" w:type="even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pStyle w:val="3"/>
        <w:ind w:left="0"/>
        <w:rPr>
          <w:rStyle w:val="15"/>
          <w:szCs w:val="32"/>
        </w:rPr>
      </w:pPr>
      <w:bookmarkStart w:id="0" w:name="_Toc55137528"/>
      <w:r>
        <w:rPr>
          <w:rStyle w:val="15"/>
          <w:rFonts w:hint="eastAsia"/>
          <w:szCs w:val="32"/>
        </w:rPr>
        <w:t>项目分解下达情况</w:t>
      </w:r>
      <w:bookmarkEnd w:id="0"/>
    </w:p>
    <w:p>
      <w:pPr>
        <w:pStyle w:val="4"/>
      </w:pPr>
      <w:bookmarkStart w:id="1" w:name="_Toc55137529"/>
      <w:r>
        <w:rPr>
          <w:rFonts w:hint="eastAsia"/>
        </w:rPr>
        <w:t>财政专项扶贫资金下达预算及项目情况</w:t>
      </w:r>
      <w:bookmarkEnd w:id="1"/>
    </w:p>
    <w:p>
      <w:r>
        <w:rPr>
          <w:rFonts w:hint="eastAsia"/>
        </w:rPr>
        <w:t>根据《魏县财政局关于下达</w:t>
      </w:r>
      <w:r>
        <w:t>2020年整合资金的通知》（魏财农[2020]12号）文件，2020年整合资金小额贷款贴息项目共下达资金10万元。</w:t>
      </w:r>
      <w:r>
        <w:rPr>
          <w:rFonts w:hint="eastAsia"/>
          <w:lang w:val="en-US" w:eastAsia="zh-CN"/>
        </w:rPr>
        <w:t>该项目实施是为已建档立卡户，实施利率内补贴，</w:t>
      </w:r>
      <w:r>
        <w:rPr>
          <w:rFonts w:hint="eastAsia"/>
        </w:rPr>
        <w:t>通过按时足额发放补贴资金，扶持产业发展，带动贫困户增收。</w:t>
      </w:r>
    </w:p>
    <w:p>
      <w:pPr>
        <w:pStyle w:val="4"/>
      </w:pPr>
      <w:bookmarkStart w:id="2" w:name="_Toc55137530"/>
      <w:r>
        <w:rPr>
          <w:rFonts w:hint="eastAsia"/>
        </w:rPr>
        <w:t>财政专项扶贫资金项目绩效目标设定情况</w:t>
      </w:r>
      <w:bookmarkEnd w:id="2"/>
    </w:p>
    <w:p>
      <w:pPr>
        <w:pStyle w:val="2"/>
        <w:ind w:firstLine="640"/>
      </w:pPr>
      <w:r>
        <w:rPr>
          <w:rFonts w:hint="eastAsia"/>
        </w:rPr>
        <w:t>计划建档立卡贫困户贷款申请满足率达9</w:t>
      </w:r>
      <w:r>
        <w:t>0</w:t>
      </w:r>
      <w:r>
        <w:rPr>
          <w:rFonts w:hint="eastAsia"/>
        </w:rPr>
        <w:t>%，小额信贷贴息利率达0</w:t>
      </w:r>
      <w:r>
        <w:t>.0435</w:t>
      </w:r>
      <w:r>
        <w:rPr>
          <w:rFonts w:hint="eastAsia"/>
        </w:rPr>
        <w:t>，受益建档立卡贫困户数</w:t>
      </w:r>
      <w:r>
        <w:t>30</w:t>
      </w:r>
      <w:r>
        <w:rPr>
          <w:rFonts w:hint="eastAsia"/>
        </w:rPr>
        <w:t>户，受益建档立卡贫困户满意度达9</w:t>
      </w:r>
      <w:r>
        <w:t>0</w:t>
      </w:r>
      <w:r>
        <w:rPr>
          <w:rFonts w:hint="eastAsia"/>
        </w:rPr>
        <w:t>%。</w:t>
      </w:r>
    </w:p>
    <w:p>
      <w:pPr>
        <w:pStyle w:val="3"/>
        <w:ind w:left="0"/>
        <w:rPr>
          <w:rStyle w:val="15"/>
          <w:szCs w:val="32"/>
        </w:rPr>
      </w:pPr>
      <w:bookmarkStart w:id="3" w:name="_Toc55137531"/>
      <w:r>
        <w:rPr>
          <w:rStyle w:val="15"/>
          <w:rFonts w:hint="eastAsia"/>
          <w:szCs w:val="32"/>
        </w:rPr>
        <w:t>绩效自评工作开展情况</w:t>
      </w:r>
      <w:bookmarkEnd w:id="3"/>
    </w:p>
    <w:p>
      <w:pPr>
        <w:pStyle w:val="4"/>
        <w:numPr>
          <w:ilvl w:val="0"/>
          <w:numId w:val="4"/>
        </w:numPr>
      </w:pPr>
      <w:bookmarkStart w:id="4" w:name="_Toc55137532"/>
      <w:r>
        <w:rPr>
          <w:rFonts w:hint="eastAsia"/>
        </w:rPr>
        <w:t>自评工作开展范围</w:t>
      </w:r>
      <w:bookmarkEnd w:id="4"/>
    </w:p>
    <w:p>
      <w:r>
        <w:rPr>
          <w:rFonts w:hint="eastAsia"/>
        </w:rPr>
        <w:t>自评工作开展范围主要包括项目决策、项目管理、项目绩效三个方面。其中，项目决策方面，包括项目前期预算申请、绩效目标设定、预算安排、单位职能、项目决策过程等；项目管理方面，包括财政资金资金到位情况、扶贫资金下达标准、扶贫对象选定标准、预算执行情况、财务监管制度健全性等；项目绩效方面，包括项目产出和项目实施效果及满意度结果等指标。</w:t>
      </w:r>
    </w:p>
    <w:p>
      <w:pPr>
        <w:pStyle w:val="4"/>
        <w:numPr>
          <w:ilvl w:val="0"/>
          <w:numId w:val="4"/>
        </w:numPr>
      </w:pPr>
      <w:bookmarkStart w:id="5" w:name="_Toc55137533"/>
      <w:r>
        <w:rPr>
          <w:rFonts w:hint="eastAsia"/>
        </w:rPr>
        <w:t>自评工作对象</w:t>
      </w:r>
      <w:bookmarkEnd w:id="5"/>
    </w:p>
    <w:p>
      <w:r>
        <w:rPr>
          <w:rFonts w:hint="eastAsia"/>
        </w:rPr>
        <w:t>为强化部门单位绩效主体责任意识，提高财政资金使用效益，完善公共财政体系，结合2020年度扶贫资金“2</w:t>
      </w:r>
      <w:r>
        <w:t>020</w:t>
      </w:r>
      <w:r>
        <w:rPr>
          <w:rFonts w:hint="eastAsia"/>
        </w:rPr>
        <w:t>年整合资金小额贷款贴息项目”绩效实现情况，客观公正地揭示财政资金的使用效益和政府职能的实现程度，强化预算支出的责任和效率。</w:t>
      </w:r>
    </w:p>
    <w:p>
      <w:pPr>
        <w:pStyle w:val="4"/>
        <w:numPr>
          <w:ilvl w:val="0"/>
          <w:numId w:val="4"/>
        </w:numPr>
      </w:pPr>
      <w:bookmarkStart w:id="6" w:name="_Toc55137534"/>
      <w:r>
        <w:rPr>
          <w:rFonts w:hint="eastAsia"/>
        </w:rPr>
        <w:t>自评方式</w:t>
      </w:r>
      <w:bookmarkEnd w:id="6"/>
    </w:p>
    <w:p>
      <w:r>
        <w:rPr>
          <w:rFonts w:hint="eastAsia"/>
        </w:rPr>
        <w:t>在评价过程中，采用定性和定量相结合的方式进行，在定性分析基础上，对相关评价内容尽量制定量化评价指标，进行量化分析。</w:t>
      </w:r>
    </w:p>
    <w:p>
      <w:pPr>
        <w:pStyle w:val="3"/>
        <w:ind w:left="0"/>
        <w:rPr>
          <w:rStyle w:val="15"/>
          <w:szCs w:val="32"/>
        </w:rPr>
      </w:pPr>
      <w:bookmarkStart w:id="7" w:name="_Toc55137535"/>
      <w:r>
        <w:rPr>
          <w:rStyle w:val="15"/>
          <w:rFonts w:hint="eastAsia"/>
          <w:szCs w:val="32"/>
        </w:rPr>
        <w:t>绩效目标自评完成情况分析</w:t>
      </w:r>
      <w:bookmarkEnd w:id="7"/>
    </w:p>
    <w:p>
      <w:pPr>
        <w:pStyle w:val="3"/>
        <w:numPr>
          <w:ilvl w:val="0"/>
          <w:numId w:val="5"/>
        </w:numPr>
      </w:pPr>
      <w:bookmarkStart w:id="8" w:name="_Toc55137536"/>
      <w:r>
        <w:rPr>
          <w:rFonts w:hint="eastAsia"/>
        </w:rPr>
        <w:t>资金投入情况分析</w:t>
      </w:r>
      <w:bookmarkEnd w:id="8"/>
    </w:p>
    <w:p>
      <w:pPr>
        <w:pStyle w:val="5"/>
        <w:numPr>
          <w:ilvl w:val="0"/>
          <w:numId w:val="0"/>
        </w:numPr>
        <w:ind w:left="420"/>
      </w:pPr>
      <w:bookmarkStart w:id="9" w:name="_Toc55137537"/>
      <w:r>
        <w:t>1.</w:t>
      </w:r>
      <w:r>
        <w:rPr>
          <w:rFonts w:hint="eastAsia"/>
        </w:rPr>
        <w:t>项目资金到位情况分析</w:t>
      </w:r>
      <w:bookmarkEnd w:id="9"/>
    </w:p>
    <w:p>
      <w:r>
        <w:rPr>
          <w:rFonts w:hint="eastAsia"/>
        </w:rPr>
        <w:t>根据《魏县财政局关于下达2</w:t>
      </w:r>
      <w:r>
        <w:t>020</w:t>
      </w:r>
      <w:r>
        <w:rPr>
          <w:rFonts w:hint="eastAsia"/>
        </w:rPr>
        <w:t>年整合资金的通知》（魏财农</w:t>
      </w:r>
      <w:r>
        <w:t>[2020]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号）文件，</w:t>
      </w:r>
      <w:r>
        <w:t>2020年</w:t>
      </w:r>
      <w:r>
        <w:rPr>
          <w:rFonts w:hint="eastAsia"/>
        </w:rPr>
        <w:t>整合资金小额贷款贴息项目共下达资金</w:t>
      </w:r>
      <w:r>
        <w:t>10</w:t>
      </w:r>
      <w:r>
        <w:rPr>
          <w:rFonts w:hint="eastAsia"/>
        </w:rPr>
        <w:t>万元，现已全部到位。</w:t>
      </w:r>
    </w:p>
    <w:p>
      <w:pPr>
        <w:pStyle w:val="5"/>
        <w:numPr>
          <w:ilvl w:val="0"/>
          <w:numId w:val="0"/>
        </w:numPr>
        <w:ind w:left="420"/>
      </w:pPr>
      <w:bookmarkStart w:id="10" w:name="_Toc55137538"/>
      <w:r>
        <w:rPr>
          <w:rFonts w:hint="eastAsia"/>
        </w:rPr>
        <w:t>2</w:t>
      </w:r>
      <w:r>
        <w:t>.</w:t>
      </w:r>
      <w:r>
        <w:rPr>
          <w:rFonts w:hint="eastAsia"/>
        </w:rPr>
        <w:t>项目资金执行情况分析</w:t>
      </w:r>
      <w:bookmarkEnd w:id="10"/>
    </w:p>
    <w:p>
      <w:r>
        <w:rPr>
          <w:rFonts w:hint="eastAsia"/>
        </w:rPr>
        <w:t>本次项目年度资金总额为</w:t>
      </w:r>
      <w:r>
        <w:t>10万元，</w:t>
      </w:r>
      <w:r>
        <w:rPr>
          <w:rFonts w:hint="eastAsia"/>
        </w:rPr>
        <w:t>全年执行金额为</w:t>
      </w:r>
      <w:r>
        <w:t>10</w:t>
      </w:r>
      <w:r>
        <w:rPr>
          <w:rFonts w:hint="eastAsia"/>
        </w:rPr>
        <w:t>万元，</w:t>
      </w:r>
      <w:r>
        <w:t>项目预算执行率100%</w:t>
      </w:r>
      <w:r>
        <w:rPr>
          <w:rFonts w:hint="eastAsia"/>
        </w:rPr>
        <w:t>。</w:t>
      </w:r>
    </w:p>
    <w:p>
      <w:pPr>
        <w:pStyle w:val="5"/>
        <w:numPr>
          <w:ilvl w:val="0"/>
          <w:numId w:val="0"/>
        </w:numPr>
        <w:ind w:left="420"/>
      </w:pPr>
      <w:bookmarkStart w:id="11" w:name="_Toc55137539"/>
      <w:r>
        <w:rPr>
          <w:rFonts w:hint="eastAsia"/>
        </w:rPr>
        <w:t>3</w:t>
      </w:r>
      <w:r>
        <w:t>.</w:t>
      </w:r>
      <w:r>
        <w:rPr>
          <w:rFonts w:hint="eastAsia"/>
        </w:rPr>
        <w:t>项目资金管理情况分析</w:t>
      </w:r>
      <w:bookmarkEnd w:id="11"/>
    </w:p>
    <w:p>
      <w:r>
        <w:rPr>
          <w:rFonts w:hint="eastAsia"/>
        </w:rPr>
        <w:t>本项目严格遵照《邯郸市市级财政专项扶贫资金管理办法》（邯财农〔</w:t>
      </w:r>
      <w:r>
        <w:t>2019〕72号）文件精神指示与要求，对项目资金进行科学管理与合理分配。</w:t>
      </w:r>
    </w:p>
    <w:p>
      <w:pPr>
        <w:pStyle w:val="4"/>
        <w:numPr>
          <w:ilvl w:val="0"/>
          <w:numId w:val="6"/>
        </w:numPr>
      </w:pPr>
      <w:bookmarkStart w:id="12" w:name="_Toc55137540"/>
      <w:r>
        <w:rPr>
          <w:rFonts w:hint="eastAsia"/>
        </w:rPr>
        <w:t>绩效目标完成情况分析</w:t>
      </w:r>
      <w:bookmarkEnd w:id="12"/>
    </w:p>
    <w:p>
      <w:pPr>
        <w:pStyle w:val="5"/>
        <w:numPr>
          <w:ilvl w:val="0"/>
          <w:numId w:val="0"/>
        </w:numPr>
        <w:ind w:left="420"/>
      </w:pPr>
      <w:bookmarkStart w:id="13" w:name="_Toc55137541"/>
      <w:r>
        <w:rPr>
          <w:rFonts w:hint="eastAsia"/>
        </w:rPr>
        <w:t>1</w:t>
      </w:r>
      <w:r>
        <w:t>.</w:t>
      </w:r>
      <w:r>
        <w:rPr>
          <w:rFonts w:hint="eastAsia"/>
        </w:rPr>
        <w:t>产出指标完成情况分析</w:t>
      </w:r>
      <w:bookmarkEnd w:id="13"/>
    </w:p>
    <w:p>
      <w:r>
        <w:rPr>
          <w:rFonts w:hint="eastAsia"/>
        </w:rPr>
        <w:t>（1）数量指标</w:t>
      </w:r>
    </w:p>
    <w:p>
      <w:r>
        <w:rPr>
          <w:rFonts w:hint="eastAsia"/>
        </w:rPr>
        <w:t>计划建档立卡贫困户贷款申请满足率达9</w:t>
      </w:r>
      <w:r>
        <w:t>0</w:t>
      </w:r>
      <w:r>
        <w:rPr>
          <w:rFonts w:hint="eastAsia"/>
        </w:rPr>
        <w:t>%，实际完成9</w:t>
      </w:r>
      <w:r>
        <w:t>0</w:t>
      </w:r>
      <w:r>
        <w:rPr>
          <w:rFonts w:hint="eastAsia"/>
        </w:rPr>
        <w:t>%，足额完成数量指标。</w:t>
      </w:r>
    </w:p>
    <w:p>
      <w:r>
        <w:rPr>
          <w:rFonts w:hint="eastAsia"/>
        </w:rPr>
        <w:t>（2）质量指标</w:t>
      </w:r>
    </w:p>
    <w:p>
      <w:r>
        <w:rPr>
          <w:rFonts w:hint="eastAsia"/>
        </w:rPr>
        <w:t>计划小额信贷贴息利率达0</w:t>
      </w:r>
      <w:r>
        <w:t>.0435</w:t>
      </w:r>
      <w:r>
        <w:rPr>
          <w:rFonts w:hint="eastAsia"/>
        </w:rPr>
        <w:t>，实际值为0</w:t>
      </w:r>
      <w:r>
        <w:t>.0435</w:t>
      </w:r>
      <w:r>
        <w:rPr>
          <w:rFonts w:hint="eastAsia"/>
        </w:rPr>
        <w:t>，质量指标合格。</w:t>
      </w:r>
    </w:p>
    <w:p>
      <w:pPr>
        <w:pStyle w:val="5"/>
        <w:numPr>
          <w:ilvl w:val="0"/>
          <w:numId w:val="0"/>
        </w:numPr>
        <w:ind w:left="420"/>
      </w:pPr>
      <w:bookmarkStart w:id="14" w:name="_Toc55137542"/>
      <w:r>
        <w:rPr>
          <w:rFonts w:hint="eastAsia"/>
        </w:rPr>
        <w:t>2</w:t>
      </w:r>
      <w:r>
        <w:t>.</w:t>
      </w:r>
      <w:r>
        <w:rPr>
          <w:rFonts w:hint="eastAsia"/>
        </w:rPr>
        <w:t>效益指标完成情况分析</w:t>
      </w:r>
      <w:bookmarkEnd w:id="14"/>
    </w:p>
    <w:p>
      <w:pPr>
        <w:ind w:firstLine="0" w:firstLineChars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）社会效益</w:t>
      </w:r>
    </w:p>
    <w:p>
      <w:pPr>
        <w:pStyle w:val="2"/>
        <w:ind w:firstLine="640"/>
      </w:pPr>
      <w:r>
        <w:rPr>
          <w:rFonts w:hint="eastAsia"/>
        </w:rPr>
        <w:t>该项目计划使</w:t>
      </w:r>
      <w:r>
        <w:t>30</w:t>
      </w:r>
      <w:r>
        <w:rPr>
          <w:rFonts w:hint="eastAsia"/>
        </w:rPr>
        <w:t>户以上建档立卡贫困户获益，实际完成</w:t>
      </w:r>
      <w:r>
        <w:t>110</w:t>
      </w:r>
      <w:r>
        <w:rPr>
          <w:rFonts w:hint="eastAsia"/>
        </w:rPr>
        <w:t>户，圆满完成社会效益指标。</w:t>
      </w:r>
    </w:p>
    <w:p>
      <w:pPr>
        <w:pStyle w:val="5"/>
        <w:numPr>
          <w:ilvl w:val="0"/>
          <w:numId w:val="0"/>
        </w:numPr>
        <w:ind w:left="320" w:leftChars="100" w:firstLine="320" w:firstLineChars="100"/>
      </w:pPr>
      <w:bookmarkStart w:id="15" w:name="_Toc55137543"/>
      <w:r>
        <w:rPr>
          <w:rFonts w:hint="eastAsia"/>
        </w:rPr>
        <w:t>3</w:t>
      </w:r>
      <w:r>
        <w:t>.</w:t>
      </w:r>
      <w:r>
        <w:rPr>
          <w:rFonts w:hint="eastAsia"/>
        </w:rPr>
        <w:t>满意度指标完成情况分析</w:t>
      </w:r>
      <w:bookmarkEnd w:id="15"/>
    </w:p>
    <w:p>
      <w:r>
        <w:rPr>
          <w:rFonts w:hint="eastAsia"/>
        </w:rPr>
        <w:t>预计受益建档立卡贫困户满意度达</w:t>
      </w:r>
      <w:r>
        <w:t>90</w:t>
      </w:r>
      <w:r>
        <w:rPr>
          <w:rFonts w:hint="eastAsia"/>
        </w:rPr>
        <w:t>%，实际满意度达</w:t>
      </w:r>
      <w:r>
        <w:t>96</w:t>
      </w:r>
      <w:r>
        <w:rPr>
          <w:rFonts w:hint="eastAsia"/>
        </w:rPr>
        <w:t>%，满意度较高。</w:t>
      </w:r>
    </w:p>
    <w:p>
      <w:pPr>
        <w:pStyle w:val="3"/>
        <w:ind w:left="0"/>
        <w:rPr>
          <w:rStyle w:val="15"/>
          <w:szCs w:val="32"/>
        </w:rPr>
      </w:pPr>
      <w:bookmarkStart w:id="16" w:name="_Toc55137544"/>
      <w:r>
        <w:rPr>
          <w:rStyle w:val="15"/>
          <w:rFonts w:hint="eastAsia"/>
          <w:szCs w:val="32"/>
        </w:rPr>
        <w:t>偏离绩效目标的原因和下一步改进措施</w:t>
      </w:r>
      <w:bookmarkEnd w:id="16"/>
    </w:p>
    <w:p>
      <w:r>
        <w:rPr>
          <w:rFonts w:hint="eastAsia"/>
          <w:lang w:val="en-US" w:eastAsia="zh-CN"/>
        </w:rPr>
        <w:t>该项目未发生绩效目标偏离现象，实施的目的主要在于通过安排扶贫小额信贷信息，可有效拉动建档立卡户通过扶贫小额信贷发展扶贫产业，增加收入</w:t>
      </w:r>
      <w:r>
        <w:rPr>
          <w:rFonts w:hint="eastAsia"/>
        </w:rPr>
        <w:t>。</w:t>
      </w:r>
    </w:p>
    <w:p>
      <w:pPr>
        <w:pStyle w:val="3"/>
        <w:ind w:left="0"/>
        <w:rPr>
          <w:rStyle w:val="15"/>
          <w:szCs w:val="32"/>
        </w:rPr>
      </w:pPr>
      <w:bookmarkStart w:id="17" w:name="_Toc55137545"/>
      <w:r>
        <w:rPr>
          <w:rStyle w:val="15"/>
          <w:rFonts w:hint="eastAsia"/>
          <w:szCs w:val="32"/>
        </w:rPr>
        <w:t>绩效自评结果拟应用和公开情况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18" w:name="_GoBack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通过绩效自评工作有利于加强资金管理，提高资金使用效率，满足社会公众及财政部门知情权益，保障财政资金的实施质量。我单位也会将绩效自评结果依法公开至魏县党政网，接受财政部门及社会公众的指导、监督。</w:t>
      </w:r>
      <w:bookmarkEnd w:id="1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41B"/>
    <w:multiLevelType w:val="multilevel"/>
    <w:tmpl w:val="30E0341B"/>
    <w:lvl w:ilvl="0" w:tentative="0">
      <w:start w:val="1"/>
      <w:numFmt w:val="decimal"/>
      <w:pStyle w:val="5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F67B9A"/>
    <w:multiLevelType w:val="multilevel"/>
    <w:tmpl w:val="6BF67B9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397" w:hanging="397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A5E7A"/>
    <w:multiLevelType w:val="multilevel"/>
    <w:tmpl w:val="746A5E7A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37161"/>
    <w:rsid w:val="000821AB"/>
    <w:rsid w:val="000C2F6B"/>
    <w:rsid w:val="000D50C6"/>
    <w:rsid w:val="00130449"/>
    <w:rsid w:val="00133B1F"/>
    <w:rsid w:val="00151064"/>
    <w:rsid w:val="00197E6E"/>
    <w:rsid w:val="001D779A"/>
    <w:rsid w:val="001E47DA"/>
    <w:rsid w:val="002C2CC7"/>
    <w:rsid w:val="002D6EA4"/>
    <w:rsid w:val="002E0232"/>
    <w:rsid w:val="002E4F85"/>
    <w:rsid w:val="00360C20"/>
    <w:rsid w:val="00371205"/>
    <w:rsid w:val="00376B65"/>
    <w:rsid w:val="00395F63"/>
    <w:rsid w:val="003F5868"/>
    <w:rsid w:val="004103BD"/>
    <w:rsid w:val="00410E23"/>
    <w:rsid w:val="00446D2F"/>
    <w:rsid w:val="0048433A"/>
    <w:rsid w:val="004F293D"/>
    <w:rsid w:val="004F5DE4"/>
    <w:rsid w:val="004F609B"/>
    <w:rsid w:val="0050741A"/>
    <w:rsid w:val="00516260"/>
    <w:rsid w:val="0054176A"/>
    <w:rsid w:val="0056272F"/>
    <w:rsid w:val="0059306D"/>
    <w:rsid w:val="005B0DB1"/>
    <w:rsid w:val="005B2AEC"/>
    <w:rsid w:val="005F2EBE"/>
    <w:rsid w:val="005F3AAE"/>
    <w:rsid w:val="00665C22"/>
    <w:rsid w:val="006675F7"/>
    <w:rsid w:val="006943C4"/>
    <w:rsid w:val="006972F2"/>
    <w:rsid w:val="006B55B5"/>
    <w:rsid w:val="006B66AE"/>
    <w:rsid w:val="0073482D"/>
    <w:rsid w:val="007727ED"/>
    <w:rsid w:val="007C0D04"/>
    <w:rsid w:val="007D7D1A"/>
    <w:rsid w:val="008056AF"/>
    <w:rsid w:val="008101C8"/>
    <w:rsid w:val="0082693E"/>
    <w:rsid w:val="00873240"/>
    <w:rsid w:val="00886A6B"/>
    <w:rsid w:val="008A449D"/>
    <w:rsid w:val="008A5F6C"/>
    <w:rsid w:val="008D359B"/>
    <w:rsid w:val="00946AB1"/>
    <w:rsid w:val="009473FD"/>
    <w:rsid w:val="0099088B"/>
    <w:rsid w:val="009F3ED4"/>
    <w:rsid w:val="00A15B41"/>
    <w:rsid w:val="00A16A67"/>
    <w:rsid w:val="00A225C2"/>
    <w:rsid w:val="00AD4953"/>
    <w:rsid w:val="00AE3131"/>
    <w:rsid w:val="00AF29D1"/>
    <w:rsid w:val="00AF77D2"/>
    <w:rsid w:val="00B50967"/>
    <w:rsid w:val="00B55285"/>
    <w:rsid w:val="00B57581"/>
    <w:rsid w:val="00B60808"/>
    <w:rsid w:val="00B957E4"/>
    <w:rsid w:val="00BA22C5"/>
    <w:rsid w:val="00BC739C"/>
    <w:rsid w:val="00BC77D3"/>
    <w:rsid w:val="00BF22FA"/>
    <w:rsid w:val="00C74E90"/>
    <w:rsid w:val="00C75415"/>
    <w:rsid w:val="00CB3A86"/>
    <w:rsid w:val="00CF5FC8"/>
    <w:rsid w:val="00D17E49"/>
    <w:rsid w:val="00D61E72"/>
    <w:rsid w:val="00D71646"/>
    <w:rsid w:val="00D91992"/>
    <w:rsid w:val="00DD3BF5"/>
    <w:rsid w:val="00DF5B3E"/>
    <w:rsid w:val="00E01E48"/>
    <w:rsid w:val="00E44490"/>
    <w:rsid w:val="00E75812"/>
    <w:rsid w:val="00EB79E3"/>
    <w:rsid w:val="00F0115B"/>
    <w:rsid w:val="00F7781A"/>
    <w:rsid w:val="00F95F02"/>
    <w:rsid w:val="16C37161"/>
    <w:rsid w:val="28094805"/>
    <w:rsid w:val="5F0C2E51"/>
    <w:rsid w:val="63660656"/>
    <w:rsid w:val="656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numPr>
        <w:ilvl w:val="0"/>
        <w:numId w:val="1"/>
      </w:numPr>
      <w:spacing w:line="360" w:lineRule="auto"/>
      <w:ind w:firstLine="0" w:firstLineChars="0"/>
      <w:jc w:val="left"/>
      <w:outlineLvl w:val="0"/>
    </w:pPr>
  </w:style>
  <w:style w:type="paragraph" w:styleId="4">
    <w:name w:val="heading 2"/>
    <w:basedOn w:val="1"/>
    <w:next w:val="1"/>
    <w:link w:val="16"/>
    <w:unhideWhenUsed/>
    <w:qFormat/>
    <w:uiPriority w:val="0"/>
    <w:pPr>
      <w:numPr>
        <w:ilvl w:val="0"/>
        <w:numId w:val="2"/>
      </w:numPr>
      <w:adjustRightInd w:val="0"/>
      <w:snapToGrid w:val="0"/>
      <w:ind w:firstLine="0" w:firstLineChars="0"/>
      <w:outlineLvl w:val="1"/>
    </w:pPr>
    <w:rPr>
      <w:rFonts w:ascii="仿宋_GB2312" w:hAnsi="仿宋_GB2312" w:eastAsia="仿宋_GB2312" w:cs="仿宋_GB2312"/>
      <w:bCs/>
      <w:color w:val="000000"/>
    </w:rPr>
  </w:style>
  <w:style w:type="paragraph" w:styleId="5">
    <w:name w:val="heading 3"/>
    <w:basedOn w:val="4"/>
    <w:next w:val="1"/>
    <w:link w:val="19"/>
    <w:unhideWhenUsed/>
    <w:qFormat/>
    <w:uiPriority w:val="0"/>
    <w:pPr>
      <w:numPr>
        <w:numId w:val="3"/>
      </w:numPr>
      <w:outlineLvl w:val="2"/>
    </w:p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6">
    <w:name w:val="toc 3"/>
    <w:basedOn w:val="1"/>
    <w:next w:val="1"/>
    <w:unhideWhenUsed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6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3"/>
    <w:qFormat/>
    <w:uiPriority w:val="0"/>
    <w:rPr>
      <w:rFonts w:ascii="仿宋" w:hAnsi="仿宋" w:eastAsia="仿宋" w:cstheme="minorBidi"/>
      <w:kern w:val="2"/>
      <w:sz w:val="32"/>
      <w:szCs w:val="24"/>
    </w:rPr>
  </w:style>
  <w:style w:type="character" w:customStyle="1" w:styleId="16">
    <w:name w:val="标题 2 字符"/>
    <w:basedOn w:val="13"/>
    <w:link w:val="4"/>
    <w:qFormat/>
    <w:uiPriority w:val="0"/>
    <w:rPr>
      <w:rFonts w:ascii="仿宋_GB2312" w:hAnsi="仿宋_GB2312" w:eastAsia="仿宋_GB2312" w:cs="仿宋_GB2312"/>
      <w:bCs/>
      <w:color w:val="000000"/>
      <w:kern w:val="2"/>
      <w:sz w:val="32"/>
      <w:szCs w:val="32"/>
    </w:rPr>
  </w:style>
  <w:style w:type="character" w:customStyle="1" w:styleId="17">
    <w:name w:val="标题 字符"/>
    <w:basedOn w:val="13"/>
    <w:link w:val="11"/>
    <w:qFormat/>
    <w:uiPriority w:val="0"/>
    <w:rPr>
      <w:rFonts w:asciiTheme="majorHAnsi" w:hAnsiTheme="majorHAnsi" w:eastAsiaTheme="majorEastAsia" w:cstheme="majorBidi"/>
      <w:b/>
      <w:bCs/>
      <w:kern w:val="2"/>
      <w:sz w:val="36"/>
      <w:szCs w:val="32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标题 3 字符"/>
    <w:basedOn w:val="13"/>
    <w:link w:val="5"/>
    <w:qFormat/>
    <w:uiPriority w:val="0"/>
    <w:rPr>
      <w:rFonts w:ascii="仿宋_GB2312" w:hAnsi="仿宋_GB2312" w:eastAsia="仿宋_GB2312" w:cs="仿宋_GB2312"/>
      <w:bCs/>
      <w:color w:val="000000"/>
      <w:kern w:val="2"/>
      <w:sz w:val="28"/>
      <w:szCs w:val="32"/>
    </w:rPr>
  </w:style>
  <w:style w:type="paragraph" w:customStyle="1" w:styleId="20">
    <w:name w:val="TOC Heading"/>
    <w:basedOn w:val="3"/>
    <w:next w:val="1"/>
    <w:unhideWhenUsed/>
    <w:qFormat/>
    <w:uiPriority w:val="3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</w:rPr>
  </w:style>
  <w:style w:type="character" w:customStyle="1" w:styleId="21">
    <w:name w:val="页眉 字符"/>
    <w:basedOn w:val="13"/>
    <w:link w:val="8"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22">
    <w:name w:val="页脚 字符"/>
    <w:basedOn w:val="13"/>
    <w:link w:val="7"/>
    <w:qFormat/>
    <w:uiPriority w:val="0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74034-C5C2-4A2E-9A95-121E65C7B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409</Words>
  <Characters>2336</Characters>
  <Lines>19</Lines>
  <Paragraphs>5</Paragraphs>
  <TotalTime>0</TotalTime>
  <ScaleCrop>false</ScaleCrop>
  <LinksUpToDate>false</LinksUpToDate>
  <CharactersWithSpaces>2740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2020-11-01T09:11:00Z</dcterms:created>
  <dc:creator>Lyj</dc:creator>
  <cp:lastModifiedBy>Lyj</cp:lastModifiedBy>
  <dcterms:modified xsi:type="dcterms:W3CDTF">2020-11-01T18:15:25Z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