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2020</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35</w:t>
      </w:r>
      <w:r>
        <w:rPr>
          <w:rFonts w:ascii="Times New Roman" w:hAnsi="Times New Roman" w:eastAsia="仿宋" w:cs="Times New Roman"/>
          <w:b/>
          <w:sz w:val="32"/>
          <w:szCs w:val="32"/>
        </w:rPr>
        <w:t>号</w:t>
      </w:r>
    </w:p>
    <w:p>
      <w:pPr>
        <w:pStyle w:val="6"/>
        <w:keepNext w:val="0"/>
        <w:keepLines w:val="0"/>
        <w:pageBreakBefore w:val="0"/>
        <w:widowControl w:val="0"/>
        <w:kinsoku/>
        <w:wordWrap/>
        <w:overflowPunct/>
        <w:topLinePunct w:val="0"/>
        <w:autoSpaceDE/>
        <w:autoSpaceDN/>
        <w:bidi w:val="0"/>
        <w:adjustRightInd/>
        <w:spacing w:line="640" w:lineRule="exact"/>
        <w:ind w:left="0" w:firstLine="0"/>
        <w:textAlignment w:val="auto"/>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魏县畅通建筑材料有限公司建筑垃圾资源化回收利用及水稳拌合项目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cs="仿宋"/>
          <w:sz w:val="32"/>
          <w:szCs w:val="32"/>
        </w:rPr>
      </w:pPr>
      <w:r>
        <w:rPr>
          <w:rFonts w:hint="eastAsia" w:ascii="仿宋" w:hAnsi="仿宋" w:eastAsia="仿宋" w:cs="仿宋"/>
          <w:sz w:val="32"/>
          <w:szCs w:val="32"/>
        </w:rPr>
        <w:t>魏县畅通建筑材料有限公司：</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你公司所报《魏县畅通建筑材料有限公司建筑垃圾资源化回收利用及水稳拌合项目</w:t>
      </w:r>
      <w:r>
        <w:rPr>
          <w:rFonts w:hint="eastAsia" w:ascii="仿宋" w:hAnsi="仿宋" w:eastAsia="仿宋" w:cs="仿宋"/>
          <w:sz w:val="32"/>
          <w:szCs w:val="32"/>
          <w:lang w:eastAsia="zh-CN"/>
        </w:rPr>
        <w:t>环境影响报告表</w:t>
      </w:r>
      <w:r>
        <w:rPr>
          <w:rFonts w:hint="eastAsia" w:ascii="仿宋" w:hAnsi="仿宋" w:eastAsia="仿宋" w:cs="仿宋"/>
          <w:sz w:val="32"/>
          <w:szCs w:val="32"/>
        </w:rPr>
        <w:t>》收悉。经研究，批复如下：</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一、该项目位于魏县双井镇付夹河村村南，项目中心地理坐标为北纬36°23'37.78"，东经115°00'17.73"。建设内容及建设</w:t>
      </w:r>
      <w:r>
        <w:rPr>
          <w:rFonts w:hint="eastAsia" w:ascii="仿宋" w:hAnsi="仿宋" w:eastAsia="仿宋" w:cs="仿宋"/>
          <w:sz w:val="32"/>
          <w:szCs w:val="32"/>
          <w:lang w:eastAsia="zh-CN"/>
        </w:rPr>
        <w:t>规模：该项目</w:t>
      </w:r>
      <w:r>
        <w:rPr>
          <w:rFonts w:hint="eastAsia" w:ascii="仿宋" w:hAnsi="仿宋" w:eastAsia="仿宋" w:cs="仿宋"/>
          <w:sz w:val="32"/>
          <w:szCs w:val="32"/>
        </w:rPr>
        <w:t>占地面积10000m</w:t>
      </w:r>
      <w:r>
        <w:rPr>
          <w:rFonts w:hint="eastAsia" w:ascii="仿宋" w:hAnsi="仿宋" w:eastAsia="仿宋" w:cs="仿宋"/>
          <w:sz w:val="32"/>
          <w:szCs w:val="32"/>
          <w:vertAlign w:val="superscript"/>
        </w:rPr>
        <w:t>2</w:t>
      </w:r>
      <w:r>
        <w:rPr>
          <w:rFonts w:hint="eastAsia" w:ascii="仿宋" w:hAnsi="仿宋" w:eastAsia="仿宋" w:cs="仿宋"/>
          <w:sz w:val="32"/>
          <w:szCs w:val="32"/>
          <w:lang w:eastAsia="zh-CN"/>
        </w:rPr>
        <w:t>，建设生产车间、原料库、成品库及办公室等；购置振动给料机、颚式破碎机、锤式破碎机、振动筛等设备；建成后年处理建筑垃圾</w:t>
      </w:r>
      <w:r>
        <w:rPr>
          <w:rFonts w:hint="eastAsia" w:ascii="仿宋" w:hAnsi="仿宋" w:eastAsia="仿宋" w:cs="仿宋"/>
          <w:sz w:val="32"/>
          <w:szCs w:val="32"/>
        </w:rPr>
        <w:t>60万吨，年拌合水稳材料60万吨</w:t>
      </w:r>
      <w:r>
        <w:rPr>
          <w:rFonts w:hint="eastAsia" w:ascii="仿宋" w:hAnsi="仿宋" w:eastAsia="仿宋" w:cs="仿宋"/>
          <w:sz w:val="32"/>
          <w:szCs w:val="32"/>
          <w:lang w:eastAsia="zh-CN"/>
        </w:rPr>
        <w:t>，总投资</w:t>
      </w:r>
      <w:r>
        <w:rPr>
          <w:rFonts w:hint="eastAsia" w:ascii="仿宋" w:hAnsi="仿宋" w:eastAsia="仿宋" w:cs="仿宋"/>
          <w:sz w:val="32"/>
          <w:szCs w:val="32"/>
          <w:lang w:val="en-US" w:eastAsia="zh-CN"/>
        </w:rPr>
        <w:t>3600</w:t>
      </w:r>
      <w:r>
        <w:rPr>
          <w:rFonts w:hint="eastAsia" w:ascii="仿宋" w:hAnsi="仿宋" w:eastAsia="仿宋" w:cs="仿宋"/>
          <w:sz w:val="32"/>
          <w:szCs w:val="32"/>
          <w:lang w:eastAsia="zh-CN"/>
        </w:rPr>
        <w:t>万元，其中环保投资</w:t>
      </w:r>
      <w:r>
        <w:rPr>
          <w:rFonts w:hint="eastAsia" w:ascii="仿宋" w:hAnsi="仿宋" w:eastAsia="仿宋" w:cs="仿宋"/>
          <w:sz w:val="32"/>
          <w:szCs w:val="32"/>
          <w:lang w:val="en-US" w:eastAsia="zh-CN"/>
        </w:rPr>
        <w:t>53</w:t>
      </w:r>
      <w:r>
        <w:rPr>
          <w:rFonts w:hint="eastAsia" w:ascii="仿宋" w:hAnsi="仿宋" w:eastAsia="仿宋" w:cs="仿宋"/>
          <w:sz w:val="32"/>
          <w:szCs w:val="32"/>
          <w:lang w:eastAsia="zh-CN"/>
        </w:rPr>
        <w:t>万元，占总投资的</w:t>
      </w:r>
      <w:r>
        <w:rPr>
          <w:rFonts w:hint="eastAsia" w:ascii="仿宋" w:hAnsi="仿宋" w:eastAsia="仿宋" w:cs="仿宋"/>
          <w:sz w:val="32"/>
          <w:szCs w:val="32"/>
        </w:rPr>
        <w:t>1.47%</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二、根据你公司委托河北森江环保科技有限公司编制的《魏县畅通建筑材料有限公司建筑垃圾资源化回收利用及水稳拌合项目</w:t>
      </w:r>
      <w:r>
        <w:rPr>
          <w:rFonts w:hint="eastAsia" w:ascii="仿宋" w:hAnsi="仿宋" w:eastAsia="仿宋" w:cs="仿宋"/>
          <w:sz w:val="32"/>
          <w:szCs w:val="32"/>
          <w:lang w:eastAsia="zh-CN"/>
        </w:rPr>
        <w:t>环境影响报告表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营运期：⑴废气：该项目废气主要为破碎废气、筛分废气</w:t>
      </w:r>
      <w:r>
        <w:rPr>
          <w:rFonts w:hint="eastAsia" w:ascii="仿宋" w:hAnsi="仿宋" w:eastAsia="仿宋" w:cs="仿宋"/>
          <w:sz w:val="32"/>
          <w:szCs w:val="32"/>
          <w:lang w:eastAsia="zh-CN"/>
        </w:rPr>
        <w:t>、</w:t>
      </w:r>
      <w:r>
        <w:rPr>
          <w:rFonts w:hint="eastAsia" w:ascii="仿宋" w:hAnsi="仿宋" w:eastAsia="仿宋" w:cs="仿宋"/>
          <w:sz w:val="32"/>
          <w:szCs w:val="32"/>
        </w:rPr>
        <w:t>水泥卸料废气</w:t>
      </w:r>
      <w:r>
        <w:rPr>
          <w:rFonts w:hint="eastAsia" w:ascii="仿宋" w:hAnsi="仿宋" w:eastAsia="仿宋" w:cs="仿宋"/>
          <w:sz w:val="32"/>
          <w:szCs w:val="32"/>
          <w:lang w:eastAsia="zh-CN"/>
        </w:rPr>
        <w:t>、</w:t>
      </w:r>
      <w:r>
        <w:rPr>
          <w:rFonts w:hint="eastAsia" w:ascii="仿宋" w:hAnsi="仿宋" w:eastAsia="仿宋" w:cs="仿宋"/>
          <w:sz w:val="32"/>
          <w:szCs w:val="32"/>
        </w:rPr>
        <w:t>无组织废气以及运输车辆扬尘</w:t>
      </w:r>
      <w:r>
        <w:rPr>
          <w:rFonts w:hint="eastAsia" w:ascii="仿宋" w:hAnsi="仿宋" w:eastAsia="仿宋" w:cs="仿宋"/>
          <w:sz w:val="32"/>
          <w:szCs w:val="32"/>
          <w:lang w:eastAsia="zh-CN"/>
        </w:rPr>
        <w:t>；生产车间为</w:t>
      </w:r>
      <w:r>
        <w:rPr>
          <w:rFonts w:hint="eastAsia" w:ascii="仿宋" w:hAnsi="仿宋" w:eastAsia="仿宋" w:cs="仿宋"/>
          <w:sz w:val="32"/>
          <w:szCs w:val="32"/>
        </w:rPr>
        <w:t>密闭</w:t>
      </w:r>
      <w:r>
        <w:rPr>
          <w:rFonts w:hint="eastAsia" w:ascii="仿宋" w:hAnsi="仿宋" w:eastAsia="仿宋" w:cs="仿宋"/>
          <w:sz w:val="32"/>
          <w:szCs w:val="32"/>
          <w:lang w:eastAsia="zh-CN"/>
        </w:rPr>
        <w:t>车间作业</w:t>
      </w:r>
      <w:r>
        <w:rPr>
          <w:rFonts w:hint="eastAsia" w:ascii="仿宋" w:hAnsi="仿宋" w:eastAsia="仿宋" w:cs="仿宋"/>
          <w:sz w:val="32"/>
          <w:szCs w:val="32"/>
        </w:rPr>
        <w:t>，上方设置集气罩，</w:t>
      </w:r>
      <w:r>
        <w:rPr>
          <w:rFonts w:hint="eastAsia" w:ascii="仿宋" w:hAnsi="仿宋" w:eastAsia="仿宋" w:cs="仿宋"/>
          <w:sz w:val="32"/>
          <w:szCs w:val="32"/>
          <w:lang w:eastAsia="zh-CN"/>
        </w:rPr>
        <w:t>粉尘通过</w:t>
      </w:r>
      <w:r>
        <w:rPr>
          <w:rFonts w:hint="eastAsia" w:ascii="仿宋" w:hAnsi="仿宋" w:eastAsia="仿宋" w:cs="仿宋"/>
          <w:sz w:val="32"/>
          <w:szCs w:val="32"/>
        </w:rPr>
        <w:t>集气罩负压收集后，经脉冲袋式除尘器处理，最终由15m高排气筒排放。水泥卸料到筒仓产生的废气，通过仓顶布袋除尘器处理后排放。粉尘排放满足《水泥工业大气污染物排放标准》(DB13/2167-2015)表1标准。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车间产生的无组织粉尘</w:t>
      </w:r>
      <w:r>
        <w:rPr>
          <w:rFonts w:hint="eastAsia" w:ascii="仿宋" w:hAnsi="仿宋" w:eastAsia="仿宋" w:cs="仿宋"/>
          <w:sz w:val="32"/>
          <w:szCs w:val="32"/>
        </w:rPr>
        <w:t>，</w:t>
      </w:r>
      <w:r>
        <w:rPr>
          <w:rFonts w:hint="eastAsia" w:ascii="仿宋" w:hAnsi="仿宋" w:eastAsia="仿宋" w:cs="仿宋"/>
          <w:sz w:val="32"/>
          <w:szCs w:val="32"/>
          <w:lang w:eastAsia="zh-CN"/>
        </w:rPr>
        <w:t>可通过</w:t>
      </w:r>
      <w:r>
        <w:rPr>
          <w:rFonts w:hint="eastAsia" w:ascii="仿宋" w:hAnsi="仿宋" w:eastAsia="仿宋" w:cs="仿宋"/>
          <w:sz w:val="32"/>
          <w:szCs w:val="32"/>
        </w:rPr>
        <w:t>设置喷淋设施</w:t>
      </w:r>
      <w:r>
        <w:rPr>
          <w:rFonts w:hint="eastAsia" w:ascii="仿宋" w:hAnsi="仿宋" w:eastAsia="仿宋" w:cs="仿宋"/>
          <w:sz w:val="32"/>
          <w:szCs w:val="32"/>
          <w:lang w:eastAsia="zh-CN"/>
        </w:rPr>
        <w:t>、</w:t>
      </w:r>
      <w:r>
        <w:rPr>
          <w:rFonts w:hint="eastAsia" w:ascii="仿宋" w:hAnsi="仿宋" w:eastAsia="仿宋" w:cs="仿宋"/>
          <w:sz w:val="32"/>
          <w:szCs w:val="32"/>
        </w:rPr>
        <w:t>雾炮抑尘</w:t>
      </w:r>
      <w:r>
        <w:rPr>
          <w:rFonts w:hint="eastAsia" w:ascii="仿宋" w:hAnsi="仿宋" w:eastAsia="仿宋" w:cs="仿宋"/>
          <w:sz w:val="32"/>
          <w:szCs w:val="32"/>
          <w:lang w:eastAsia="zh-CN"/>
        </w:rPr>
        <w:t>、</w:t>
      </w:r>
      <w:r>
        <w:rPr>
          <w:rFonts w:hint="eastAsia" w:ascii="仿宋" w:hAnsi="仿宋" w:eastAsia="仿宋" w:cs="仿宋"/>
          <w:sz w:val="32"/>
          <w:szCs w:val="32"/>
        </w:rPr>
        <w:t>采取转运皮带密闭等措施减少粉尘无组织排放。</w:t>
      </w:r>
      <w:r>
        <w:rPr>
          <w:rFonts w:hint="eastAsia" w:ascii="仿宋" w:hAnsi="仿宋" w:eastAsia="仿宋" w:cs="仿宋"/>
          <w:sz w:val="32"/>
          <w:szCs w:val="32"/>
          <w:lang w:eastAsia="zh-CN"/>
        </w:rPr>
        <w:t>运输产生无组织粉</w:t>
      </w:r>
      <w:r>
        <w:rPr>
          <w:rFonts w:hint="eastAsia" w:ascii="仿宋" w:hAnsi="仿宋" w:eastAsia="仿宋" w:cs="仿宋"/>
          <w:sz w:val="32"/>
          <w:szCs w:val="32"/>
        </w:rPr>
        <w:t>通过运输车辆利用苫布苫盖，厂区和车间地面硬化并洒水抑尘</w:t>
      </w:r>
      <w:r>
        <w:rPr>
          <w:rFonts w:hint="eastAsia" w:ascii="仿宋" w:hAnsi="仿宋" w:eastAsia="仿宋" w:cs="仿宋"/>
          <w:sz w:val="32"/>
          <w:szCs w:val="32"/>
          <w:lang w:eastAsia="zh-CN"/>
        </w:rPr>
        <w:t>等措施</w:t>
      </w:r>
      <w:r>
        <w:rPr>
          <w:rFonts w:hint="eastAsia" w:ascii="仿宋" w:hAnsi="仿宋" w:eastAsia="仿宋" w:cs="仿宋"/>
          <w:sz w:val="32"/>
          <w:szCs w:val="32"/>
        </w:rPr>
        <w:t>减少粉尘无组织排放。满足《水泥工业大气污染物排放标准》(DB13/2167-2015)表2标准。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（2）废水：该项目废水主要为</w:t>
      </w:r>
      <w:bookmarkStart w:id="0" w:name="_GoBack"/>
      <w:bookmarkEnd w:id="0"/>
      <w:r>
        <w:rPr>
          <w:rFonts w:hint="eastAsia" w:ascii="仿宋" w:hAnsi="仿宋" w:eastAsia="仿宋" w:cs="仿宋"/>
          <w:sz w:val="32"/>
          <w:szCs w:val="32"/>
        </w:rPr>
        <w:t>设备地面冲洗废水、车辆轮胎冲洗废水经沉淀池处理后循环利用，定期补充新水，不外排；生活污水直接排入防渗旱厕定期清掏用作农肥，不外排</w:t>
      </w:r>
      <w:r>
        <w:rPr>
          <w:rFonts w:hint="eastAsia" w:ascii="仿宋" w:hAnsi="仿宋" w:eastAsia="仿宋" w:cs="仿宋"/>
          <w:sz w:val="32"/>
          <w:szCs w:val="32"/>
          <w:lang w:val="en-GB"/>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（3）噪声：该项目主要噪声为振动给料机、鄂式破碎机、锤式破碎机、振动筛和制砂机等设备运行时产生的噪声，项目通过采取选用低噪声设备、基础减振、厂房隔声等措施</w:t>
      </w:r>
      <w:r>
        <w:rPr>
          <w:rFonts w:hint="eastAsia" w:ascii="仿宋" w:hAnsi="仿宋" w:eastAsia="仿宋" w:cs="仿宋"/>
          <w:sz w:val="32"/>
          <w:szCs w:val="32"/>
          <w:lang w:eastAsia="zh-CN"/>
        </w:rPr>
        <w:t>；</w:t>
      </w:r>
      <w:r>
        <w:rPr>
          <w:rFonts w:hint="eastAsia" w:ascii="仿宋" w:hAnsi="仿宋" w:eastAsia="仿宋" w:cs="仿宋"/>
          <w:sz w:val="32"/>
          <w:szCs w:val="32"/>
        </w:rPr>
        <w:t>能够满足《工业企业厂界环境噪声排放标准》（GB12348-2008）2类标准。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该项目产生的固体废物主要为脉冲袋式除尘器收集的除尘灰，沉淀池产生的污泥以及职工生活垃圾。除尘灰和污泥定期外售综合利用，职工生活垃圾由环卫部门统一处置。项目固废得到合理处置。</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ascii="仿宋" w:hAnsi="仿宋" w:eastAsia="仿宋" w:cs="仿宋"/>
          <w:sz w:val="32"/>
          <w:szCs w:val="32"/>
        </w:rPr>
      </w:pPr>
      <w:r>
        <w:rPr>
          <w:rFonts w:hint="eastAsia" w:ascii="仿宋" w:hAnsi="仿宋" w:eastAsia="仿宋" w:cs="仿宋"/>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640" w:lineRule="exact"/>
        <w:ind w:firstLine="5120" w:firstLineChars="1600"/>
        <w:textAlignment w:val="auto"/>
        <w:rPr>
          <w:rFonts w:ascii="仿宋" w:hAnsi="仿宋" w:eastAsia="仿宋" w:cs="仿宋"/>
          <w:sz w:val="32"/>
          <w:szCs w:val="32"/>
        </w:rPr>
      </w:pPr>
      <w:r>
        <w:rPr>
          <w:rFonts w:hint="eastAsia" w:ascii="仿宋" w:hAnsi="仿宋" w:eastAsia="仿宋" w:cs="仿宋"/>
          <w:color w:val="000000" w:themeColor="text1"/>
          <w:sz w:val="32"/>
          <w:szCs w:val="32"/>
        </w:rPr>
        <w:t>二〇二〇年</w:t>
      </w:r>
      <w:r>
        <w:rPr>
          <w:rFonts w:hint="eastAsia" w:ascii="仿宋" w:hAnsi="仿宋" w:eastAsia="仿宋" w:cs="仿宋"/>
          <w:color w:val="000000" w:themeColor="text1"/>
          <w:sz w:val="32"/>
          <w:szCs w:val="32"/>
          <w:lang w:eastAsia="zh-CN"/>
        </w:rPr>
        <w:t>十</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eastAsia="zh-CN"/>
        </w:rPr>
        <w:t>十九</w:t>
      </w:r>
      <w:r>
        <w:rPr>
          <w:rFonts w:hint="eastAsia" w:ascii="仿宋" w:hAnsi="仿宋" w:eastAsia="仿宋" w:cs="仿宋"/>
          <w:color w:val="000000" w:themeColor="text1"/>
          <w:sz w:val="32"/>
          <w:szCs w:val="32"/>
        </w:rPr>
        <w:t>日</w:t>
      </w: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pacing w:line="64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8240;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2020</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10</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19</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adjustRightInd/>
        <w:spacing w:line="640" w:lineRule="exact"/>
        <w:ind w:firstLine="7000" w:firstLineChars="2500"/>
        <w:textAlignment w:val="auto"/>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59264;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07"/>
        <w:tab w:val="clear" w:pos="4153"/>
      </w:tabs>
    </w:pPr>
    <w:r>
      <w:pict>
        <v:shape id="_x0000_s4097" o:spid="_x0000_s4097" o:spt="202" type="#_x0000_t202" style="position:absolute;left:0pt;margin-top:0pt;height:144pt;width:24.85pt;mso-position-horizontal:center;mso-position-horizontal-relative:margin;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1F2153E"/>
    <w:rsid w:val="03A73B31"/>
    <w:rsid w:val="051E46FA"/>
    <w:rsid w:val="07490707"/>
    <w:rsid w:val="082E31FF"/>
    <w:rsid w:val="0A9D106A"/>
    <w:rsid w:val="0C68597E"/>
    <w:rsid w:val="0E304E40"/>
    <w:rsid w:val="0F1C2311"/>
    <w:rsid w:val="1114321B"/>
    <w:rsid w:val="14491426"/>
    <w:rsid w:val="157E222F"/>
    <w:rsid w:val="17510115"/>
    <w:rsid w:val="1F5B7BA9"/>
    <w:rsid w:val="2057376F"/>
    <w:rsid w:val="209517B8"/>
    <w:rsid w:val="222111F5"/>
    <w:rsid w:val="25645A32"/>
    <w:rsid w:val="271D64A4"/>
    <w:rsid w:val="29F373CB"/>
    <w:rsid w:val="2CC95CE8"/>
    <w:rsid w:val="2DFE7DF9"/>
    <w:rsid w:val="2E2D6C30"/>
    <w:rsid w:val="2E434E08"/>
    <w:rsid w:val="2EF56638"/>
    <w:rsid w:val="323352FB"/>
    <w:rsid w:val="35B62865"/>
    <w:rsid w:val="3E7120FF"/>
    <w:rsid w:val="41127513"/>
    <w:rsid w:val="4311484D"/>
    <w:rsid w:val="43942C39"/>
    <w:rsid w:val="47746782"/>
    <w:rsid w:val="47BF2A01"/>
    <w:rsid w:val="4913261E"/>
    <w:rsid w:val="4AB132DC"/>
    <w:rsid w:val="4C473D74"/>
    <w:rsid w:val="4EF77B4F"/>
    <w:rsid w:val="53F72BDF"/>
    <w:rsid w:val="56CF1DDF"/>
    <w:rsid w:val="57636D42"/>
    <w:rsid w:val="58102F39"/>
    <w:rsid w:val="592C0AE7"/>
    <w:rsid w:val="5D041EC4"/>
    <w:rsid w:val="63655EDA"/>
    <w:rsid w:val="65222343"/>
    <w:rsid w:val="66A7176F"/>
    <w:rsid w:val="66E4190D"/>
    <w:rsid w:val="6914024F"/>
    <w:rsid w:val="6B4C4554"/>
    <w:rsid w:val="718928E9"/>
    <w:rsid w:val="73234838"/>
    <w:rsid w:val="76087B55"/>
    <w:rsid w:val="771A3427"/>
    <w:rsid w:val="77387F1B"/>
    <w:rsid w:val="77FF3787"/>
    <w:rsid w:val="7AE665D2"/>
    <w:rsid w:val="7E5A0E0E"/>
    <w:rsid w:val="7F0A58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firstLineChars="200"/>
    </w:pPr>
    <w:rPr>
      <w:sz w:val="21"/>
    </w:rPr>
  </w:style>
  <w:style w:type="paragraph" w:styleId="3">
    <w:name w:val="Body Text Indent"/>
    <w:basedOn w:val="1"/>
    <w:qFormat/>
    <w:uiPriority w:val="0"/>
    <w:pPr>
      <w:spacing w:line="340" w:lineRule="exact"/>
      <w:ind w:firstLine="522"/>
    </w:pPr>
    <w:rPr>
      <w:color w:val="000000"/>
      <w:sz w:val="28"/>
    </w:rPr>
  </w:style>
  <w:style w:type="paragraph" w:styleId="5">
    <w:name w:val="Normal Indent"/>
    <w:basedOn w:val="1"/>
    <w:next w:val="4"/>
    <w:qFormat/>
    <w:uiPriority w:val="0"/>
    <w:pPr>
      <w:adjustRightInd w:val="0"/>
      <w:spacing w:line="360" w:lineRule="atLeast"/>
      <w:ind w:firstLine="420"/>
      <w:jc w:val="left"/>
      <w:textAlignment w:val="baseline"/>
    </w:pPr>
    <w:rPr>
      <w:kern w:val="0"/>
      <w:sz w:val="24"/>
    </w:rPr>
  </w:style>
  <w:style w:type="paragraph" w:styleId="6">
    <w:name w:val="Block Text"/>
    <w:basedOn w:val="1"/>
    <w:qFormat/>
    <w:uiPriority w:val="0"/>
    <w:pPr>
      <w:ind w:left="113" w:right="113" w:firstLine="595"/>
      <w:jc w:val="left"/>
    </w:pPr>
    <w:rPr>
      <w:sz w:val="28"/>
    </w:rPr>
  </w:style>
  <w:style w:type="paragraph" w:styleId="7">
    <w:name w:val="Plain Text"/>
    <w:basedOn w:val="1"/>
    <w:qFormat/>
    <w:uiPriority w:val="0"/>
    <w:rPr>
      <w:rFonts w:ascii="宋体" w:hAnsi="Courier New" w:eastAsia="宋体" w:cs="宋体"/>
      <w:sz w:val="24"/>
    </w:r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style>
  <w:style w:type="table" w:styleId="13">
    <w:name w:val="Table Grid"/>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样式 样式 样式 四号 左侧:  1.53 厘米 + 首行缩进:  2 字符 + 居中 左侧:  2 字符 首行缩进:  2..."/>
    <w:basedOn w:val="17"/>
    <w:qFormat/>
    <w:uiPriority w:val="0"/>
    <w:pPr>
      <w:jc w:val="center"/>
    </w:pPr>
  </w:style>
  <w:style w:type="paragraph" w:customStyle="1" w:styleId="17">
    <w:name w:val="样式 样式 四号 左侧:  1.53 厘米 + 首行缩进:  2 字符"/>
    <w:basedOn w:val="18"/>
    <w:qFormat/>
    <w:uiPriority w:val="0"/>
    <w:pPr>
      <w:ind w:left="200" w:leftChars="200"/>
    </w:pPr>
    <w:rPr>
      <w:szCs w:val="20"/>
    </w:rPr>
  </w:style>
  <w:style w:type="paragraph" w:customStyle="1" w:styleId="18">
    <w:name w:val="样式 四号 左侧:  1.53 厘米"/>
    <w:basedOn w:val="1"/>
    <w:qFormat/>
    <w:uiPriority w:val="0"/>
    <w:pPr>
      <w:adjustRightInd w:val="0"/>
    </w:pPr>
    <w:rPr>
      <w:w w:val="90"/>
      <w:sz w:val="28"/>
      <w:szCs w:val="28"/>
    </w:rPr>
  </w:style>
  <w:style w:type="paragraph" w:customStyle="1" w:styleId="19">
    <w:name w:val="正文1"/>
    <w:basedOn w:val="1"/>
    <w:qFormat/>
    <w:uiPriority w:val="0"/>
    <w:pPr>
      <w:adjustRightInd w:val="0"/>
      <w:snapToGrid w:val="0"/>
      <w:spacing w:line="480" w:lineRule="exact"/>
      <w:ind w:firstLine="200"/>
    </w:pPr>
    <w:rPr>
      <w:szCs w:val="20"/>
    </w:rPr>
  </w:style>
  <w:style w:type="character" w:customStyle="1" w:styleId="20">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21">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2">
    <w:name w:val="List Paragraph"/>
    <w:basedOn w:val="1"/>
    <w:unhideWhenUsed/>
    <w:qFormat/>
    <w:uiPriority w:val="99"/>
    <w:pPr>
      <w:ind w:firstLine="420" w:firstLineChars="200"/>
    </w:pPr>
  </w:style>
  <w:style w:type="paragraph" w:customStyle="1" w:styleId="23">
    <w:name w:val="表"/>
    <w:qFormat/>
    <w:uiPriority w:val="0"/>
    <w:pPr>
      <w:widowControl w:val="0"/>
      <w:spacing w:line="440" w:lineRule="exact"/>
      <w:ind w:firstLine="200" w:firstLineChars="200"/>
      <w:jc w:val="both"/>
    </w:pPr>
    <w:rPr>
      <w:rFonts w:ascii="Times New Roman" w:hAnsi="Times New Roman" w:eastAsia="宋体" w:cs="Times New Roman"/>
      <w:sz w:val="24"/>
      <w:szCs w:val="24"/>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81</TotalTime>
  <ScaleCrop>false</ScaleCrop>
  <LinksUpToDate>false</LinksUpToDate>
  <CharactersWithSpaces>1395</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Administrator</cp:lastModifiedBy>
  <cp:lastPrinted>2020-09-29T00:56:00Z</cp:lastPrinted>
  <dcterms:modified xsi:type="dcterms:W3CDTF">2020-10-19T08:12:51Z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