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spacing w:line="64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31</w:t>
      </w:r>
      <w:r>
        <w:rPr>
          <w:rFonts w:ascii="Times New Roman" w:hAnsi="Times New Roman" w:eastAsia="仿宋" w:cs="Times New Roman"/>
          <w:b/>
          <w:sz w:val="32"/>
          <w:szCs w:val="32"/>
        </w:rPr>
        <w:t>号</w:t>
      </w:r>
    </w:p>
    <w:p>
      <w:pPr>
        <w:pStyle w:val="6"/>
        <w:spacing w:line="640" w:lineRule="exact"/>
        <w:ind w:left="0" w:firstLine="0"/>
      </w:pPr>
    </w:p>
    <w:p>
      <w:pPr>
        <w:pStyle w:val="6"/>
        <w:spacing w:line="640" w:lineRule="exact"/>
        <w:rPr>
          <w:rFonts w:ascii="Times New Roman" w:hAnsi="Times New Roman" w:cs="Times New Roman"/>
        </w:rPr>
      </w:pPr>
    </w:p>
    <w:p>
      <w:pPr>
        <w:spacing w:line="64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spacing w:line="640" w:lineRule="exact"/>
        <w:jc w:val="center"/>
        <w:rPr>
          <w:rFonts w:ascii="Times New Roman" w:hAnsi="Times New Roman" w:cs="Times New Roman"/>
          <w:b/>
          <w:w w:val="92"/>
          <w:sz w:val="44"/>
          <w:szCs w:val="44"/>
        </w:rPr>
      </w:pPr>
      <w:r>
        <w:rPr>
          <w:rFonts w:ascii="Times New Roman" w:hAnsi="Times New Roman" w:eastAsia="宋体" w:cs="Times New Roman"/>
          <w:b/>
          <w:w w:val="92"/>
          <w:sz w:val="44"/>
          <w:szCs w:val="44"/>
        </w:rPr>
        <w:t>关于河北英祥建材有限公司</w:t>
      </w:r>
      <w:r>
        <w:rPr>
          <w:rFonts w:hint="eastAsia" w:ascii="Times New Roman" w:hAnsi="Times New Roman" w:eastAsia="宋体" w:cs="Times New Roman"/>
          <w:b/>
          <w:w w:val="92"/>
          <w:sz w:val="44"/>
          <w:szCs w:val="44"/>
        </w:rPr>
        <w:t>年处理建筑垃圾30万吨及年生产70万立方米混凝土预制构件项目</w:t>
      </w:r>
      <w:r>
        <w:rPr>
          <w:rFonts w:ascii="Times New Roman" w:hAnsi="Times New Roman" w:eastAsia="宋体" w:cs="Times New Roman"/>
          <w:b/>
          <w:w w:val="92"/>
          <w:sz w:val="44"/>
          <w:szCs w:val="44"/>
        </w:rPr>
        <w:t>环境影响报告表的批复</w:t>
      </w:r>
    </w:p>
    <w:p>
      <w:pPr>
        <w:spacing w:line="640" w:lineRule="exact"/>
        <w:jc w:val="center"/>
        <w:rPr>
          <w:rFonts w:ascii="仿宋" w:hAnsi="仿宋" w:eastAsia="仿宋" w:cs="Times New Roman"/>
          <w:b/>
          <w:sz w:val="32"/>
          <w:szCs w:val="32"/>
        </w:rPr>
      </w:pP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rPr>
        <w:t>河北英祥建材有限公司：</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你公司所报《河北英祥建材有限公司年处理建筑垃圾30万吨及年生产70万立方米混凝土预制构件项目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》收悉。经研究，批复如下：</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一、该项目选址位于河北省魏县回隆镇西街村西，中心地理坐标为N36°9'24.19"、E114°45'31.5"。建设内容及建设规模：该项目</w:t>
      </w:r>
      <w:r>
        <w:rPr>
          <w:rFonts w:hint="eastAsia" w:ascii="仿宋" w:hAnsi="仿宋" w:eastAsia="仿宋" w:cs="仿宋"/>
          <w:sz w:val="32"/>
          <w:szCs w:val="32"/>
          <w:lang w:eastAsia="zh-CN"/>
        </w:rPr>
        <w:t>占</w:t>
      </w:r>
      <w:r>
        <w:rPr>
          <w:rFonts w:hint="eastAsia" w:ascii="仿宋" w:hAnsi="仿宋" w:eastAsia="仿宋" w:cs="仿宋"/>
          <w:sz w:val="32"/>
          <w:szCs w:val="32"/>
        </w:rPr>
        <w:t>地16666.7m</w:t>
      </w:r>
      <w:r>
        <w:rPr>
          <w:rFonts w:hint="eastAsia" w:ascii="仿宋" w:hAnsi="仿宋" w:eastAsia="仿宋" w:cs="仿宋"/>
          <w:sz w:val="32"/>
          <w:szCs w:val="32"/>
          <w:vertAlign w:val="superscript"/>
        </w:rPr>
        <w:t>2</w:t>
      </w:r>
      <w:r>
        <w:rPr>
          <w:rFonts w:hint="eastAsia" w:ascii="仿宋" w:hAnsi="仿宋" w:eastAsia="仿宋" w:cs="仿宋"/>
          <w:sz w:val="32"/>
          <w:szCs w:val="32"/>
        </w:rPr>
        <w:t>，新建生产车间、</w:t>
      </w:r>
      <w:r>
        <w:rPr>
          <w:rFonts w:ascii="仿宋" w:hAnsi="仿宋" w:eastAsia="仿宋"/>
          <w:sz w:val="32"/>
          <w:szCs w:val="32"/>
        </w:rPr>
        <w:t>辅助生产用房、综合办公用房等</w:t>
      </w:r>
      <w:r>
        <w:rPr>
          <w:rFonts w:hint="eastAsia" w:ascii="仿宋" w:hAnsi="仿宋" w:eastAsia="仿宋"/>
          <w:sz w:val="32"/>
          <w:szCs w:val="32"/>
        </w:rPr>
        <w:t>，</w:t>
      </w:r>
      <w:r>
        <w:rPr>
          <w:rFonts w:hint="eastAsia" w:ascii="仿宋" w:hAnsi="仿宋" w:eastAsia="仿宋" w:cs="仿宋"/>
          <w:sz w:val="32"/>
          <w:szCs w:val="32"/>
        </w:rPr>
        <w:t>建筑面积10646m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 w:hAnsi="仿宋" w:eastAsia="仿宋"/>
          <w:sz w:val="32"/>
          <w:szCs w:val="32"/>
        </w:rPr>
        <w:t>年处理建</w:t>
      </w:r>
      <w:bookmarkStart w:id="0" w:name="_GoBack"/>
      <w:bookmarkEnd w:id="0"/>
      <w:r>
        <w:rPr>
          <w:rFonts w:hint="eastAsia" w:ascii="仿宋" w:hAnsi="仿宋" w:eastAsia="仿宋"/>
          <w:sz w:val="32"/>
          <w:szCs w:val="32"/>
        </w:rPr>
        <w:t>筑垃圾30万吨及年生</w:t>
      </w:r>
      <w:r>
        <w:rPr>
          <w:rFonts w:hint="eastAsia" w:ascii="仿宋" w:hAnsi="仿宋" w:eastAsia="仿宋" w:cs="仿宋"/>
          <w:sz w:val="32"/>
          <w:szCs w:val="32"/>
        </w:rPr>
        <w:t>产70万立方米混凝土预制构件。购置建筑垃圾破碎筛分生产线、搅拌机、水泥罐、条形预制模板、门式洗车机等设备；总投资5000万元， 其中环保投资116万元，占总投资的2.32%。</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河北水韵环保科技有限公司</w:t>
      </w:r>
      <w:r>
        <w:rPr>
          <w:rFonts w:hint="eastAsia" w:ascii="仿宋" w:hAnsi="仿宋" w:eastAsia="仿宋" w:cs="仿宋"/>
          <w:sz w:val="32"/>
          <w:szCs w:val="32"/>
        </w:rPr>
        <w:t>编制的《河北英祥建材有限公司年处理建筑垃圾30万吨及年生产70万立方米混凝土预制构件项目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营运期：⑴废气：该项目废气主要为上料、破碎、筛分、搅拌工序废气、生产车间无组织废气，产生的无组织废气经集气罩收集后通过布袋除尘器处理，然后经过15m高排气筒排放，满足《煤炭工业污染物排放标准》（GB20426-2006）中表4标准，未被收集的粉尘以无组织形式排放，在生产车间内设置喷淋洒水装置，定时喷淋洒水。</w:t>
      </w:r>
    </w:p>
    <w:p>
      <w:pPr>
        <w:snapToGrid w:val="0"/>
        <w:spacing w:line="360" w:lineRule="auto"/>
        <w:ind w:firstLine="640" w:firstLineChars="200"/>
        <w:rPr>
          <w:rFonts w:hint="default"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）废水：该项目废水主要为</w:t>
      </w:r>
      <w:r>
        <w:rPr>
          <w:rFonts w:hint="default" w:ascii="仿宋" w:hAnsi="仿宋" w:eastAsia="仿宋" w:cs="仿宋"/>
          <w:sz w:val="32"/>
          <w:szCs w:val="32"/>
          <w:lang w:eastAsia="zh-CN"/>
        </w:rPr>
        <w:t>洗车工序产生的废水，经厂区循环池沉淀后，循环利用；职工产生的生活污水，用于厂区泼洒抑尘。</w:t>
      </w:r>
    </w:p>
    <w:p>
      <w:pPr>
        <w:snapToGrid w:val="0"/>
        <w:spacing w:line="360" w:lineRule="auto"/>
        <w:ind w:firstLine="640" w:firstLineChars="200"/>
        <w:rPr>
          <w:rFonts w:hint="default" w:ascii="仿宋" w:hAnsi="仿宋" w:eastAsia="仿宋" w:cs="仿宋"/>
          <w:sz w:val="32"/>
          <w:szCs w:val="32"/>
          <w:lang w:eastAsia="zh-CN"/>
        </w:rPr>
      </w:pPr>
      <w:r>
        <w:rPr>
          <w:rFonts w:hint="eastAsia" w:ascii="仿宋" w:hAnsi="仿宋" w:eastAsia="仿宋" w:cs="仿宋"/>
          <w:sz w:val="32"/>
          <w:szCs w:val="32"/>
          <w:lang w:eastAsia="zh-CN"/>
        </w:rPr>
        <w:t>（3）噪声：该项目噪声主要为</w:t>
      </w:r>
      <w:r>
        <w:rPr>
          <w:rFonts w:hint="default" w:ascii="仿宋" w:hAnsi="仿宋" w:eastAsia="仿宋" w:cs="仿宋"/>
          <w:sz w:val="32"/>
          <w:szCs w:val="32"/>
          <w:lang w:eastAsia="zh-CN"/>
        </w:rPr>
        <w:t>生产设备噪声和运输噪声。通过使用低噪设备、基础减振、生产车间封闭、合理布局声源、合理调整厂区平面布局、禁止鸣笛等降噪措施，再经过距离的衰减，项目厂界噪声可以满足《工业企业厂界环境噪声排放标准》(GB12348-2008)中的2类标准要求。</w:t>
      </w:r>
    </w:p>
    <w:p>
      <w:pPr>
        <w:snapToGrid w:val="0"/>
        <w:spacing w:line="360" w:lineRule="auto"/>
        <w:ind w:firstLine="640" w:firstLineChars="200"/>
        <w:rPr>
          <w:rFonts w:hint="eastAsia" w:ascii="仿宋" w:hAnsi="仿宋" w:eastAsia="仿宋" w:cs="仿宋"/>
          <w:sz w:val="32"/>
          <w:szCs w:val="32"/>
          <w:lang w:val="en-GB"/>
        </w:rPr>
      </w:pP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固体废物：该项目</w:t>
      </w:r>
      <w:r>
        <w:rPr>
          <w:rFonts w:hint="default" w:ascii="仿宋" w:hAnsi="仿宋" w:eastAsia="仿宋" w:cs="仿宋"/>
          <w:sz w:val="32"/>
          <w:szCs w:val="32"/>
          <w:lang w:val="en-US" w:eastAsia="zh-CN"/>
        </w:rPr>
        <w:t>产生的固体废物为一般固体废物</w:t>
      </w:r>
      <w:r>
        <w:rPr>
          <w:rFonts w:hint="eastAsia" w:ascii="仿宋" w:hAnsi="仿宋" w:eastAsia="仿宋" w:cs="仿宋"/>
          <w:sz w:val="32"/>
          <w:szCs w:val="32"/>
          <w:lang w:val="en-US" w:eastAsia="zh-CN"/>
        </w:rPr>
        <w:t>、危险废物</w:t>
      </w:r>
      <w:r>
        <w:rPr>
          <w:rFonts w:hint="default" w:ascii="仿宋" w:hAnsi="仿宋" w:eastAsia="仿宋" w:cs="仿宋"/>
          <w:sz w:val="32"/>
          <w:szCs w:val="32"/>
          <w:lang w:val="en-US" w:eastAsia="zh-CN"/>
        </w:rPr>
        <w:t>及生活垃圾。一般固体废物为除尘器产生的除尘灰，集中收集后回用于生产工序。</w:t>
      </w:r>
      <w:r>
        <w:rPr>
          <w:rFonts w:hint="eastAsia" w:ascii="仿宋" w:hAnsi="仿宋" w:eastAsia="仿宋" w:cs="仿宋"/>
          <w:sz w:val="32"/>
          <w:szCs w:val="32"/>
          <w:lang w:val="en-US" w:eastAsia="zh-CN"/>
        </w:rPr>
        <w:t>危险废物暂存于危险废物贮存间，定期交由有资质单位收集处置，生活垃圾由环卫部门统一清运。</w:t>
      </w:r>
    </w:p>
    <w:p>
      <w:pPr>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四、项目建设必须严格执行配套建设的环境保护设施与主体工程同时设计、同时施工、同时投产使用的环境保护“三同时”制度。</w:t>
      </w:r>
    </w:p>
    <w:p>
      <w:pPr>
        <w:snapToGrid w:val="0"/>
        <w:spacing w:line="360" w:lineRule="auto"/>
        <w:ind w:firstLine="640" w:firstLineChars="200"/>
        <w:rPr>
          <w:rFonts w:hint="default" w:ascii="仿宋" w:hAnsi="仿宋" w:eastAsia="仿宋" w:cs="仿宋"/>
          <w:sz w:val="32"/>
          <w:szCs w:val="32"/>
          <w:lang w:eastAsia="zh-CN"/>
        </w:rPr>
      </w:pPr>
      <w:r>
        <w:rPr>
          <w:rFonts w:hint="eastAsia" w:ascii="仿宋" w:hAnsi="仿宋" w:eastAsia="仿宋" w:cs="仿宋"/>
          <w:sz w:val="32"/>
          <w:szCs w:val="32"/>
          <w:lang w:eastAsia="zh-CN"/>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6"/>
        <w:spacing w:line="640" w:lineRule="exact"/>
        <w:rPr>
          <w:rFonts w:ascii="仿宋" w:hAnsi="仿宋" w:eastAsia="仿宋" w:cs="仿宋"/>
          <w:sz w:val="32"/>
          <w:szCs w:val="32"/>
        </w:rPr>
      </w:pPr>
    </w:p>
    <w:p>
      <w:pPr>
        <w:snapToGrid w:val="0"/>
        <w:spacing w:line="640" w:lineRule="exact"/>
        <w:ind w:firstLine="5760" w:firstLineChars="1800"/>
        <w:rPr>
          <w:rFonts w:hint="eastAsia" w:ascii="仿宋" w:hAnsi="仿宋" w:eastAsia="仿宋" w:cs="仿宋"/>
          <w:sz w:val="32"/>
          <w:szCs w:val="32"/>
        </w:rPr>
      </w:pPr>
    </w:p>
    <w:p>
      <w:pPr>
        <w:snapToGrid w:val="0"/>
        <w:spacing w:line="64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640" w:lineRule="exact"/>
        <w:ind w:firstLine="5120" w:firstLineChars="1600"/>
        <w:rPr>
          <w:rFonts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十</w:t>
      </w:r>
      <w:r>
        <w:rPr>
          <w:rFonts w:hint="eastAsia" w:ascii="仿宋" w:hAnsi="仿宋" w:eastAsia="仿宋" w:cs="仿宋"/>
          <w:color w:val="000000" w:themeColor="text1"/>
          <w:sz w:val="32"/>
          <w:szCs w:val="32"/>
        </w:rPr>
        <w:t>月十三日</w:t>
      </w: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13</w:t>
      </w:r>
      <w:r>
        <w:rPr>
          <w:rFonts w:ascii="Times New Roman" w:hAnsi="Times New Roman" w:eastAsia="仿宋_GB2312" w:cs="Times New Roman"/>
          <w:sz w:val="28"/>
          <w:szCs w:val="28"/>
        </w:rPr>
        <w:t>日</w:t>
      </w:r>
    </w:p>
    <w:p>
      <w:pPr>
        <w:spacing w:line="64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0C5EF4"/>
    <w:rsid w:val="001A743A"/>
    <w:rsid w:val="001B658C"/>
    <w:rsid w:val="001C20D3"/>
    <w:rsid w:val="001C4062"/>
    <w:rsid w:val="002030EC"/>
    <w:rsid w:val="00211894"/>
    <w:rsid w:val="002620A0"/>
    <w:rsid w:val="002F499B"/>
    <w:rsid w:val="00315DDD"/>
    <w:rsid w:val="00393A76"/>
    <w:rsid w:val="00472528"/>
    <w:rsid w:val="004A0EC9"/>
    <w:rsid w:val="004D72F5"/>
    <w:rsid w:val="005D54D3"/>
    <w:rsid w:val="005E2D95"/>
    <w:rsid w:val="00754AC4"/>
    <w:rsid w:val="007B2F9E"/>
    <w:rsid w:val="007B6FC1"/>
    <w:rsid w:val="00824D92"/>
    <w:rsid w:val="00930FA6"/>
    <w:rsid w:val="009B6EF7"/>
    <w:rsid w:val="009E3169"/>
    <w:rsid w:val="00A33D08"/>
    <w:rsid w:val="00A42BF5"/>
    <w:rsid w:val="00A55082"/>
    <w:rsid w:val="00A84021"/>
    <w:rsid w:val="00B72F4B"/>
    <w:rsid w:val="00C26951"/>
    <w:rsid w:val="00C813DA"/>
    <w:rsid w:val="00CC516A"/>
    <w:rsid w:val="00CD1AAF"/>
    <w:rsid w:val="00DB2257"/>
    <w:rsid w:val="00DB7F25"/>
    <w:rsid w:val="00E41DD5"/>
    <w:rsid w:val="00E5285A"/>
    <w:rsid w:val="00E81A70"/>
    <w:rsid w:val="00F26C4E"/>
    <w:rsid w:val="00F46DFA"/>
    <w:rsid w:val="00F94154"/>
    <w:rsid w:val="02F467BA"/>
    <w:rsid w:val="03A73B31"/>
    <w:rsid w:val="07490707"/>
    <w:rsid w:val="082E31FF"/>
    <w:rsid w:val="0A9D106A"/>
    <w:rsid w:val="0C68597E"/>
    <w:rsid w:val="0F1C2311"/>
    <w:rsid w:val="14491426"/>
    <w:rsid w:val="157E222F"/>
    <w:rsid w:val="17510115"/>
    <w:rsid w:val="25645A32"/>
    <w:rsid w:val="26B1796C"/>
    <w:rsid w:val="271D64A4"/>
    <w:rsid w:val="2E2D6C30"/>
    <w:rsid w:val="2E434E08"/>
    <w:rsid w:val="2EF56638"/>
    <w:rsid w:val="325A3314"/>
    <w:rsid w:val="33291773"/>
    <w:rsid w:val="35B62865"/>
    <w:rsid w:val="3E7120FF"/>
    <w:rsid w:val="41127513"/>
    <w:rsid w:val="4311484D"/>
    <w:rsid w:val="43942C39"/>
    <w:rsid w:val="47746782"/>
    <w:rsid w:val="47BF2A01"/>
    <w:rsid w:val="4AB132DC"/>
    <w:rsid w:val="4C473D74"/>
    <w:rsid w:val="4EF77B4F"/>
    <w:rsid w:val="53161257"/>
    <w:rsid w:val="53F72BDF"/>
    <w:rsid w:val="57636D42"/>
    <w:rsid w:val="58102F39"/>
    <w:rsid w:val="58B84AD9"/>
    <w:rsid w:val="5D041EC4"/>
    <w:rsid w:val="60024F46"/>
    <w:rsid w:val="63655EDA"/>
    <w:rsid w:val="65222343"/>
    <w:rsid w:val="66A7176F"/>
    <w:rsid w:val="66E4190D"/>
    <w:rsid w:val="718928E9"/>
    <w:rsid w:val="73234838"/>
    <w:rsid w:val="77387F1B"/>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Normal (Web)"/>
    <w:basedOn w:val="1"/>
    <w:qFormat/>
    <w:uiPriority w:val="0"/>
    <w:rPr>
      <w:sz w:val="24"/>
      <w:szCs w:val="24"/>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qFormat/>
    <w:uiPriority w:val="0"/>
    <w:pPr>
      <w:adjustRightInd w:val="0"/>
      <w:snapToGrid w:val="0"/>
      <w:spacing w:line="480" w:lineRule="exact"/>
      <w:ind w:firstLine="200"/>
    </w:pPr>
    <w:rPr>
      <w:szCs w:val="20"/>
    </w:rPr>
  </w:style>
  <w:style w:type="character" w:customStyle="1" w:styleId="21">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241</Words>
  <Characters>1379</Characters>
  <Lines>11</Lines>
  <Paragraphs>3</Paragraphs>
  <TotalTime>0</TotalTime>
  <ScaleCrop>false</ScaleCrop>
  <LinksUpToDate>false</LinksUpToDate>
  <CharactersWithSpaces>1617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2020-10-13T01:35:00Z</cp:lastPrinted>
  <dcterms:modified xsi:type="dcterms:W3CDTF">2020-10-13T02:06:27Z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